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F4" w:rsidRPr="0065698B" w:rsidRDefault="00F53EF4" w:rsidP="00F53EF4">
      <w:pPr>
        <w:jc w:val="right"/>
        <w:rPr>
          <w:i/>
          <w:noProof/>
          <w:sz w:val="28"/>
          <w:szCs w:val="28"/>
          <w:lang w:val="ro-MD"/>
        </w:rPr>
      </w:pPr>
      <w:r w:rsidRPr="0065698B">
        <w:rPr>
          <w:i/>
          <w:noProof/>
          <w:sz w:val="28"/>
          <w:szCs w:val="28"/>
          <w:lang w:val="ro-MD"/>
        </w:rPr>
        <w:t>Proiect</w:t>
      </w:r>
    </w:p>
    <w:p w:rsidR="00F53EF4" w:rsidRPr="0065698B" w:rsidRDefault="00F53EF4" w:rsidP="00F53EF4">
      <w:pPr>
        <w:spacing w:line="276" w:lineRule="auto"/>
        <w:jc w:val="right"/>
        <w:rPr>
          <w:i/>
          <w:noProof/>
          <w:sz w:val="28"/>
          <w:szCs w:val="28"/>
          <w:lang w:val="ro-MD"/>
        </w:rPr>
      </w:pPr>
    </w:p>
    <w:p w:rsidR="00F53EF4" w:rsidRPr="0065698B" w:rsidRDefault="00F53EF4" w:rsidP="00F53EF4">
      <w:pPr>
        <w:spacing w:line="276" w:lineRule="auto"/>
        <w:jc w:val="center"/>
        <w:rPr>
          <w:rFonts w:eastAsia="Calibri"/>
          <w:b/>
          <w:sz w:val="28"/>
          <w:szCs w:val="28"/>
          <w:lang w:val="ro-MD" w:eastAsia="en-US"/>
        </w:rPr>
      </w:pPr>
      <w:r w:rsidRPr="0065698B">
        <w:rPr>
          <w:rFonts w:eastAsia="Calibri"/>
          <w:b/>
          <w:sz w:val="28"/>
          <w:szCs w:val="28"/>
          <w:lang w:val="ro-MD"/>
        </w:rPr>
        <w:t>GUVERNUL REPUBLICII MOLDOVA</w:t>
      </w:r>
    </w:p>
    <w:p w:rsidR="00F53EF4" w:rsidRPr="0065698B" w:rsidRDefault="00F53EF4" w:rsidP="00F53EF4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HOTĂR</w:t>
      </w:r>
      <w:r>
        <w:rPr>
          <w:rFonts w:eastAsia="Calibri"/>
          <w:b/>
          <w:sz w:val="28"/>
          <w:szCs w:val="28"/>
          <w:lang w:val="ro-MD"/>
        </w:rPr>
        <w:t>Â</w:t>
      </w:r>
      <w:r w:rsidRPr="0065698B">
        <w:rPr>
          <w:rFonts w:eastAsia="Calibri"/>
          <w:b/>
          <w:sz w:val="28"/>
          <w:szCs w:val="28"/>
          <w:lang w:val="ro-MD"/>
        </w:rPr>
        <w:t>RE nr._______</w:t>
      </w:r>
    </w:p>
    <w:p w:rsidR="00F53EF4" w:rsidRPr="0065698B" w:rsidRDefault="00F53EF4" w:rsidP="00F53EF4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din ________________2024</w:t>
      </w:r>
    </w:p>
    <w:p w:rsidR="00F53EF4" w:rsidRDefault="00F53EF4" w:rsidP="00F53EF4">
      <w:pPr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Chișinău</w:t>
      </w:r>
    </w:p>
    <w:p w:rsidR="00F53EF4" w:rsidRDefault="00F53EF4" w:rsidP="00F53EF4">
      <w:pPr>
        <w:jc w:val="center"/>
        <w:rPr>
          <w:rFonts w:eastAsia="Calibri"/>
          <w:b/>
          <w:sz w:val="28"/>
          <w:szCs w:val="28"/>
          <w:lang w:val="ro-MD"/>
        </w:rPr>
      </w:pPr>
    </w:p>
    <w:p w:rsidR="00F53EF4" w:rsidRPr="000B7120" w:rsidRDefault="00F53EF4" w:rsidP="00F53EF4">
      <w:pPr>
        <w:spacing w:line="276" w:lineRule="auto"/>
        <w:jc w:val="center"/>
        <w:rPr>
          <w:b/>
          <w:noProof/>
          <w:sz w:val="28"/>
          <w:szCs w:val="28"/>
          <w:lang w:val="ro-MD" w:eastAsia="zh-CN"/>
        </w:rPr>
      </w:pPr>
      <w:r w:rsidRPr="000B7120">
        <w:rPr>
          <w:b/>
          <w:noProof/>
          <w:sz w:val="28"/>
          <w:szCs w:val="28"/>
          <w:lang w:val="ro-MD" w:eastAsia="zh-CN"/>
        </w:rPr>
        <w:t xml:space="preserve">Privind </w:t>
      </w:r>
      <w:r>
        <w:rPr>
          <w:b/>
          <w:noProof/>
          <w:sz w:val="28"/>
          <w:szCs w:val="28"/>
          <w:lang w:val="ro-MD" w:eastAsia="zh-CN"/>
        </w:rPr>
        <w:t xml:space="preserve">redistribuirea și </w:t>
      </w:r>
      <w:r w:rsidRPr="000B7120">
        <w:rPr>
          <w:b/>
          <w:noProof/>
          <w:sz w:val="28"/>
          <w:szCs w:val="28"/>
          <w:lang w:val="ro-MD" w:eastAsia="zh-CN"/>
        </w:rPr>
        <w:t>repartizarea unor alocații aprobate</w:t>
      </w:r>
    </w:p>
    <w:p w:rsidR="00F53EF4" w:rsidRDefault="00F53EF4" w:rsidP="00F53EF4">
      <w:pPr>
        <w:jc w:val="center"/>
        <w:rPr>
          <w:b/>
          <w:noProof/>
          <w:sz w:val="28"/>
          <w:szCs w:val="28"/>
          <w:lang w:val="ro-MD" w:eastAsia="zh-CN"/>
        </w:rPr>
      </w:pPr>
      <w:r w:rsidRPr="000B7120">
        <w:rPr>
          <w:b/>
          <w:noProof/>
          <w:sz w:val="28"/>
          <w:szCs w:val="28"/>
          <w:lang w:val="ro-MD" w:eastAsia="zh-CN"/>
        </w:rPr>
        <w:t xml:space="preserve"> în Legea bugetului de stat pentru anul 2024 nr.418/2023</w:t>
      </w:r>
    </w:p>
    <w:p w:rsidR="00F53EF4" w:rsidRDefault="00F53EF4" w:rsidP="00F53EF4">
      <w:pPr>
        <w:jc w:val="center"/>
        <w:rPr>
          <w:b/>
          <w:noProof/>
          <w:sz w:val="28"/>
          <w:szCs w:val="28"/>
          <w:lang w:val="ro-MD" w:eastAsia="zh-CN"/>
        </w:rPr>
      </w:pPr>
    </w:p>
    <w:p w:rsidR="00F53EF4" w:rsidRDefault="00F53EF4" w:rsidP="00F53EF4">
      <w:pPr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  <w:r w:rsidRPr="0065698B">
        <w:rPr>
          <w:noProof/>
          <w:sz w:val="28"/>
          <w:szCs w:val="28"/>
          <w:lang w:val="ro-MD"/>
        </w:rPr>
        <w:t>În temeiul art.60 alin.(1) lit.a) din Legea finanţelor publice şi responsabilităţii bugetar-fiscale nr.181/2014 (Monitorul Oficial al Republicii Moldova, 2014, nr. 223-230, art.519), cu modi</w:t>
      </w:r>
      <w:r>
        <w:rPr>
          <w:noProof/>
          <w:sz w:val="28"/>
          <w:szCs w:val="28"/>
          <w:lang w:val="ro-MD"/>
        </w:rPr>
        <w:t>ficările ulterioare, şi al art.3 lit.</w:t>
      </w:r>
      <w:r w:rsidRPr="0065698B">
        <w:rPr>
          <w:noProof/>
          <w:sz w:val="28"/>
          <w:szCs w:val="28"/>
          <w:lang w:val="ro-MD"/>
        </w:rPr>
        <w:t>f) din Legea bugetului de stat pentru anul 2024 nr.418/2023 (Monitorul Oficial al Republicii Moldova, 2023, nr.510-513, art. 915), cu modificările ulterioare,</w:t>
      </w:r>
      <w:r>
        <w:rPr>
          <w:noProof/>
          <w:sz w:val="28"/>
          <w:szCs w:val="28"/>
          <w:lang w:val="ro-MD"/>
        </w:rPr>
        <w:t xml:space="preserve"> Guvernul</w:t>
      </w:r>
    </w:p>
    <w:p w:rsidR="00F53EF4" w:rsidRDefault="00F53EF4" w:rsidP="00F53EF4">
      <w:pPr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</w:p>
    <w:p w:rsidR="00F53EF4" w:rsidRDefault="00F53EF4" w:rsidP="00F53EF4">
      <w:pPr>
        <w:spacing w:line="276" w:lineRule="auto"/>
        <w:ind w:firstLine="709"/>
        <w:jc w:val="center"/>
        <w:rPr>
          <w:b/>
          <w:noProof/>
          <w:sz w:val="28"/>
          <w:szCs w:val="28"/>
          <w:lang w:val="ro-MD"/>
        </w:rPr>
      </w:pPr>
      <w:r w:rsidRPr="0065698B">
        <w:rPr>
          <w:b/>
          <w:noProof/>
          <w:sz w:val="28"/>
          <w:szCs w:val="28"/>
          <w:lang w:val="ro-MD"/>
        </w:rPr>
        <w:t>HOTĂRĂŞTE:</w:t>
      </w:r>
    </w:p>
    <w:p w:rsidR="00F53EF4" w:rsidRDefault="00F53EF4" w:rsidP="00F53EF4">
      <w:pPr>
        <w:spacing w:line="276" w:lineRule="auto"/>
        <w:ind w:firstLine="709"/>
        <w:jc w:val="center"/>
        <w:rPr>
          <w:b/>
          <w:noProof/>
          <w:sz w:val="28"/>
          <w:szCs w:val="28"/>
          <w:lang w:val="ro-MD"/>
        </w:rPr>
      </w:pPr>
    </w:p>
    <w:p w:rsidR="00F53EF4" w:rsidRPr="001A61F0" w:rsidRDefault="00F53EF4" w:rsidP="00F53EF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  <w:lang w:val="ro-RO"/>
        </w:rPr>
      </w:pPr>
      <w:r w:rsidRPr="0065698B">
        <w:rPr>
          <w:sz w:val="28"/>
          <w:szCs w:val="28"/>
          <w:lang w:val="ro-MD" w:eastAsia="en-GB"/>
        </w:rPr>
        <w:t>Volumele al</w:t>
      </w:r>
      <w:r>
        <w:rPr>
          <w:sz w:val="28"/>
          <w:szCs w:val="28"/>
          <w:lang w:val="ro-MD" w:eastAsia="en-GB"/>
        </w:rPr>
        <w:t>ocațiilor aprobate în anexa nr.</w:t>
      </w:r>
      <w:r w:rsidRPr="0065698B">
        <w:rPr>
          <w:sz w:val="28"/>
          <w:szCs w:val="28"/>
          <w:lang w:val="ro-MD" w:eastAsia="en-GB"/>
        </w:rPr>
        <w:t>3 la Legea bugetului</w:t>
      </w:r>
      <w:r>
        <w:rPr>
          <w:sz w:val="28"/>
          <w:szCs w:val="28"/>
          <w:lang w:val="ro-MD" w:eastAsia="en-GB"/>
        </w:rPr>
        <w:t xml:space="preserve"> de stat</w:t>
      </w:r>
      <w:r w:rsidRPr="0065698B">
        <w:rPr>
          <w:sz w:val="28"/>
          <w:szCs w:val="28"/>
          <w:lang w:val="ro-MD" w:eastAsia="en-GB"/>
        </w:rPr>
        <w:t xml:space="preserve"> p</w:t>
      </w:r>
      <w:r>
        <w:rPr>
          <w:sz w:val="28"/>
          <w:szCs w:val="28"/>
          <w:lang w:val="ro-MD" w:eastAsia="en-GB"/>
        </w:rPr>
        <w:t xml:space="preserve">entru anul 2024 nr.418/2023 </w:t>
      </w:r>
      <w:r w:rsidRPr="001A61F0">
        <w:rPr>
          <w:sz w:val="28"/>
          <w:szCs w:val="28"/>
          <w:lang w:val="ro-MD" w:eastAsia="en-GB"/>
        </w:rPr>
        <w:t xml:space="preserve">se redistribuie între autoritățile publice centrale și între subprogramele unei autorități în sumă de </w:t>
      </w:r>
      <w:r>
        <w:rPr>
          <w:sz w:val="28"/>
          <w:szCs w:val="28"/>
          <w:lang w:val="ro-MD" w:eastAsia="en-GB"/>
        </w:rPr>
        <w:t>10582,0</w:t>
      </w:r>
      <w:r w:rsidRPr="001A61F0">
        <w:rPr>
          <w:sz w:val="28"/>
          <w:szCs w:val="28"/>
          <w:lang w:val="ro-MD" w:eastAsia="en-GB"/>
        </w:rPr>
        <w:t xml:space="preserve"> mii de lei și se repartizează către autorități publice centrale în sumă de 89</w:t>
      </w:r>
      <w:r>
        <w:rPr>
          <w:sz w:val="28"/>
          <w:szCs w:val="28"/>
          <w:lang w:val="ro-MD" w:eastAsia="en-GB"/>
        </w:rPr>
        <w:t>480,4</w:t>
      </w:r>
      <w:r w:rsidRPr="001A61F0">
        <w:rPr>
          <w:sz w:val="28"/>
          <w:szCs w:val="28"/>
          <w:lang w:val="ro-MD" w:eastAsia="en-GB"/>
        </w:rPr>
        <w:t xml:space="preserve"> mii de lei, conform anexei.</w:t>
      </w:r>
    </w:p>
    <w:p w:rsidR="00F53EF4" w:rsidRPr="00CB47A1" w:rsidRDefault="00F53EF4" w:rsidP="00F53EF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  <w:lang w:val="ro-RO"/>
        </w:rPr>
      </w:pPr>
      <w:r w:rsidRPr="00F2305C">
        <w:rPr>
          <w:sz w:val="28"/>
          <w:szCs w:val="28"/>
          <w:lang w:val="ro-MD" w:eastAsia="en-GB"/>
        </w:rPr>
        <w:t>Prezenta hotărâre intră în vigoare la data publicării în Monitorul Oficial al Republicii Moldova.</w:t>
      </w:r>
    </w:p>
    <w:p w:rsidR="00F53EF4" w:rsidRDefault="00F53EF4" w:rsidP="00F53EF4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:rsidR="00F53EF4" w:rsidRDefault="00F53EF4" w:rsidP="00F53EF4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:rsidR="00F53EF4" w:rsidRDefault="00F53EF4" w:rsidP="00F53EF4">
      <w:pPr>
        <w:tabs>
          <w:tab w:val="left" w:pos="993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  <w:r w:rsidRPr="0065698B">
        <w:rPr>
          <w:b/>
          <w:noProof/>
          <w:sz w:val="28"/>
          <w:szCs w:val="28"/>
          <w:lang w:val="ro-MD"/>
        </w:rPr>
        <w:t>PRIM-MINISTRU                                                        DORIN RECEAN</w:t>
      </w:r>
    </w:p>
    <w:p w:rsidR="00F53EF4" w:rsidRDefault="00F53EF4" w:rsidP="00F53EF4">
      <w:pPr>
        <w:tabs>
          <w:tab w:val="left" w:pos="993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tabs>
          <w:tab w:val="left" w:pos="993"/>
        </w:tabs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  <w:r w:rsidRPr="0065698B">
        <w:rPr>
          <w:noProof/>
          <w:sz w:val="28"/>
          <w:szCs w:val="28"/>
          <w:lang w:val="ro-MD"/>
        </w:rPr>
        <w:t>Contrasemnează:</w:t>
      </w:r>
    </w:p>
    <w:p w:rsidR="00700A5A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  <w:r>
        <w:rPr>
          <w:b/>
          <w:noProof/>
          <w:sz w:val="28"/>
          <w:szCs w:val="28"/>
          <w:lang w:val="ro-MD"/>
        </w:rPr>
        <w:t>Ministrul f</w:t>
      </w:r>
      <w:r w:rsidRPr="0065698B">
        <w:rPr>
          <w:b/>
          <w:noProof/>
          <w:sz w:val="28"/>
          <w:szCs w:val="28"/>
          <w:lang w:val="ro-MD"/>
        </w:rPr>
        <w:t xml:space="preserve">inanțelor                                                    </w:t>
      </w:r>
      <w:r>
        <w:rPr>
          <w:b/>
          <w:noProof/>
          <w:sz w:val="28"/>
          <w:szCs w:val="28"/>
          <w:lang w:val="ro-MD"/>
        </w:rPr>
        <w:t xml:space="preserve"> </w:t>
      </w:r>
      <w:r w:rsidRPr="0065698B">
        <w:rPr>
          <w:b/>
          <w:noProof/>
          <w:sz w:val="28"/>
          <w:szCs w:val="28"/>
          <w:lang w:val="ro-MD"/>
        </w:rPr>
        <w:t xml:space="preserve"> Victoria </w:t>
      </w:r>
      <w:r>
        <w:rPr>
          <w:b/>
          <w:noProof/>
          <w:sz w:val="28"/>
          <w:szCs w:val="28"/>
          <w:lang w:val="ro-MD"/>
        </w:rPr>
        <w:t>Belous</w:t>
      </w: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  <w:bookmarkStart w:id="0" w:name="_GoBack"/>
      <w:bookmarkEnd w:id="0"/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Pr="004726D7" w:rsidRDefault="00F53EF4" w:rsidP="00F53EF4">
      <w:pPr>
        <w:jc w:val="right"/>
        <w:rPr>
          <w:b/>
          <w:noProof/>
          <w:sz w:val="28"/>
          <w:szCs w:val="28"/>
          <w:lang w:val="ro-MD"/>
        </w:rPr>
      </w:pPr>
      <w:r w:rsidRPr="004726D7">
        <w:rPr>
          <w:noProof/>
          <w:sz w:val="28"/>
          <w:szCs w:val="28"/>
          <w:lang w:val="ro-MD"/>
        </w:rPr>
        <w:lastRenderedPageBreak/>
        <w:t>Anex</w:t>
      </w:r>
      <w:r>
        <w:rPr>
          <w:noProof/>
          <w:sz w:val="28"/>
          <w:szCs w:val="28"/>
          <w:lang w:val="ro-MD"/>
        </w:rPr>
        <w:t xml:space="preserve">ă </w:t>
      </w:r>
    </w:p>
    <w:p w:rsidR="00F53EF4" w:rsidRDefault="00F53EF4" w:rsidP="00F53EF4">
      <w:pPr>
        <w:jc w:val="right"/>
        <w:rPr>
          <w:noProof/>
          <w:sz w:val="26"/>
          <w:szCs w:val="26"/>
          <w:lang w:val="ro-MD"/>
        </w:rPr>
      </w:pPr>
      <w:r w:rsidRPr="004726D7">
        <w:rPr>
          <w:noProof/>
          <w:sz w:val="28"/>
          <w:szCs w:val="28"/>
          <w:lang w:val="ro-MD"/>
        </w:rPr>
        <w:t>la Hotărârea Guvernului nr.   /2024</w:t>
      </w:r>
    </w:p>
    <w:p w:rsidR="00F53EF4" w:rsidRDefault="00F53EF4" w:rsidP="00F53EF4">
      <w:pPr>
        <w:jc w:val="right"/>
        <w:rPr>
          <w:noProof/>
          <w:sz w:val="26"/>
          <w:szCs w:val="26"/>
          <w:lang w:val="ro-MD"/>
        </w:rPr>
      </w:pPr>
    </w:p>
    <w:p w:rsidR="00F53EF4" w:rsidRPr="00DE382D" w:rsidRDefault="00F53EF4" w:rsidP="00F53EF4">
      <w:pPr>
        <w:jc w:val="center"/>
        <w:rPr>
          <w:b/>
          <w:noProof/>
          <w:sz w:val="28"/>
          <w:szCs w:val="28"/>
          <w:lang w:val="ro-MD"/>
        </w:rPr>
      </w:pPr>
      <w:r w:rsidRPr="00DE382D">
        <w:rPr>
          <w:b/>
          <w:noProof/>
          <w:sz w:val="28"/>
          <w:szCs w:val="28"/>
          <w:lang w:val="ro-MD"/>
        </w:rPr>
        <w:t>VOLUMELE</w:t>
      </w:r>
    </w:p>
    <w:p w:rsidR="00F53EF4" w:rsidRPr="00DE382D" w:rsidRDefault="00F53EF4" w:rsidP="00F53EF4">
      <w:pPr>
        <w:pStyle w:val="cn"/>
        <w:spacing w:before="0" w:beforeAutospacing="0" w:after="0" w:afterAutospacing="0"/>
        <w:jc w:val="center"/>
        <w:rPr>
          <w:sz w:val="28"/>
          <w:szCs w:val="28"/>
          <w:lang w:val="ro-MD"/>
        </w:rPr>
      </w:pPr>
      <w:r w:rsidRPr="00DE382D">
        <w:rPr>
          <w:b/>
          <w:bCs/>
          <w:sz w:val="28"/>
          <w:szCs w:val="28"/>
          <w:lang w:val="ro-MD"/>
        </w:rPr>
        <w:t>alocațiilor aprobate în bugetul de stat pentru anul 2024,</w:t>
      </w:r>
    </w:p>
    <w:p w:rsidR="00F53EF4" w:rsidRPr="00DE382D" w:rsidRDefault="00F53EF4" w:rsidP="00F53EF4">
      <w:pPr>
        <w:jc w:val="center"/>
        <w:rPr>
          <w:b/>
          <w:bCs/>
          <w:sz w:val="28"/>
          <w:szCs w:val="28"/>
          <w:lang w:val="ro-MD" w:eastAsia="en-GB"/>
        </w:rPr>
      </w:pPr>
      <w:r w:rsidRPr="00DE382D">
        <w:rPr>
          <w:b/>
          <w:bCs/>
          <w:sz w:val="28"/>
          <w:szCs w:val="28"/>
          <w:lang w:val="ro-MD" w:eastAsia="en-GB"/>
        </w:rPr>
        <w:t>care se redistribuie și se repartizează pe autorități publice centrale</w:t>
      </w:r>
    </w:p>
    <w:p w:rsidR="00F53EF4" w:rsidRPr="00DE382D" w:rsidRDefault="00F53EF4" w:rsidP="00F53EF4">
      <w:pPr>
        <w:jc w:val="center"/>
        <w:rPr>
          <w:b/>
          <w:bCs/>
          <w:sz w:val="28"/>
          <w:szCs w:val="28"/>
          <w:lang w:val="ro-MD" w:eastAsia="en-GB"/>
        </w:rPr>
      </w:pPr>
    </w:p>
    <w:p w:rsidR="00F53EF4" w:rsidRPr="00DE382D" w:rsidRDefault="00F53EF4" w:rsidP="00F53EF4">
      <w:pPr>
        <w:jc w:val="right"/>
        <w:rPr>
          <w:bCs/>
          <w:i/>
          <w:lang w:val="ro-MD" w:eastAsia="en-GB"/>
        </w:rPr>
      </w:pPr>
      <w:r>
        <w:rPr>
          <w:bCs/>
          <w:i/>
          <w:lang w:val="ro-MD" w:eastAsia="en-GB"/>
        </w:rPr>
        <w:t xml:space="preserve"> </w:t>
      </w:r>
      <w:r w:rsidRPr="00DE382D">
        <w:rPr>
          <w:bCs/>
          <w:i/>
          <w:lang w:val="ro-MD" w:eastAsia="en-GB"/>
        </w:rPr>
        <w:t>mii lei</w:t>
      </w:r>
      <w:r w:rsidRPr="00DE382D">
        <w:rPr>
          <w:noProof/>
          <w:lang w:val="ro-MD"/>
        </w:rPr>
        <w:fldChar w:fldCharType="begin"/>
      </w:r>
      <w:r w:rsidRPr="00DE382D">
        <w:rPr>
          <w:noProof/>
          <w:lang w:val="ro-MD"/>
        </w:rPr>
        <w:instrText xml:space="preserve"> LINK </w:instrText>
      </w:r>
      <w:r>
        <w:rPr>
          <w:noProof/>
          <w:lang w:val="ro-MD"/>
        </w:rPr>
        <w:instrText xml:space="preserve">Excel.Sheet.12 "C:\\A WORK\\Buget\\2024\\Rectificări şi redistribuiri\\HG nr. din\\Guvern\\Anexa 3.1 (I. Secara).xlsx" "baza (2)!R7C1:R99C14" </w:instrText>
      </w:r>
      <w:r w:rsidRPr="00DE382D">
        <w:rPr>
          <w:noProof/>
          <w:lang w:val="ro-MD"/>
        </w:rPr>
        <w:instrText xml:space="preserve">\a \f 4 \h </w:instrText>
      </w:r>
      <w:r w:rsidRPr="00DE382D">
        <w:rPr>
          <w:noProof/>
          <w:lang w:val="ro-MD"/>
        </w:rPr>
        <w:fldChar w:fldCharType="separate"/>
      </w:r>
    </w:p>
    <w:p w:rsidR="00F53EF4" w:rsidRPr="00DE382D" w:rsidRDefault="00F53EF4" w:rsidP="00F53EF4">
      <w:pPr>
        <w:rPr>
          <w:noProof/>
          <w:sz w:val="10"/>
          <w:szCs w:val="10"/>
          <w:lang w:val="ro-MD"/>
        </w:rPr>
      </w:pPr>
      <w:r w:rsidRPr="00DE382D">
        <w:rPr>
          <w:noProof/>
          <w:sz w:val="28"/>
          <w:szCs w:val="28"/>
          <w:lang w:val="ro-MD"/>
        </w:rPr>
        <w:fldChar w:fldCharType="end"/>
      </w:r>
    </w:p>
    <w:tbl>
      <w:tblPr>
        <w:tblW w:w="9311" w:type="dxa"/>
        <w:tblLook w:val="04A0" w:firstRow="1" w:lastRow="0" w:firstColumn="1" w:lastColumn="0" w:noHBand="0" w:noVBand="1"/>
      </w:tblPr>
      <w:tblGrid>
        <w:gridCol w:w="3823"/>
        <w:gridCol w:w="843"/>
        <w:gridCol w:w="1598"/>
        <w:gridCol w:w="1550"/>
        <w:gridCol w:w="1497"/>
      </w:tblGrid>
      <w:tr w:rsidR="00F53EF4" w:rsidRPr="00DE382D" w:rsidTr="00CD5129">
        <w:trPr>
          <w:trHeight w:val="435"/>
          <w:tblHeader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  <w:r w:rsidRPr="00DE382D"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>Denumirea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  <w:r w:rsidRPr="00DE382D"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>Codul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F4" w:rsidRPr="00DE382D" w:rsidRDefault="00F53EF4" w:rsidP="00CD5129">
            <w:pPr>
              <w:ind w:left="222" w:hanging="222"/>
              <w:jc w:val="center"/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  <w:r w:rsidRPr="00DE382D"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>Redistribuiri/</w:t>
            </w:r>
          </w:p>
          <w:p w:rsidR="00F53EF4" w:rsidRPr="00DE382D" w:rsidRDefault="00F53EF4" w:rsidP="00CD5129">
            <w:pPr>
              <w:ind w:left="222" w:hanging="222"/>
              <w:jc w:val="center"/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>r</w:t>
            </w:r>
            <w:r w:rsidRPr="00DE382D"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>epartizări</w:t>
            </w:r>
            <w:r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>,</w:t>
            </w:r>
            <w:r w:rsidRPr="00DE382D"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 xml:space="preserve"> total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  <w:r w:rsidRPr="00DE382D"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>inclusiv</w:t>
            </w:r>
          </w:p>
        </w:tc>
      </w:tr>
      <w:tr w:rsidR="00F53EF4" w:rsidRPr="00070AF9" w:rsidTr="00CD5129">
        <w:trPr>
          <w:trHeight w:val="1575"/>
          <w:tblHeader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F4" w:rsidRPr="00DE382D" w:rsidRDefault="00F53EF4" w:rsidP="00CD5129">
            <w:pPr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F4" w:rsidRPr="00DE382D" w:rsidRDefault="00F53EF4" w:rsidP="00CD5129">
            <w:pPr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F4" w:rsidRPr="00DE382D" w:rsidRDefault="00F53EF4" w:rsidP="00CD5129">
            <w:pPr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  <w:r w:rsidRPr="00DE382D"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>Redistribuiri până la 10</w:t>
            </w:r>
            <w:r w:rsidRPr="00DE382D"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br/>
              <w:t>la sută din</w:t>
            </w:r>
            <w:r w:rsidRPr="00DE382D"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br/>
              <w:t>volumul</w:t>
            </w:r>
            <w:r w:rsidRPr="00DE382D"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br/>
              <w:t>aprobat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  <w:r w:rsidRPr="00DE382D"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 xml:space="preserve">Repartizări </w:t>
            </w:r>
            <w:r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 xml:space="preserve">de alocații </w:t>
            </w:r>
            <w:r w:rsidRPr="00DE382D"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 xml:space="preserve">pentru salarizarea </w:t>
            </w:r>
            <w:r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>angajaților în sectorul bugetar</w:t>
            </w:r>
          </w:p>
        </w:tc>
      </w:tr>
      <w:tr w:rsidR="00F53EF4" w:rsidRPr="00DE382D" w:rsidTr="00CD5129">
        <w:trPr>
          <w:trHeight w:val="315"/>
          <w:tblHeader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5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Ministerul Afacerilor Interne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0205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>
              <w:rPr>
                <w:b/>
                <w:bCs/>
                <w:color w:val="000000"/>
                <w:lang w:val="ro-MD" w:eastAsia="en-US"/>
              </w:rPr>
              <w:t>89249,4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>
              <w:rPr>
                <w:b/>
                <w:bCs/>
                <w:color w:val="000000"/>
                <w:lang w:val="ro-MD" w:eastAsia="en-US"/>
              </w:rPr>
              <w:t>89249,4</w:t>
            </w:r>
          </w:p>
        </w:tc>
      </w:tr>
      <w:tr w:rsidR="00F53EF4" w:rsidRPr="00DE382D" w:rsidTr="00CD5129">
        <w:trPr>
          <w:trHeight w:val="3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>
              <w:rPr>
                <w:color w:val="000000"/>
                <w:lang w:val="ro-MD" w:eastAsia="en-US"/>
              </w:rPr>
              <w:t>87508,7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>
              <w:rPr>
                <w:color w:val="000000"/>
                <w:lang w:val="ro-MD" w:eastAsia="en-US"/>
              </w:rPr>
              <w:t>87508,7</w:t>
            </w:r>
          </w:p>
        </w:tc>
      </w:tr>
      <w:tr w:rsidR="00F53EF4" w:rsidRPr="00DE382D" w:rsidTr="00CD5129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Politici și management în domeniul afacerilor interne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3501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>
              <w:rPr>
                <w:i/>
                <w:iCs/>
                <w:color w:val="000000"/>
                <w:lang w:val="ro-MD" w:eastAsia="en-US"/>
              </w:rPr>
              <w:t>857,6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>
              <w:rPr>
                <w:i/>
                <w:iCs/>
                <w:color w:val="000000"/>
                <w:lang w:val="ro-MD" w:eastAsia="en-US"/>
              </w:rPr>
              <w:t>857,6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Ordine și siguranță publică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3502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>
              <w:rPr>
                <w:i/>
                <w:iCs/>
                <w:color w:val="000000"/>
                <w:lang w:val="ro-MD" w:eastAsia="en-US"/>
              </w:rPr>
              <w:t>43018,7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>
              <w:rPr>
                <w:i/>
                <w:iCs/>
                <w:color w:val="000000"/>
                <w:lang w:val="ro-MD" w:eastAsia="en-US"/>
              </w:rPr>
              <w:t>43018,7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Trupe de carabinieri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3504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>
              <w:rPr>
                <w:i/>
                <w:iCs/>
                <w:color w:val="000000"/>
                <w:lang w:val="ro-MD" w:eastAsia="en-US"/>
              </w:rPr>
              <w:t>-2580,0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>
              <w:rPr>
                <w:i/>
                <w:iCs/>
                <w:color w:val="000000"/>
                <w:lang w:val="ro-MD" w:eastAsia="en-US"/>
              </w:rPr>
              <w:t>-2580,0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Servicii de suport în domeniul afacerilor interne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3505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1986,6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1986,6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Managementul frontierei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3506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15867,8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2580,0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13287,8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Protecția civilă și apărarea  împotriva incendiilor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3702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28358,0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28358,0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>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251,9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251,9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Managementul deșeurilor radioactive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7006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251,9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251,9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>07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584,8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584,8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Asistență medicală primară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8005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-1070,0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-1070,0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Asistență medicală spitalicească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8010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1654,8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1070,0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584,8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904,0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904,0</w:t>
            </w:r>
          </w:p>
        </w:tc>
      </w:tr>
      <w:tr w:rsidR="00F53EF4" w:rsidRPr="00DE382D" w:rsidTr="00CD5129">
        <w:trPr>
          <w:trHeight w:val="3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 xml:space="preserve">Învățământ profesional tehnic </w:t>
            </w:r>
            <w:proofErr w:type="spellStart"/>
            <w:r w:rsidRPr="00DE382D">
              <w:rPr>
                <w:i/>
                <w:iCs/>
                <w:color w:val="000000"/>
                <w:lang w:val="ro-MD" w:eastAsia="en-US"/>
              </w:rPr>
              <w:t>postsecundar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8809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-1457,8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-1457,8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Învățământ superior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8810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2361,8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1</w:t>
            </w:r>
            <w:r>
              <w:rPr>
                <w:i/>
                <w:iCs/>
                <w:color w:val="000000"/>
                <w:lang w:val="ro-MD" w:eastAsia="en-US"/>
              </w:rPr>
              <w:t>457,8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904,0</w:t>
            </w:r>
          </w:p>
        </w:tc>
      </w:tr>
      <w:tr w:rsidR="00F53EF4" w:rsidRPr="00DE382D" w:rsidTr="00CD5129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 xml:space="preserve">Ministerul Afacerilor Externe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0206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3B2F46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lastRenderedPageBreak/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>
              <w:rPr>
                <w:b/>
                <w:bCs/>
                <w:color w:val="000000"/>
                <w:lang w:val="ro-MD" w:eastAsia="en-US"/>
              </w:rPr>
              <w:t>231,0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>
              <w:rPr>
                <w:b/>
                <w:bCs/>
                <w:color w:val="000000"/>
                <w:lang w:val="ro-MD" w:eastAsia="en-US"/>
              </w:rPr>
              <w:t>231,0</w:t>
            </w:r>
            <w:r w:rsidRPr="00DE382D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F53EF4" w:rsidRPr="003B2F46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>
              <w:rPr>
                <w:color w:val="000000"/>
                <w:lang w:val="ro-MD" w:eastAsia="en-US"/>
              </w:rPr>
              <w:t>231,0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>
              <w:rPr>
                <w:color w:val="000000"/>
                <w:lang w:val="ro-MD" w:eastAsia="en-US"/>
              </w:rPr>
              <w:t>231,0</w:t>
            </w:r>
            <w:r w:rsidRPr="00DE382D">
              <w:rPr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Promovarea intereselor naționale prin intermediul instituțiilor serviciului diplomatic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0602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>
              <w:rPr>
                <w:color w:val="000000"/>
                <w:lang w:val="ro-MD" w:eastAsia="en-US"/>
              </w:rPr>
              <w:t>231,0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  <w:r>
              <w:rPr>
                <w:i/>
                <w:iCs/>
                <w:color w:val="000000"/>
                <w:lang w:val="ro-MD" w:eastAsia="en-US"/>
              </w:rPr>
              <w:t>231,0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Ministerul Infrastructurii și Dezvoltării Regionale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0223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070AF9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Învățământ primar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8803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-838,0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-838,0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Învățământ gimnazial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8804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-1011,5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-1011,5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Învățământ liceal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8806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1849,5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1849,5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Ministerul Educației și Cercetării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0226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>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218,2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218,2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Politici și management în domeniul tineretului și sportului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8601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218,2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218,2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-218,2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-218,2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Politici și management în domeniul educației și cercetării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8801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>
              <w:rPr>
                <w:i/>
                <w:iCs/>
                <w:color w:val="000000"/>
                <w:lang w:val="ro-MD" w:eastAsia="en-US"/>
              </w:rPr>
              <w:t>3406,5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>
              <w:rPr>
                <w:i/>
                <w:iCs/>
                <w:color w:val="000000"/>
                <w:lang w:val="ro-MD" w:eastAsia="en-US"/>
              </w:rPr>
              <w:t>3406,5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Servicii generale în educație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8813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>
              <w:rPr>
                <w:i/>
                <w:iCs/>
                <w:color w:val="000000"/>
                <w:lang w:val="ro-MD" w:eastAsia="en-US"/>
              </w:rPr>
              <w:t>-3624,7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-3624,7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Acțiuni generale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0799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-89</w:t>
            </w:r>
            <w:r>
              <w:rPr>
                <w:b/>
                <w:bCs/>
                <w:color w:val="000000"/>
                <w:lang w:val="ro-MD" w:eastAsia="en-US"/>
              </w:rPr>
              <w:t>480</w:t>
            </w:r>
            <w:r w:rsidRPr="00DE382D">
              <w:rPr>
                <w:b/>
                <w:bCs/>
                <w:color w:val="000000"/>
                <w:lang w:val="ro-MD" w:eastAsia="en-US"/>
              </w:rPr>
              <w:t>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-89</w:t>
            </w:r>
            <w:r>
              <w:rPr>
                <w:b/>
                <w:bCs/>
                <w:color w:val="000000"/>
                <w:lang w:val="ro-MD" w:eastAsia="en-US"/>
              </w:rPr>
              <w:t>480</w:t>
            </w:r>
            <w:r w:rsidRPr="00DE382D">
              <w:rPr>
                <w:b/>
                <w:bCs/>
                <w:color w:val="000000"/>
                <w:lang w:val="ro-MD" w:eastAsia="en-US"/>
              </w:rPr>
              <w:t>,4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-89</w:t>
            </w:r>
            <w:r>
              <w:rPr>
                <w:color w:val="000000"/>
                <w:lang w:val="ro-MD" w:eastAsia="en-US"/>
              </w:rPr>
              <w:t>480</w:t>
            </w:r>
            <w:r w:rsidRPr="00DE382D">
              <w:rPr>
                <w:color w:val="000000"/>
                <w:lang w:val="ro-MD" w:eastAsia="en-US"/>
              </w:rPr>
              <w:t>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right"/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-89</w:t>
            </w:r>
            <w:r>
              <w:rPr>
                <w:color w:val="000000"/>
                <w:lang w:val="ro-MD" w:eastAsia="en-US"/>
              </w:rPr>
              <w:t>480</w:t>
            </w:r>
            <w:r w:rsidRPr="00DE382D">
              <w:rPr>
                <w:color w:val="000000"/>
                <w:lang w:val="ro-MD" w:eastAsia="en-US"/>
              </w:rPr>
              <w:t>,4</w:t>
            </w:r>
          </w:p>
        </w:tc>
      </w:tr>
      <w:tr w:rsidR="00F53EF4" w:rsidRPr="00DE382D" w:rsidTr="00CD512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Acțiuni cu caracter general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F4" w:rsidRPr="00DE382D" w:rsidRDefault="00F53EF4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0808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-89</w:t>
            </w:r>
            <w:r>
              <w:rPr>
                <w:i/>
                <w:iCs/>
                <w:color w:val="000000"/>
                <w:lang w:val="ro-MD" w:eastAsia="en-US"/>
              </w:rPr>
              <w:t>480</w:t>
            </w:r>
            <w:r w:rsidRPr="00DE382D">
              <w:rPr>
                <w:i/>
                <w:iCs/>
                <w:color w:val="000000"/>
                <w:lang w:val="ro-MD" w:eastAsia="en-US"/>
              </w:rPr>
              <w:t>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F4" w:rsidRPr="00DE382D" w:rsidRDefault="00F53EF4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-89</w:t>
            </w:r>
            <w:r>
              <w:rPr>
                <w:i/>
                <w:iCs/>
                <w:color w:val="000000"/>
                <w:lang w:val="ro-MD" w:eastAsia="en-US"/>
              </w:rPr>
              <w:t>480</w:t>
            </w:r>
            <w:r w:rsidRPr="00DE382D">
              <w:rPr>
                <w:i/>
                <w:iCs/>
                <w:color w:val="000000"/>
                <w:lang w:val="ro-MD" w:eastAsia="en-US"/>
              </w:rPr>
              <w:t>,4</w:t>
            </w:r>
          </w:p>
        </w:tc>
      </w:tr>
    </w:tbl>
    <w:p w:rsidR="00F53EF4" w:rsidRDefault="00F53EF4" w:rsidP="00F53EF4">
      <w:pPr>
        <w:ind w:firstLine="709"/>
      </w:pPr>
    </w:p>
    <w:sectPr w:rsidR="00F53EF4" w:rsidSect="00F53E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B5A22"/>
    <w:multiLevelType w:val="hybridMultilevel"/>
    <w:tmpl w:val="7EB4207E"/>
    <w:lvl w:ilvl="0" w:tplc="8C9A8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93"/>
    <w:rsid w:val="00700A5A"/>
    <w:rsid w:val="00847693"/>
    <w:rsid w:val="00F5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57A3"/>
  <w15:chartTrackingRefBased/>
  <w15:docId w15:val="{940D5489-F4B5-4F43-8507-9BBD5E88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F4"/>
    <w:pPr>
      <w:ind w:left="720"/>
      <w:contextualSpacing/>
    </w:pPr>
  </w:style>
  <w:style w:type="paragraph" w:customStyle="1" w:styleId="cn">
    <w:name w:val="cn"/>
    <w:basedOn w:val="a"/>
    <w:rsid w:val="00F53EF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Russu, Cristina</dc:creator>
  <cp:keywords/>
  <dc:description/>
  <cp:lastModifiedBy>Russu, Cristina</cp:lastModifiedBy>
  <cp:revision>2</cp:revision>
  <dcterms:created xsi:type="dcterms:W3CDTF">2024-10-07T07:41:00Z</dcterms:created>
  <dcterms:modified xsi:type="dcterms:W3CDTF">2024-10-07T07:43:00Z</dcterms:modified>
</cp:coreProperties>
</file>