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7F" w:rsidRPr="00324B7F" w:rsidRDefault="00324B7F" w:rsidP="00324B7F">
      <w:pPr>
        <w:pStyle w:val="a3"/>
        <w:spacing w:line="276" w:lineRule="auto"/>
        <w:jc w:val="center"/>
        <w:rPr>
          <w:rStyle w:val="ppar"/>
          <w:rFonts w:ascii="Times New Roman" w:hAnsi="Times New Roman" w:cs="Times New Roman"/>
          <w:b/>
          <w:color w:val="000000"/>
          <w:sz w:val="32"/>
          <w:szCs w:val="32"/>
          <w:shd w:val="clear" w:color="auto" w:fill="FFFFFF"/>
        </w:rPr>
      </w:pPr>
      <w:r>
        <w:rPr>
          <w:rStyle w:val="ppar"/>
          <w:rFonts w:ascii="Times New Roman" w:hAnsi="Times New Roman" w:cs="Times New Roman"/>
          <w:b/>
          <w:color w:val="000000"/>
          <w:sz w:val="32"/>
          <w:szCs w:val="32"/>
          <w:shd w:val="clear" w:color="auto" w:fill="FFFFFF"/>
        </w:rPr>
        <w:t>Notă</w:t>
      </w:r>
      <w:r w:rsidRPr="00324B7F">
        <w:rPr>
          <w:rStyle w:val="ppar"/>
          <w:rFonts w:ascii="Times New Roman" w:hAnsi="Times New Roman" w:cs="Times New Roman"/>
          <w:b/>
          <w:color w:val="000000"/>
          <w:sz w:val="32"/>
          <w:szCs w:val="32"/>
          <w:shd w:val="clear" w:color="auto" w:fill="FFFFFF"/>
        </w:rPr>
        <w:t xml:space="preserve"> informativă</w:t>
      </w:r>
    </w:p>
    <w:p w:rsidR="00F00444" w:rsidRDefault="00324B7F" w:rsidP="00324B7F">
      <w:pPr>
        <w:pStyle w:val="a3"/>
        <w:spacing w:line="276" w:lineRule="auto"/>
        <w:jc w:val="center"/>
        <w:rPr>
          <w:rFonts w:ascii="Times New Roman" w:eastAsia="Calibri" w:hAnsi="Times New Roman" w:cs="Times New Roman"/>
          <w:bCs/>
          <w:sz w:val="28"/>
          <w:szCs w:val="28"/>
        </w:rPr>
      </w:pPr>
      <w:r w:rsidRPr="00324B7F">
        <w:rPr>
          <w:rStyle w:val="ppar"/>
          <w:rFonts w:ascii="Times New Roman" w:hAnsi="Times New Roman" w:cs="Times New Roman"/>
          <w:color w:val="000000"/>
          <w:sz w:val="28"/>
          <w:szCs w:val="28"/>
          <w:shd w:val="clear" w:color="auto" w:fill="FFFFFF"/>
        </w:rPr>
        <w:t>la proiectul Hotărîrii Guvernului c</w:t>
      </w:r>
      <w:r w:rsidRPr="00324B7F">
        <w:rPr>
          <w:rFonts w:ascii="Times New Roman" w:eastAsia="Calibri" w:hAnsi="Times New Roman" w:cs="Times New Roman"/>
          <w:bCs/>
          <w:sz w:val="28"/>
          <w:szCs w:val="28"/>
        </w:rPr>
        <w:t xml:space="preserve">u privire la </w:t>
      </w:r>
      <w:r w:rsidR="00F00444">
        <w:rPr>
          <w:rFonts w:ascii="Times New Roman" w:eastAsia="Calibri" w:hAnsi="Times New Roman" w:cs="Times New Roman"/>
          <w:bCs/>
          <w:sz w:val="28"/>
          <w:szCs w:val="28"/>
        </w:rPr>
        <w:t xml:space="preserve">modificarea și completarea </w:t>
      </w:r>
    </w:p>
    <w:p w:rsidR="00324B7F" w:rsidRPr="00324B7F" w:rsidRDefault="00F00444" w:rsidP="00324B7F">
      <w:pPr>
        <w:pStyle w:val="a3"/>
        <w:spacing w:line="276" w:lineRule="auto"/>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Cs/>
          <w:sz w:val="28"/>
          <w:szCs w:val="28"/>
        </w:rPr>
        <w:t xml:space="preserve">Hotărîrii Guvernului nr. 875 din 21 octombrie 2014 </w:t>
      </w:r>
      <w:r w:rsidR="00324B7F" w:rsidRPr="00324B7F">
        <w:rPr>
          <w:rFonts w:ascii="Times New Roman" w:eastAsia="Calibri" w:hAnsi="Times New Roman" w:cs="Times New Roman"/>
          <w:bCs/>
          <w:sz w:val="28"/>
          <w:szCs w:val="28"/>
        </w:rPr>
        <w:t xml:space="preserve"> </w:t>
      </w:r>
    </w:p>
    <w:p w:rsidR="00414E0F" w:rsidRDefault="00414E0F" w:rsidP="00324B7F">
      <w:pPr>
        <w:pStyle w:val="a3"/>
        <w:spacing w:line="276" w:lineRule="auto"/>
        <w:jc w:val="center"/>
        <w:rPr>
          <w:rStyle w:val="ppar"/>
          <w:rFonts w:ascii="Times New Roman" w:hAnsi="Times New Roman" w:cs="Times New Roman"/>
          <w:color w:val="000000"/>
          <w:sz w:val="28"/>
          <w:szCs w:val="28"/>
          <w:shd w:val="clear" w:color="auto" w:fill="FFFFFF"/>
        </w:rPr>
      </w:pPr>
    </w:p>
    <w:p w:rsidR="00324B7F" w:rsidRDefault="00324B7F" w:rsidP="00324B7F">
      <w:pPr>
        <w:pStyle w:val="a3"/>
        <w:spacing w:line="276" w:lineRule="auto"/>
        <w:jc w:val="center"/>
        <w:rPr>
          <w:rStyle w:val="ppar"/>
          <w:rFonts w:ascii="Times New Roman" w:hAnsi="Times New Roman" w:cs="Times New Roman"/>
          <w:color w:val="000000"/>
          <w:sz w:val="28"/>
          <w:szCs w:val="28"/>
          <w:shd w:val="clear" w:color="auto" w:fill="FFFFFF"/>
        </w:rPr>
      </w:pPr>
      <w:r>
        <w:rPr>
          <w:rStyle w:val="ppar"/>
          <w:rFonts w:ascii="Times New Roman" w:hAnsi="Times New Roman" w:cs="Times New Roman"/>
          <w:color w:val="000000"/>
          <w:sz w:val="28"/>
          <w:szCs w:val="28"/>
          <w:shd w:val="clear" w:color="auto" w:fill="FFFFFF"/>
        </w:rPr>
        <w:t xml:space="preserve"> </w:t>
      </w:r>
    </w:p>
    <w:p w:rsidR="00F00444" w:rsidRDefault="00E2067F" w:rsidP="00F00444">
      <w:pPr>
        <w:pStyle w:val="a3"/>
        <w:spacing w:line="276" w:lineRule="auto"/>
        <w:ind w:firstLine="708"/>
        <w:jc w:val="both"/>
        <w:rPr>
          <w:rFonts w:ascii="Times New Roman" w:hAnsi="Times New Roman" w:cs="Times New Roman"/>
          <w:bCs/>
          <w:sz w:val="28"/>
          <w:szCs w:val="28"/>
        </w:rPr>
      </w:pPr>
      <w:r>
        <w:rPr>
          <w:rStyle w:val="ppar"/>
          <w:rFonts w:ascii="Times New Roman" w:hAnsi="Times New Roman" w:cs="Times New Roman"/>
          <w:color w:val="000000"/>
          <w:sz w:val="28"/>
          <w:szCs w:val="28"/>
          <w:shd w:val="clear" w:color="auto" w:fill="FFFFFF"/>
        </w:rPr>
        <w:t>P</w:t>
      </w:r>
      <w:r w:rsidRPr="00324B7F">
        <w:rPr>
          <w:rStyle w:val="ppar"/>
          <w:rFonts w:ascii="Times New Roman" w:hAnsi="Times New Roman" w:cs="Times New Roman"/>
          <w:color w:val="000000"/>
          <w:sz w:val="28"/>
          <w:szCs w:val="28"/>
          <w:shd w:val="clear" w:color="auto" w:fill="FFFFFF"/>
        </w:rPr>
        <w:t xml:space="preserve">roiectul Hotărîrii Guvernului </w:t>
      </w:r>
      <w:r w:rsidR="00F00444" w:rsidRPr="00324B7F">
        <w:rPr>
          <w:rStyle w:val="ppar"/>
          <w:rFonts w:ascii="Times New Roman" w:hAnsi="Times New Roman" w:cs="Times New Roman"/>
          <w:color w:val="000000"/>
          <w:sz w:val="28"/>
          <w:szCs w:val="28"/>
          <w:shd w:val="clear" w:color="auto" w:fill="FFFFFF"/>
        </w:rPr>
        <w:t>c</w:t>
      </w:r>
      <w:r w:rsidR="00F00444" w:rsidRPr="00324B7F">
        <w:rPr>
          <w:rFonts w:ascii="Times New Roman" w:eastAsia="Calibri" w:hAnsi="Times New Roman" w:cs="Times New Roman"/>
          <w:bCs/>
          <w:sz w:val="28"/>
          <w:szCs w:val="28"/>
        </w:rPr>
        <w:t xml:space="preserve">u privire la </w:t>
      </w:r>
      <w:r w:rsidR="00F00444">
        <w:rPr>
          <w:rFonts w:ascii="Times New Roman" w:eastAsia="Calibri" w:hAnsi="Times New Roman" w:cs="Times New Roman"/>
          <w:bCs/>
          <w:sz w:val="28"/>
          <w:szCs w:val="28"/>
        </w:rPr>
        <w:t xml:space="preserve">modificarea și completarea Hotărîrii Guvernului nr. 875 din 21 octombrie 2014 </w:t>
      </w:r>
      <w:r>
        <w:rPr>
          <w:rFonts w:ascii="Times New Roman" w:hAnsi="Times New Roman" w:cs="Times New Roman"/>
          <w:bCs/>
          <w:sz w:val="28"/>
          <w:szCs w:val="28"/>
        </w:rPr>
        <w:t>a fost elaborat</w:t>
      </w:r>
      <w:r w:rsidRPr="00324B7F">
        <w:rPr>
          <w:rFonts w:ascii="Times New Roman" w:eastAsia="Calibri" w:hAnsi="Times New Roman" w:cs="Times New Roman"/>
          <w:bCs/>
          <w:sz w:val="28"/>
          <w:szCs w:val="28"/>
        </w:rPr>
        <w:t xml:space="preserve"> </w:t>
      </w:r>
      <w:r w:rsidR="00D55305">
        <w:rPr>
          <w:rFonts w:ascii="Times New Roman" w:hAnsi="Times New Roman" w:cs="Times New Roman"/>
          <w:bCs/>
          <w:sz w:val="28"/>
          <w:szCs w:val="28"/>
        </w:rPr>
        <w:t xml:space="preserve">în vederea ajustării conținutului </w:t>
      </w:r>
      <w:r w:rsidR="00D55305" w:rsidRPr="00324B7F">
        <w:rPr>
          <w:rFonts w:ascii="Times New Roman" w:eastAsia="Calibri" w:hAnsi="Times New Roman" w:cs="Times New Roman"/>
          <w:bCs/>
          <w:sz w:val="28"/>
          <w:szCs w:val="28"/>
        </w:rPr>
        <w:t>Regulamentului privind monitoringul financiar al întreprinderilor de stat/</w:t>
      </w:r>
      <w:r w:rsidR="00F00444">
        <w:rPr>
          <w:rFonts w:ascii="Times New Roman" w:eastAsia="Calibri" w:hAnsi="Times New Roman" w:cs="Times New Roman"/>
          <w:bCs/>
          <w:sz w:val="28"/>
          <w:szCs w:val="28"/>
        </w:rPr>
        <w:t xml:space="preserve"> </w:t>
      </w:r>
      <w:r w:rsidR="00D55305" w:rsidRPr="00324B7F">
        <w:rPr>
          <w:rFonts w:ascii="Times New Roman" w:eastAsia="Calibri" w:hAnsi="Times New Roman" w:cs="Times New Roman"/>
          <w:bCs/>
          <w:sz w:val="28"/>
          <w:szCs w:val="28"/>
        </w:rPr>
        <w:t xml:space="preserve">municipale și al societăților comerciale cu capital  </w:t>
      </w:r>
      <w:r w:rsidR="00307B0C">
        <w:rPr>
          <w:rFonts w:ascii="Times New Roman" w:eastAsia="Calibri" w:hAnsi="Times New Roman" w:cs="Times New Roman"/>
          <w:bCs/>
          <w:sz w:val="28"/>
          <w:szCs w:val="28"/>
        </w:rPr>
        <w:t xml:space="preserve">integral </w:t>
      </w:r>
      <w:r w:rsidR="00D55305" w:rsidRPr="00324B7F">
        <w:rPr>
          <w:rFonts w:ascii="Times New Roman" w:eastAsia="Calibri" w:hAnsi="Times New Roman" w:cs="Times New Roman"/>
          <w:bCs/>
          <w:sz w:val="28"/>
          <w:szCs w:val="28"/>
        </w:rPr>
        <w:t>sau majoritar public</w:t>
      </w:r>
      <w:r w:rsidR="00D55305">
        <w:rPr>
          <w:rFonts w:ascii="Times New Roman" w:hAnsi="Times New Roman" w:cs="Times New Roman"/>
          <w:bCs/>
          <w:sz w:val="28"/>
          <w:szCs w:val="28"/>
        </w:rPr>
        <w:t xml:space="preserve"> </w:t>
      </w:r>
      <w:bookmarkStart w:id="0" w:name="_GoBack"/>
      <w:bookmarkEnd w:id="0"/>
      <w:r w:rsidR="00D55305">
        <w:rPr>
          <w:rFonts w:ascii="Times New Roman" w:hAnsi="Times New Roman" w:cs="Times New Roman"/>
          <w:bCs/>
          <w:sz w:val="28"/>
          <w:szCs w:val="28"/>
        </w:rPr>
        <w:t xml:space="preserve">la </w:t>
      </w:r>
      <w:r w:rsidR="00F00444">
        <w:rPr>
          <w:rFonts w:ascii="Times New Roman" w:hAnsi="Times New Roman" w:cs="Times New Roman"/>
          <w:bCs/>
          <w:sz w:val="28"/>
          <w:szCs w:val="28"/>
        </w:rPr>
        <w:t xml:space="preserve">recomandările Curții de Conturi expuse în Hotărîrea nr. 3 din </w:t>
      </w:r>
      <w:r w:rsidR="00F00444" w:rsidRPr="00F00444">
        <w:rPr>
          <w:rFonts w:ascii="Times New Roman" w:hAnsi="Times New Roman" w:cs="Times New Roman"/>
          <w:bCs/>
          <w:sz w:val="28"/>
          <w:szCs w:val="28"/>
        </w:rPr>
        <w:t xml:space="preserve">25 februarie 2016 cu privire </w:t>
      </w:r>
      <w:smartTag w:uri="urn:schemas-microsoft-com:office:smarttags" w:element="PersonName">
        <w:smartTagPr>
          <w:attr w:name="ProductID" w:val="la Raportul"/>
        </w:smartTagPr>
        <w:r w:rsidR="00F00444" w:rsidRPr="00F00444">
          <w:rPr>
            <w:rFonts w:ascii="Times New Roman" w:hAnsi="Times New Roman" w:cs="Times New Roman"/>
            <w:bCs/>
            <w:sz w:val="28"/>
            <w:szCs w:val="28"/>
          </w:rPr>
          <w:t>la Raportul</w:t>
        </w:r>
      </w:smartTag>
      <w:r w:rsidR="00F00444" w:rsidRPr="00F00444">
        <w:rPr>
          <w:rFonts w:ascii="Times New Roman" w:hAnsi="Times New Roman" w:cs="Times New Roman"/>
          <w:bCs/>
          <w:sz w:val="28"/>
          <w:szCs w:val="28"/>
        </w:rPr>
        <w:t xml:space="preserve"> auditului privind realizarea de către Ministerul Finanţelor a sarcinilor şi activităţilor în procesul de monitoring financiar al întreprinderilor de stat şi societăţilor comerciale cu capital integral sau majoritar de stat</w:t>
      </w:r>
      <w:r w:rsidR="00F00444">
        <w:rPr>
          <w:rFonts w:ascii="Times New Roman" w:hAnsi="Times New Roman" w:cs="Times New Roman"/>
          <w:bCs/>
          <w:sz w:val="28"/>
          <w:szCs w:val="28"/>
        </w:rPr>
        <w:t>.</w:t>
      </w:r>
    </w:p>
    <w:p w:rsidR="00F00444" w:rsidRPr="00C13D89" w:rsidRDefault="00F00444" w:rsidP="00C13D89">
      <w:pPr>
        <w:pStyle w:val="a3"/>
        <w:spacing w:line="276" w:lineRule="auto"/>
        <w:ind w:firstLine="708"/>
        <w:jc w:val="both"/>
        <w:rPr>
          <w:rFonts w:ascii="Times New Roman" w:hAnsi="Times New Roman" w:cs="Times New Roman"/>
          <w:bCs/>
          <w:sz w:val="28"/>
          <w:szCs w:val="28"/>
        </w:rPr>
      </w:pPr>
      <w:r w:rsidRPr="00C13D89">
        <w:rPr>
          <w:rFonts w:ascii="Times New Roman" w:hAnsi="Times New Roman" w:cs="Times New Roman"/>
          <w:bCs/>
          <w:sz w:val="28"/>
          <w:szCs w:val="28"/>
        </w:rPr>
        <w:t>Astfel, p</w:t>
      </w:r>
      <w:r w:rsidRPr="00C13D89">
        <w:rPr>
          <w:rStyle w:val="ppar"/>
          <w:rFonts w:ascii="Times New Roman" w:hAnsi="Times New Roman" w:cs="Times New Roman"/>
          <w:color w:val="000000"/>
          <w:sz w:val="28"/>
          <w:szCs w:val="28"/>
          <w:shd w:val="clear" w:color="auto" w:fill="FFFFFF"/>
        </w:rPr>
        <w:t>roiectul Hotărîrii Guvernului</w:t>
      </w:r>
      <w:r w:rsidRPr="00C13D89">
        <w:rPr>
          <w:rFonts w:ascii="Times New Roman" w:hAnsi="Times New Roman" w:cs="Times New Roman"/>
          <w:bCs/>
          <w:sz w:val="28"/>
          <w:szCs w:val="28"/>
        </w:rPr>
        <w:t xml:space="preserve"> elaborat urmărește implementarea parțială a recomandărilor Curții de Conturi, include ajustări de ordin tehnic și de clarificare a unor norme ale Regulamentului</w:t>
      </w:r>
      <w:r w:rsidR="00C13D89" w:rsidRPr="00C13D89">
        <w:rPr>
          <w:rFonts w:ascii="Times New Roman" w:hAnsi="Times New Roman" w:cs="Times New Roman"/>
          <w:bCs/>
          <w:sz w:val="28"/>
          <w:szCs w:val="28"/>
        </w:rPr>
        <w:t>, precum și completează procesul de monitoring financiar cu o nouă sursă de informații și anume datele Casei Naționale de Asigurări Sociale cu privire la numărul de angajați și salarizarea angajaților entităților analizate.</w:t>
      </w:r>
    </w:p>
    <w:p w:rsidR="00C13D89" w:rsidRDefault="00C13D89" w:rsidP="00C13D89">
      <w:pPr>
        <w:pStyle w:val="a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În conformitate cu raportul misiunii de audit, au fost identificate anumite domenii ale procesului de monitoring financiar care necesită a fi perfecționate/ clarificate avîndu-se în vedere sfera de competență a Ministerului Finanțelor și anume:</w:t>
      </w:r>
    </w:p>
    <w:p w:rsidR="00C13D89" w:rsidRPr="00C13D89" w:rsidRDefault="00C13D89" w:rsidP="00C13D89">
      <w:pPr>
        <w:pStyle w:val="a3"/>
        <w:spacing w:line="276" w:lineRule="auto"/>
        <w:ind w:firstLine="708"/>
        <w:jc w:val="both"/>
        <w:rPr>
          <w:rFonts w:ascii="Times New Roman" w:hAnsi="Times New Roman" w:cs="Times New Roman"/>
          <w:bCs/>
          <w:sz w:val="28"/>
          <w:szCs w:val="28"/>
        </w:rPr>
      </w:pPr>
      <w:r w:rsidRPr="00C13D89">
        <w:rPr>
          <w:rFonts w:ascii="Times New Roman" w:hAnsi="Times New Roman" w:cs="Times New Roman"/>
          <w:bCs/>
          <w:sz w:val="28"/>
          <w:szCs w:val="28"/>
        </w:rPr>
        <w:t xml:space="preserve">- </w:t>
      </w:r>
      <w:r w:rsidR="005D1791">
        <w:rPr>
          <w:rFonts w:ascii="Times New Roman" w:hAnsi="Times New Roman" w:cs="Times New Roman"/>
          <w:bCs/>
          <w:sz w:val="28"/>
          <w:szCs w:val="28"/>
        </w:rPr>
        <w:t>nereglementarea proceselor sau indicatorilor</w:t>
      </w:r>
      <w:r w:rsidRPr="00C13D89">
        <w:rPr>
          <w:rFonts w:ascii="Times New Roman" w:hAnsi="Times New Roman" w:cs="Times New Roman"/>
          <w:bCs/>
          <w:sz w:val="28"/>
          <w:szCs w:val="28"/>
        </w:rPr>
        <w:t xml:space="preserve"> stabiliţi de către autorităţile administraţiei publice centrale aferenţi realizării scopului privind consolidarea disciplinei financiare şi evaluaţi de Ministerul Finanţelor, precum şi </w:t>
      </w:r>
      <w:r w:rsidR="005D1791">
        <w:rPr>
          <w:rFonts w:ascii="Times New Roman" w:hAnsi="Times New Roman" w:cs="Times New Roman"/>
          <w:bCs/>
          <w:sz w:val="28"/>
          <w:szCs w:val="28"/>
        </w:rPr>
        <w:t>termenelor</w:t>
      </w:r>
      <w:r w:rsidRPr="00C13D89">
        <w:rPr>
          <w:rFonts w:ascii="Times New Roman" w:hAnsi="Times New Roman" w:cs="Times New Roman"/>
          <w:bCs/>
          <w:sz w:val="28"/>
          <w:szCs w:val="28"/>
        </w:rPr>
        <w:t xml:space="preserve"> de prezentare a informaţiilor necesare monitoringului financiar de către instituţiile implicate;</w:t>
      </w:r>
    </w:p>
    <w:p w:rsidR="00C13D89" w:rsidRPr="00C13D89" w:rsidRDefault="00C13D89" w:rsidP="00C13D89">
      <w:pPr>
        <w:pStyle w:val="a3"/>
        <w:spacing w:line="276" w:lineRule="auto"/>
        <w:ind w:firstLine="708"/>
        <w:jc w:val="both"/>
        <w:rPr>
          <w:rFonts w:ascii="Times New Roman" w:hAnsi="Times New Roman" w:cs="Times New Roman"/>
          <w:bCs/>
          <w:sz w:val="28"/>
          <w:szCs w:val="28"/>
        </w:rPr>
      </w:pPr>
      <w:r w:rsidRPr="00C13D89">
        <w:rPr>
          <w:rFonts w:ascii="Times New Roman" w:hAnsi="Times New Roman" w:cs="Times New Roman"/>
          <w:bCs/>
          <w:sz w:val="28"/>
          <w:szCs w:val="28"/>
        </w:rPr>
        <w:t>- sporirea eficienţei utilizării patrimoniului public, ca parte a scopului monitoringului financiar este o atribuţie aferentă fondatorilor, în procesul de monitoring urmînd a fi apreciată atingerea acestuia, inclusiv prin evaluarea realizării indicatorilor de performanţă prestabiliţi de către autorităţi;</w:t>
      </w:r>
    </w:p>
    <w:p w:rsidR="00C13D89" w:rsidRPr="00C13D89" w:rsidRDefault="00C13D89" w:rsidP="00C13D89">
      <w:pPr>
        <w:pStyle w:val="a3"/>
        <w:spacing w:line="276" w:lineRule="auto"/>
        <w:ind w:firstLine="708"/>
        <w:jc w:val="both"/>
        <w:rPr>
          <w:rFonts w:ascii="Times New Roman" w:hAnsi="Times New Roman" w:cs="Times New Roman"/>
          <w:bCs/>
          <w:sz w:val="28"/>
          <w:szCs w:val="28"/>
        </w:rPr>
      </w:pPr>
      <w:r w:rsidRPr="00C13D89">
        <w:rPr>
          <w:rFonts w:ascii="Times New Roman" w:hAnsi="Times New Roman" w:cs="Times New Roman"/>
          <w:bCs/>
          <w:sz w:val="28"/>
          <w:szCs w:val="28"/>
        </w:rPr>
        <w:t>- în noţiunile principale este prevăzută verificarea documentară, ca element al monitoringului financiar, care constă în verificarea datelor situaţiilor financiare şi a altor informaţii de care dispune autoritatea care efectuează monitoringul (Ministerul Finanţelor), activităţi improprii monitoringului financiar;</w:t>
      </w:r>
    </w:p>
    <w:p w:rsidR="005D1791" w:rsidRDefault="00C13D89" w:rsidP="005D1791">
      <w:pPr>
        <w:pStyle w:val="a3"/>
        <w:spacing w:line="276" w:lineRule="auto"/>
        <w:ind w:firstLine="708"/>
        <w:jc w:val="both"/>
        <w:rPr>
          <w:rFonts w:ascii="Times New Roman" w:hAnsi="Times New Roman" w:cs="Times New Roman"/>
          <w:bCs/>
          <w:sz w:val="28"/>
          <w:szCs w:val="28"/>
        </w:rPr>
      </w:pPr>
      <w:r w:rsidRPr="00C13D89">
        <w:rPr>
          <w:rFonts w:ascii="Times New Roman" w:hAnsi="Times New Roman" w:cs="Times New Roman"/>
          <w:bCs/>
          <w:sz w:val="28"/>
          <w:szCs w:val="28"/>
        </w:rPr>
        <w:t xml:space="preserve">- la valorificarea rezultatelor monitoringului financiar nu este prevăzut modul şi condiţiile de implicare a Guvernului în responsabilizarea autorităţilor </w:t>
      </w:r>
      <w:r w:rsidRPr="00C13D89">
        <w:rPr>
          <w:rFonts w:ascii="Times New Roman" w:hAnsi="Times New Roman" w:cs="Times New Roman"/>
          <w:bCs/>
          <w:sz w:val="28"/>
          <w:szCs w:val="28"/>
        </w:rPr>
        <w:lastRenderedPageBreak/>
        <w:t>administraţiei publice centrale pentru elaborarea măsurilor de intervenţie/</w:t>
      </w:r>
      <w:r w:rsidR="005D1791">
        <w:rPr>
          <w:rFonts w:ascii="Times New Roman" w:hAnsi="Times New Roman" w:cs="Times New Roman"/>
          <w:bCs/>
          <w:sz w:val="28"/>
          <w:szCs w:val="28"/>
        </w:rPr>
        <w:t xml:space="preserve"> </w:t>
      </w:r>
      <w:r w:rsidRPr="00C13D89">
        <w:rPr>
          <w:rFonts w:ascii="Times New Roman" w:hAnsi="Times New Roman" w:cs="Times New Roman"/>
          <w:bCs/>
          <w:sz w:val="28"/>
          <w:szCs w:val="28"/>
        </w:rPr>
        <w:t xml:space="preserve">eficientizare a gestionării patrimoniului public din subordine, precum şi în vederea </w:t>
      </w:r>
      <w:r w:rsidR="00307B0C">
        <w:rPr>
          <w:rFonts w:ascii="Times New Roman" w:hAnsi="Times New Roman" w:cs="Times New Roman"/>
          <w:bCs/>
          <w:sz w:val="28"/>
          <w:szCs w:val="28"/>
        </w:rPr>
        <w:t xml:space="preserve">stabilirii </w:t>
      </w:r>
      <w:r w:rsidRPr="00C13D89">
        <w:rPr>
          <w:rFonts w:ascii="Times New Roman" w:hAnsi="Times New Roman" w:cs="Times New Roman"/>
          <w:bCs/>
          <w:sz w:val="28"/>
          <w:szCs w:val="28"/>
        </w:rPr>
        <w:t>obliga</w:t>
      </w:r>
      <w:r w:rsidR="00307B0C">
        <w:rPr>
          <w:rFonts w:ascii="Times New Roman" w:hAnsi="Times New Roman" w:cs="Times New Roman"/>
          <w:bCs/>
          <w:sz w:val="28"/>
          <w:szCs w:val="28"/>
        </w:rPr>
        <w:t>ției</w:t>
      </w:r>
      <w:r w:rsidRPr="00C13D89">
        <w:rPr>
          <w:rFonts w:ascii="Times New Roman" w:hAnsi="Times New Roman" w:cs="Times New Roman"/>
          <w:bCs/>
          <w:sz w:val="28"/>
          <w:szCs w:val="28"/>
        </w:rPr>
        <w:t xml:space="preserve"> autorităţilor publice centrale de specialitate de a evalua şi a raporta realizarea indicatorilor de performanţă stabiliţi, în scopul asigurării eficienţei g</w:t>
      </w:r>
      <w:r w:rsidR="005D1791">
        <w:rPr>
          <w:rFonts w:ascii="Times New Roman" w:hAnsi="Times New Roman" w:cs="Times New Roman"/>
          <w:bCs/>
          <w:sz w:val="28"/>
          <w:szCs w:val="28"/>
        </w:rPr>
        <w:t>estionării patrimoniului public;</w:t>
      </w:r>
    </w:p>
    <w:p w:rsidR="00C13D89" w:rsidRDefault="005D1791" w:rsidP="00F00444">
      <w:pPr>
        <w:pStyle w:val="a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13D89" w:rsidRPr="00C13D89">
        <w:rPr>
          <w:rFonts w:ascii="Times New Roman" w:hAnsi="Times New Roman" w:cs="Times New Roman"/>
          <w:bCs/>
          <w:sz w:val="28"/>
          <w:szCs w:val="28"/>
        </w:rPr>
        <w:t>sînt recomandabile prevederile aferente utilizării rezultatelor monitoringului financiar pentru efectuarea previziunilor cu privire la diagnosticarea stării financiare şi evoluţia indicatorilor în acest sens, a nivelului de gestionare a patrimoniului de stat, inclusiv prin estimarea încasărilor la bugetul de stat sub formă de defalcări/div</w:t>
      </w:r>
      <w:r>
        <w:rPr>
          <w:rFonts w:ascii="Times New Roman" w:hAnsi="Times New Roman" w:cs="Times New Roman"/>
          <w:bCs/>
          <w:sz w:val="28"/>
          <w:szCs w:val="28"/>
        </w:rPr>
        <w:t xml:space="preserve">idende din profitul net obţinut etc. </w:t>
      </w:r>
    </w:p>
    <w:p w:rsidR="002C7DD3" w:rsidRDefault="00C13D89" w:rsidP="00F00444">
      <w:pPr>
        <w:pStyle w:val="a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Implementarea parțială a recomandărilor Curții de Conturi este cauzată</w:t>
      </w:r>
      <w:r w:rsidR="005D1791">
        <w:rPr>
          <w:rFonts w:ascii="Times New Roman" w:hAnsi="Times New Roman" w:cs="Times New Roman"/>
          <w:bCs/>
          <w:sz w:val="28"/>
          <w:szCs w:val="28"/>
        </w:rPr>
        <w:t xml:space="preserve"> de demararea de către Guvern a reformei administrației publice, în conformitate cu Strategia privind reforma administrației publice pentru anii 2016-2020, aprobată prin Hotărîrea Guvernului nr. 911 din 25 iulie 2016. Așadar, în conformitate cu proiectul de lege pentru modificarea și completarea unor acte legislative, elaborat de Centrul de implementare a reformelor</w:t>
      </w:r>
      <w:r w:rsidR="002C7DD3">
        <w:rPr>
          <w:rFonts w:ascii="Times New Roman" w:hAnsi="Times New Roman" w:cs="Times New Roman"/>
          <w:bCs/>
          <w:sz w:val="28"/>
          <w:szCs w:val="28"/>
        </w:rPr>
        <w:t>, în scopul administrării și deetatizării întregii proprietăți publice a statului, se propune crearea Agenției Proprietății Publice în subordinea Guvernului. În acest context, funcția de fondator al entităților cu capital de stat va fi exercitată de Agenția Proprietății Publice, fiind propusă modificarea Legii nr. 121/2007 privind administrarea și deetatizarea proprietății publice, Legea nr. 98/2012 privind administrația publică centrală de specialitate, precum și Legea nr. 146/1994 cu privire la întreprinderea de stat. Totodată, potrivit proiectului, restructurarea, reorganizarea sau lichidarea entităților cu capital de stat va fi una din competențele exclusive ale Agenției Proprietății Publice.</w:t>
      </w:r>
    </w:p>
    <w:p w:rsidR="00C13D89" w:rsidRDefault="002C7DD3" w:rsidP="006C51B4">
      <w:pPr>
        <w:pStyle w:val="a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Dat fiind </w:t>
      </w:r>
      <w:r w:rsidR="00307B0C">
        <w:rPr>
          <w:rFonts w:ascii="Times New Roman" w:hAnsi="Times New Roman" w:cs="Times New Roman"/>
          <w:bCs/>
          <w:sz w:val="28"/>
          <w:szCs w:val="28"/>
        </w:rPr>
        <w:t xml:space="preserve">inițierea procesului de </w:t>
      </w:r>
      <w:r>
        <w:rPr>
          <w:rFonts w:ascii="Times New Roman" w:hAnsi="Times New Roman" w:cs="Times New Roman"/>
          <w:bCs/>
          <w:sz w:val="28"/>
          <w:szCs w:val="28"/>
        </w:rPr>
        <w:t>modificare</w:t>
      </w:r>
      <w:r w:rsidR="00307B0C">
        <w:rPr>
          <w:rFonts w:ascii="Times New Roman" w:hAnsi="Times New Roman" w:cs="Times New Roman"/>
          <w:bCs/>
          <w:sz w:val="28"/>
          <w:szCs w:val="28"/>
        </w:rPr>
        <w:t xml:space="preserve"> </w:t>
      </w:r>
      <w:r>
        <w:rPr>
          <w:rFonts w:ascii="Times New Roman" w:hAnsi="Times New Roman" w:cs="Times New Roman"/>
          <w:bCs/>
          <w:sz w:val="28"/>
          <w:szCs w:val="28"/>
        </w:rPr>
        <w:t>a modului de gestiune a entităților cu capital de stat, de la un model descentralizat la unul centralizat, este inoportună, la moment, implementarea recomandărilor Curții de Conturi în partea ce vizează</w:t>
      </w:r>
      <w:r w:rsidR="006C51B4">
        <w:rPr>
          <w:rFonts w:ascii="Times New Roman" w:hAnsi="Times New Roman" w:cs="Times New Roman"/>
          <w:bCs/>
          <w:sz w:val="28"/>
          <w:szCs w:val="28"/>
        </w:rPr>
        <w:t xml:space="preserve"> stabilirea obligației autorităților administrației publice de a stabili, evalua și a raporta Ministerului Finanțelor indicatori</w:t>
      </w:r>
      <w:r w:rsidR="00307B0C">
        <w:rPr>
          <w:rFonts w:ascii="Times New Roman" w:hAnsi="Times New Roman" w:cs="Times New Roman"/>
          <w:bCs/>
          <w:sz w:val="28"/>
          <w:szCs w:val="28"/>
        </w:rPr>
        <w:t>i</w:t>
      </w:r>
      <w:r w:rsidR="006C51B4">
        <w:rPr>
          <w:rFonts w:ascii="Times New Roman" w:hAnsi="Times New Roman" w:cs="Times New Roman"/>
          <w:bCs/>
          <w:sz w:val="28"/>
          <w:szCs w:val="28"/>
        </w:rPr>
        <w:t xml:space="preserve"> de performanță aferenți activității entităților cu capital de stat din administrarea acestora, precum și a altor recomandări conexe. Or, recomandările respective urmează a fi implementate ulterior definitivării modului de administrare a entităților cu capital de stat. </w:t>
      </w:r>
      <w:r>
        <w:rPr>
          <w:rFonts w:ascii="Times New Roman" w:hAnsi="Times New Roman" w:cs="Times New Roman"/>
          <w:bCs/>
          <w:sz w:val="28"/>
          <w:szCs w:val="28"/>
        </w:rPr>
        <w:t xml:space="preserve">    </w:t>
      </w:r>
      <w:r w:rsidR="00C13D89">
        <w:rPr>
          <w:rFonts w:ascii="Times New Roman" w:hAnsi="Times New Roman" w:cs="Times New Roman"/>
          <w:bCs/>
          <w:sz w:val="28"/>
          <w:szCs w:val="28"/>
        </w:rPr>
        <w:t xml:space="preserve">  </w:t>
      </w:r>
    </w:p>
    <w:p w:rsidR="00B03DB3" w:rsidRPr="00D55305" w:rsidRDefault="00B03DB3" w:rsidP="00B03DB3">
      <w:pPr>
        <w:pStyle w:val="a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Ținem </w:t>
      </w:r>
      <w:r w:rsidR="008F47A1">
        <w:rPr>
          <w:rFonts w:ascii="Times New Roman" w:hAnsi="Times New Roman" w:cs="Times New Roman"/>
          <w:bCs/>
          <w:sz w:val="28"/>
          <w:szCs w:val="28"/>
        </w:rPr>
        <w:t xml:space="preserve">să evidențiem faptul că, </w:t>
      </w:r>
      <w:r w:rsidR="00414E0F">
        <w:rPr>
          <w:rFonts w:ascii="Times New Roman" w:hAnsi="Times New Roman" w:cs="Times New Roman"/>
          <w:bCs/>
          <w:sz w:val="28"/>
          <w:szCs w:val="28"/>
        </w:rPr>
        <w:t>modificările și completările ce se intenționează a fi operate nu au un impact asupra activității de întreprinzător și implementarea acestora nu necesită resurse suplimentare de la bugetul de stat.</w:t>
      </w:r>
    </w:p>
    <w:p w:rsidR="00A21D01" w:rsidRDefault="00A21D01" w:rsidP="00650D51">
      <w:pPr>
        <w:pStyle w:val="a3"/>
        <w:spacing w:line="276" w:lineRule="auto"/>
        <w:jc w:val="both"/>
        <w:rPr>
          <w:rFonts w:ascii="Times New Roman" w:hAnsi="Times New Roman" w:cs="Times New Roman"/>
          <w:bCs/>
          <w:sz w:val="28"/>
          <w:szCs w:val="28"/>
        </w:rPr>
      </w:pPr>
    </w:p>
    <w:p w:rsidR="00A21D01" w:rsidRPr="00314E44" w:rsidRDefault="006C51B4" w:rsidP="00A21D01">
      <w:pPr>
        <w:jc w:val="center"/>
        <w:rPr>
          <w:b/>
          <w:i/>
          <w:sz w:val="32"/>
          <w:szCs w:val="32"/>
        </w:rPr>
      </w:pPr>
      <w:r>
        <w:rPr>
          <w:b/>
          <w:i/>
          <w:sz w:val="32"/>
          <w:szCs w:val="32"/>
        </w:rPr>
        <w:t>Vicem</w:t>
      </w:r>
      <w:r w:rsidR="00A21D01">
        <w:rPr>
          <w:b/>
          <w:i/>
          <w:sz w:val="32"/>
          <w:szCs w:val="32"/>
        </w:rPr>
        <w:t xml:space="preserve">inistru                                         </w:t>
      </w:r>
      <w:r>
        <w:rPr>
          <w:b/>
          <w:i/>
          <w:sz w:val="32"/>
          <w:szCs w:val="32"/>
        </w:rPr>
        <w:t>Iuri CICIBABA</w:t>
      </w:r>
    </w:p>
    <w:p w:rsidR="00A21D01" w:rsidRDefault="00A21D01" w:rsidP="00650D51">
      <w:pPr>
        <w:pStyle w:val="a3"/>
        <w:spacing w:line="276" w:lineRule="auto"/>
        <w:jc w:val="both"/>
        <w:rPr>
          <w:rFonts w:ascii="Times New Roman" w:hAnsi="Times New Roman" w:cs="Times New Roman"/>
          <w:bCs/>
          <w:sz w:val="28"/>
          <w:szCs w:val="28"/>
        </w:rPr>
      </w:pPr>
    </w:p>
    <w:sectPr w:rsidR="00A21D01" w:rsidSect="00596B2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32" w:rsidRDefault="00E46232" w:rsidP="00A21D01">
      <w:r>
        <w:separator/>
      </w:r>
    </w:p>
  </w:endnote>
  <w:endnote w:type="continuationSeparator" w:id="0">
    <w:p w:rsidR="00E46232" w:rsidRDefault="00E46232" w:rsidP="00A2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0518"/>
      <w:docPartObj>
        <w:docPartGallery w:val="Page Numbers (Bottom of Page)"/>
        <w:docPartUnique/>
      </w:docPartObj>
    </w:sdtPr>
    <w:sdtEndPr/>
    <w:sdtContent>
      <w:p w:rsidR="00A21D01" w:rsidRDefault="00DC42BE">
        <w:pPr>
          <w:pStyle w:val="a6"/>
          <w:jc w:val="right"/>
        </w:pPr>
        <w:r>
          <w:fldChar w:fldCharType="begin"/>
        </w:r>
        <w:r>
          <w:instrText xml:space="preserve"> PAGE   \* MERGEFORMAT </w:instrText>
        </w:r>
        <w:r>
          <w:fldChar w:fldCharType="separate"/>
        </w:r>
        <w:r w:rsidR="0007523F">
          <w:rPr>
            <w:noProof/>
          </w:rPr>
          <w:t>1</w:t>
        </w:r>
        <w:r>
          <w:rPr>
            <w:noProof/>
          </w:rPr>
          <w:fldChar w:fldCharType="end"/>
        </w:r>
      </w:p>
    </w:sdtContent>
  </w:sdt>
  <w:p w:rsidR="00A21D01" w:rsidRDefault="00A21D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32" w:rsidRDefault="00E46232" w:rsidP="00A21D01">
      <w:r>
        <w:separator/>
      </w:r>
    </w:p>
  </w:footnote>
  <w:footnote w:type="continuationSeparator" w:id="0">
    <w:p w:rsidR="00E46232" w:rsidRDefault="00E46232" w:rsidP="00A2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0D51"/>
    <w:rsid w:val="00013D29"/>
    <w:rsid w:val="00064743"/>
    <w:rsid w:val="0007523F"/>
    <w:rsid w:val="00107759"/>
    <w:rsid w:val="0018271F"/>
    <w:rsid w:val="001A1AF4"/>
    <w:rsid w:val="001A2CF9"/>
    <w:rsid w:val="001D7525"/>
    <w:rsid w:val="00213611"/>
    <w:rsid w:val="00232F02"/>
    <w:rsid w:val="002651F2"/>
    <w:rsid w:val="00271872"/>
    <w:rsid w:val="0028073F"/>
    <w:rsid w:val="002C7DD3"/>
    <w:rsid w:val="002F1D60"/>
    <w:rsid w:val="003051FB"/>
    <w:rsid w:val="00307B0C"/>
    <w:rsid w:val="00324B7F"/>
    <w:rsid w:val="00387BAE"/>
    <w:rsid w:val="003F67E5"/>
    <w:rsid w:val="00414E0F"/>
    <w:rsid w:val="004405DE"/>
    <w:rsid w:val="0046366F"/>
    <w:rsid w:val="00476C80"/>
    <w:rsid w:val="004B4088"/>
    <w:rsid w:val="005134D3"/>
    <w:rsid w:val="005371A0"/>
    <w:rsid w:val="00595072"/>
    <w:rsid w:val="00596B20"/>
    <w:rsid w:val="005D1791"/>
    <w:rsid w:val="005E1FD8"/>
    <w:rsid w:val="00600D4E"/>
    <w:rsid w:val="00601404"/>
    <w:rsid w:val="00621374"/>
    <w:rsid w:val="00650D51"/>
    <w:rsid w:val="006668A1"/>
    <w:rsid w:val="006B0354"/>
    <w:rsid w:val="006C51B4"/>
    <w:rsid w:val="006E02E6"/>
    <w:rsid w:val="00861EE4"/>
    <w:rsid w:val="008746EA"/>
    <w:rsid w:val="00887136"/>
    <w:rsid w:val="00893A1B"/>
    <w:rsid w:val="008E3FB0"/>
    <w:rsid w:val="008F47A1"/>
    <w:rsid w:val="009414C1"/>
    <w:rsid w:val="00944D8E"/>
    <w:rsid w:val="009623FB"/>
    <w:rsid w:val="00981DD9"/>
    <w:rsid w:val="009A76D5"/>
    <w:rsid w:val="00A21D01"/>
    <w:rsid w:val="00A939E3"/>
    <w:rsid w:val="00B03DB3"/>
    <w:rsid w:val="00B4633F"/>
    <w:rsid w:val="00B8479E"/>
    <w:rsid w:val="00B93699"/>
    <w:rsid w:val="00BC1F33"/>
    <w:rsid w:val="00BC718A"/>
    <w:rsid w:val="00C0055F"/>
    <w:rsid w:val="00C13D89"/>
    <w:rsid w:val="00CA7A58"/>
    <w:rsid w:val="00CF6AFE"/>
    <w:rsid w:val="00D55305"/>
    <w:rsid w:val="00DC42BE"/>
    <w:rsid w:val="00E0547B"/>
    <w:rsid w:val="00E2067F"/>
    <w:rsid w:val="00E46232"/>
    <w:rsid w:val="00E5651F"/>
    <w:rsid w:val="00E96E66"/>
    <w:rsid w:val="00F00444"/>
    <w:rsid w:val="00F155EB"/>
    <w:rsid w:val="00F265CC"/>
    <w:rsid w:val="00F5207E"/>
    <w:rsid w:val="00F70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EE24589-EF82-467E-BC79-A7A2C188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7F"/>
    <w:pPr>
      <w:spacing w:after="0" w:line="240" w:lineRule="auto"/>
    </w:pPr>
    <w:rPr>
      <w:rFonts w:ascii="Times New Roman" w:eastAsia="Times New Roman" w:hAnsi="Times New Roman" w:cs="Times New Roman"/>
      <w:sz w:val="20"/>
      <w:szCs w:val="20"/>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par">
    <w:name w:val="p_par"/>
    <w:basedOn w:val="a0"/>
    <w:rsid w:val="00650D51"/>
  </w:style>
  <w:style w:type="paragraph" w:styleId="a3">
    <w:name w:val="No Spacing"/>
    <w:uiPriority w:val="1"/>
    <w:qFormat/>
    <w:rsid w:val="00650D51"/>
    <w:pPr>
      <w:spacing w:after="0" w:line="240" w:lineRule="auto"/>
    </w:pPr>
    <w:rPr>
      <w:lang w:val="ro-RO"/>
    </w:rPr>
  </w:style>
  <w:style w:type="paragraph" w:styleId="a4">
    <w:name w:val="header"/>
    <w:basedOn w:val="a"/>
    <w:link w:val="a5"/>
    <w:uiPriority w:val="99"/>
    <w:semiHidden/>
    <w:unhideWhenUsed/>
    <w:rsid w:val="00A21D01"/>
    <w:pPr>
      <w:tabs>
        <w:tab w:val="center" w:pos="4677"/>
        <w:tab w:val="right" w:pos="9355"/>
      </w:tabs>
    </w:pPr>
  </w:style>
  <w:style w:type="character" w:customStyle="1" w:styleId="a5">
    <w:name w:val="Верхний колонтитул Знак"/>
    <w:basedOn w:val="a0"/>
    <w:link w:val="a4"/>
    <w:uiPriority w:val="99"/>
    <w:semiHidden/>
    <w:rsid w:val="00A21D01"/>
    <w:rPr>
      <w:rFonts w:ascii="Times New Roman" w:eastAsia="Times New Roman" w:hAnsi="Times New Roman" w:cs="Times New Roman"/>
      <w:sz w:val="20"/>
      <w:szCs w:val="20"/>
      <w:lang w:val="ro-RO" w:eastAsia="ru-RU"/>
    </w:rPr>
  </w:style>
  <w:style w:type="paragraph" w:styleId="a6">
    <w:name w:val="footer"/>
    <w:basedOn w:val="a"/>
    <w:link w:val="a7"/>
    <w:uiPriority w:val="99"/>
    <w:unhideWhenUsed/>
    <w:rsid w:val="00A21D01"/>
    <w:pPr>
      <w:tabs>
        <w:tab w:val="center" w:pos="4677"/>
        <w:tab w:val="right" w:pos="9355"/>
      </w:tabs>
    </w:pPr>
  </w:style>
  <w:style w:type="character" w:customStyle="1" w:styleId="a7">
    <w:name w:val="Нижний колонтитул Знак"/>
    <w:basedOn w:val="a0"/>
    <w:link w:val="a6"/>
    <w:uiPriority w:val="99"/>
    <w:rsid w:val="00A21D01"/>
    <w:rPr>
      <w:rFonts w:ascii="Times New Roman" w:eastAsia="Times New Roman" w:hAnsi="Times New Roman" w:cs="Times New Roman"/>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7375">
      <w:bodyDiv w:val="1"/>
      <w:marLeft w:val="0"/>
      <w:marRight w:val="0"/>
      <w:marTop w:val="0"/>
      <w:marBottom w:val="0"/>
      <w:divBdr>
        <w:top w:val="none" w:sz="0" w:space="0" w:color="auto"/>
        <w:left w:val="none" w:sz="0" w:space="0" w:color="auto"/>
        <w:bottom w:val="none" w:sz="0" w:space="0" w:color="auto"/>
        <w:right w:val="none" w:sz="0" w:space="0" w:color="auto"/>
      </w:divBdr>
    </w:div>
    <w:div w:id="628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812</Words>
  <Characters>4629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anprodan</dc:creator>
  <cp:keywords/>
  <dc:description/>
  <cp:lastModifiedBy>Ana Prodan</cp:lastModifiedBy>
  <cp:revision>23</cp:revision>
  <cp:lastPrinted>2014-08-12T05:35:00Z</cp:lastPrinted>
  <dcterms:created xsi:type="dcterms:W3CDTF">2014-02-11T09:20:00Z</dcterms:created>
  <dcterms:modified xsi:type="dcterms:W3CDTF">2017-07-17T14:26:00Z</dcterms:modified>
</cp:coreProperties>
</file>