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F4EB7" w14:textId="77777777" w:rsidR="00800CD1" w:rsidRDefault="00800CD1" w:rsidP="00800CD1">
      <w:pPr>
        <w:autoSpaceDE w:val="0"/>
        <w:autoSpaceDN w:val="0"/>
        <w:adjustRightInd w:val="0"/>
        <w:jc w:val="center"/>
        <w:rPr>
          <w:sz w:val="36"/>
          <w:szCs w:val="36"/>
          <w:lang w:eastAsia="en-GB"/>
        </w:rPr>
      </w:pPr>
    </w:p>
    <w:p w14:paraId="23C51898" w14:textId="77777777" w:rsidR="00800CD1" w:rsidRDefault="00800CD1" w:rsidP="00800CD1">
      <w:pPr>
        <w:autoSpaceDE w:val="0"/>
        <w:autoSpaceDN w:val="0"/>
        <w:adjustRightInd w:val="0"/>
        <w:jc w:val="center"/>
        <w:rPr>
          <w:sz w:val="36"/>
          <w:szCs w:val="36"/>
          <w:lang w:eastAsia="en-GB"/>
        </w:rPr>
      </w:pPr>
    </w:p>
    <w:p w14:paraId="3FBD98E0" w14:textId="77777777" w:rsidR="00800CD1" w:rsidRDefault="00800CD1" w:rsidP="00800CD1">
      <w:pPr>
        <w:autoSpaceDE w:val="0"/>
        <w:autoSpaceDN w:val="0"/>
        <w:adjustRightInd w:val="0"/>
        <w:jc w:val="center"/>
        <w:rPr>
          <w:sz w:val="36"/>
          <w:szCs w:val="36"/>
          <w:lang w:eastAsia="en-GB"/>
        </w:rPr>
      </w:pPr>
    </w:p>
    <w:p w14:paraId="4967437E" w14:textId="77777777" w:rsidR="00800CD1" w:rsidRDefault="00800CD1" w:rsidP="00800CD1">
      <w:pPr>
        <w:autoSpaceDE w:val="0"/>
        <w:autoSpaceDN w:val="0"/>
        <w:adjustRightInd w:val="0"/>
        <w:jc w:val="center"/>
        <w:rPr>
          <w:sz w:val="36"/>
          <w:szCs w:val="36"/>
          <w:lang w:eastAsia="en-GB"/>
        </w:rPr>
      </w:pPr>
    </w:p>
    <w:p w14:paraId="06A48676" w14:textId="77777777" w:rsidR="00800CD1" w:rsidRDefault="00800CD1" w:rsidP="00800CD1">
      <w:pPr>
        <w:autoSpaceDE w:val="0"/>
        <w:autoSpaceDN w:val="0"/>
        <w:adjustRightInd w:val="0"/>
        <w:jc w:val="center"/>
        <w:rPr>
          <w:sz w:val="36"/>
          <w:szCs w:val="36"/>
          <w:lang w:eastAsia="en-GB"/>
        </w:rPr>
      </w:pPr>
    </w:p>
    <w:p w14:paraId="20632ACA" w14:textId="77777777" w:rsidR="00800CD1" w:rsidRDefault="00800CD1" w:rsidP="00800CD1">
      <w:pPr>
        <w:autoSpaceDE w:val="0"/>
        <w:autoSpaceDN w:val="0"/>
        <w:adjustRightInd w:val="0"/>
        <w:jc w:val="center"/>
        <w:rPr>
          <w:sz w:val="36"/>
          <w:szCs w:val="36"/>
          <w:lang w:eastAsia="en-GB"/>
        </w:rPr>
      </w:pPr>
    </w:p>
    <w:p w14:paraId="562CC7EF" w14:textId="77777777" w:rsidR="00800CD1" w:rsidRDefault="00800CD1" w:rsidP="00800CD1">
      <w:pPr>
        <w:autoSpaceDE w:val="0"/>
        <w:autoSpaceDN w:val="0"/>
        <w:adjustRightInd w:val="0"/>
        <w:jc w:val="center"/>
        <w:rPr>
          <w:sz w:val="36"/>
          <w:szCs w:val="36"/>
          <w:lang w:eastAsia="en-GB"/>
        </w:rPr>
      </w:pPr>
    </w:p>
    <w:p w14:paraId="7F854D7F" w14:textId="4241B133" w:rsidR="00800CD1" w:rsidRPr="00800CD1" w:rsidRDefault="00800CD1" w:rsidP="00800CD1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</w:rPr>
        <w:t>Обязательство по аренде</w:t>
      </w:r>
      <w:r w:rsidR="00B152B3">
        <w:rPr>
          <w:sz w:val="36"/>
        </w:rPr>
        <w:t xml:space="preserve"> в</w:t>
      </w:r>
      <w:r>
        <w:rPr>
          <w:sz w:val="36"/>
        </w:rPr>
        <w:t xml:space="preserve"> </w:t>
      </w:r>
      <w:r w:rsidR="00B152B3">
        <w:rPr>
          <w:sz w:val="36"/>
        </w:rPr>
        <w:t xml:space="preserve">операции </w:t>
      </w:r>
      <w:r>
        <w:rPr>
          <w:sz w:val="36"/>
        </w:rPr>
        <w:t>продажи с обратной арендой</w:t>
      </w:r>
    </w:p>
    <w:p w14:paraId="667B1B4E" w14:textId="77777777" w:rsidR="00800CD1" w:rsidRPr="00800CD1" w:rsidRDefault="00800CD1" w:rsidP="00800CD1">
      <w:pPr>
        <w:pStyle w:val="IASBNormal"/>
        <w:jc w:val="center"/>
        <w:rPr>
          <w:sz w:val="36"/>
          <w:szCs w:val="36"/>
        </w:rPr>
      </w:pPr>
      <w:r>
        <w:rPr>
          <w:sz w:val="36"/>
        </w:rPr>
        <w:t>Поправки к МСФО (IFRS) 16</w:t>
      </w:r>
    </w:p>
    <w:p w14:paraId="1B048BFD" w14:textId="77777777" w:rsidR="00800CD1" w:rsidRDefault="00800CD1" w:rsidP="00800CD1">
      <w:pPr>
        <w:pStyle w:val="IASBNormal"/>
        <w:rPr>
          <w:rFonts w:ascii="SwiftLTStd-Regular" w:hAnsi="SwiftLTStd-Regular" w:cs="SwiftLTStd-Regular"/>
          <w:sz w:val="36"/>
          <w:szCs w:val="36"/>
          <w:lang w:eastAsia="en-GB"/>
        </w:rPr>
      </w:pPr>
    </w:p>
    <w:p w14:paraId="49864AE6" w14:textId="77777777" w:rsidR="00800CD1" w:rsidRDefault="00800CD1" w:rsidP="00800CD1">
      <w:pPr>
        <w:pStyle w:val="IASBNormal"/>
        <w:rPr>
          <w:rFonts w:ascii="SwiftLTStd-Regular" w:hAnsi="SwiftLTStd-Regular" w:cs="SwiftLTStd-Regular"/>
          <w:sz w:val="36"/>
          <w:szCs w:val="36"/>
          <w:lang w:eastAsia="en-GB"/>
        </w:rPr>
      </w:pPr>
    </w:p>
    <w:p w14:paraId="1741D168" w14:textId="77777777" w:rsidR="00800CD1" w:rsidRDefault="00800CD1" w:rsidP="00800CD1">
      <w:pPr>
        <w:pStyle w:val="IASBNormal"/>
        <w:rPr>
          <w:rFonts w:ascii="SwiftLTStd-Regular" w:hAnsi="SwiftLTStd-Regular" w:cs="SwiftLTStd-Regular"/>
          <w:sz w:val="36"/>
          <w:szCs w:val="36"/>
          <w:lang w:eastAsia="en-GB"/>
        </w:rPr>
      </w:pPr>
    </w:p>
    <w:p w14:paraId="744C442F" w14:textId="77777777" w:rsidR="00800CD1" w:rsidRDefault="00800CD1" w:rsidP="00800CD1">
      <w:pPr>
        <w:pStyle w:val="IASBNormal"/>
        <w:rPr>
          <w:rFonts w:ascii="SwiftLTStd-Regular" w:hAnsi="SwiftLTStd-Regular" w:cs="SwiftLTStd-Regular"/>
          <w:sz w:val="36"/>
          <w:szCs w:val="36"/>
          <w:lang w:eastAsia="en-GB"/>
        </w:rPr>
      </w:pPr>
    </w:p>
    <w:p w14:paraId="4295D54E" w14:textId="77777777" w:rsidR="00800CD1" w:rsidRDefault="00800CD1" w:rsidP="00800CD1">
      <w:pPr>
        <w:pStyle w:val="IASBNormal"/>
        <w:rPr>
          <w:rFonts w:ascii="SwiftLTStd-Regular" w:hAnsi="SwiftLTStd-Regular" w:cs="SwiftLTStd-Regular"/>
          <w:sz w:val="36"/>
          <w:szCs w:val="36"/>
          <w:lang w:eastAsia="en-GB"/>
        </w:rPr>
      </w:pPr>
    </w:p>
    <w:p w14:paraId="680B92C5" w14:textId="77777777" w:rsidR="00800CD1" w:rsidRDefault="00800CD1" w:rsidP="00800CD1">
      <w:pPr>
        <w:pStyle w:val="IASBNormal"/>
        <w:rPr>
          <w:rFonts w:ascii="SwiftLTStd-Regular" w:hAnsi="SwiftLTStd-Regular" w:cs="SwiftLTStd-Regular"/>
          <w:sz w:val="36"/>
          <w:szCs w:val="36"/>
          <w:lang w:eastAsia="en-GB"/>
        </w:rPr>
      </w:pPr>
    </w:p>
    <w:p w14:paraId="6E12E599" w14:textId="77777777" w:rsidR="00800CD1" w:rsidRDefault="00800CD1" w:rsidP="00800CD1">
      <w:pPr>
        <w:pStyle w:val="IASBNormal"/>
        <w:rPr>
          <w:rFonts w:ascii="SwiftLTStd-Regular" w:hAnsi="SwiftLTStd-Regular" w:cs="SwiftLTStd-Regular"/>
          <w:sz w:val="36"/>
          <w:szCs w:val="36"/>
          <w:lang w:eastAsia="en-GB"/>
        </w:rPr>
      </w:pPr>
    </w:p>
    <w:p w14:paraId="033F2588" w14:textId="77777777" w:rsidR="00800CD1" w:rsidRDefault="00800CD1" w:rsidP="00800CD1">
      <w:pPr>
        <w:pStyle w:val="IASBNormal"/>
        <w:rPr>
          <w:rFonts w:ascii="SwiftLTStd-Regular" w:hAnsi="SwiftLTStd-Regular" w:cs="SwiftLTStd-Regular"/>
          <w:sz w:val="36"/>
          <w:szCs w:val="36"/>
          <w:lang w:eastAsia="en-GB"/>
        </w:rPr>
      </w:pPr>
    </w:p>
    <w:p w14:paraId="25D0981D" w14:textId="77777777" w:rsidR="00800CD1" w:rsidRDefault="00800CD1" w:rsidP="00800CD1">
      <w:pPr>
        <w:pStyle w:val="IASBNormal"/>
        <w:rPr>
          <w:rFonts w:ascii="SwiftLTStd-Regular" w:hAnsi="SwiftLTStd-Regular" w:cs="SwiftLTStd-Regular"/>
          <w:sz w:val="36"/>
          <w:szCs w:val="36"/>
          <w:lang w:eastAsia="en-GB"/>
        </w:rPr>
      </w:pPr>
    </w:p>
    <w:p w14:paraId="1344DEE6" w14:textId="77777777" w:rsidR="00800CD1" w:rsidRDefault="00800CD1" w:rsidP="00800CD1">
      <w:pPr>
        <w:pStyle w:val="IASBNormal"/>
        <w:rPr>
          <w:rFonts w:ascii="SwiftLTStd-Regular" w:hAnsi="SwiftLTStd-Regular" w:cs="SwiftLTStd-Regular"/>
          <w:sz w:val="36"/>
          <w:szCs w:val="36"/>
          <w:lang w:eastAsia="en-GB"/>
        </w:rPr>
      </w:pPr>
    </w:p>
    <w:p w14:paraId="19709037" w14:textId="77777777" w:rsidR="00800CD1" w:rsidRDefault="00800CD1" w:rsidP="00800CD1">
      <w:pPr>
        <w:pStyle w:val="IASBNormal"/>
        <w:rPr>
          <w:rFonts w:ascii="SwiftLTStd-Regular" w:hAnsi="SwiftLTStd-Regular" w:cs="SwiftLTStd-Regular"/>
          <w:sz w:val="36"/>
          <w:szCs w:val="36"/>
          <w:lang w:eastAsia="en-GB"/>
        </w:rPr>
      </w:pPr>
    </w:p>
    <w:p w14:paraId="12C36513" w14:textId="77777777" w:rsidR="00800CD1" w:rsidRDefault="00800CD1" w:rsidP="00800CD1">
      <w:pPr>
        <w:pStyle w:val="IASBNormal"/>
        <w:rPr>
          <w:rFonts w:ascii="SwiftLTStd-Regular" w:hAnsi="SwiftLTStd-Regular" w:cs="SwiftLTStd-Regular"/>
          <w:sz w:val="36"/>
          <w:szCs w:val="36"/>
          <w:lang w:eastAsia="en-GB"/>
        </w:rPr>
      </w:pPr>
    </w:p>
    <w:p w14:paraId="1639C747" w14:textId="77777777" w:rsidR="00800CD1" w:rsidRDefault="00800CD1" w:rsidP="00800CD1">
      <w:pPr>
        <w:pStyle w:val="IASBNormal"/>
        <w:rPr>
          <w:rFonts w:ascii="SwiftLTStd-Regular" w:hAnsi="SwiftLTStd-Regular" w:cs="SwiftLTStd-Regular"/>
          <w:sz w:val="36"/>
          <w:szCs w:val="36"/>
          <w:lang w:eastAsia="en-GB"/>
        </w:rPr>
      </w:pPr>
    </w:p>
    <w:p w14:paraId="7C821138" w14:textId="77777777" w:rsidR="00800CD1" w:rsidRDefault="00800CD1" w:rsidP="00800CD1">
      <w:pPr>
        <w:pStyle w:val="IASBNormal"/>
        <w:rPr>
          <w:rFonts w:ascii="SwiftLTStd-Regular" w:hAnsi="SwiftLTStd-Regular" w:cs="SwiftLTStd-Regular"/>
          <w:sz w:val="36"/>
          <w:szCs w:val="36"/>
          <w:lang w:eastAsia="en-GB"/>
        </w:rPr>
      </w:pPr>
    </w:p>
    <w:p w14:paraId="16883851" w14:textId="77777777" w:rsidR="00800CD1" w:rsidRDefault="00800CD1" w:rsidP="00800CD1">
      <w:pPr>
        <w:pStyle w:val="IASBNormal"/>
        <w:rPr>
          <w:rFonts w:ascii="SwiftLTStd-Regular" w:hAnsi="SwiftLTStd-Regular" w:cs="SwiftLTStd-Regular"/>
          <w:sz w:val="36"/>
          <w:szCs w:val="36"/>
          <w:lang w:eastAsia="en-GB"/>
        </w:rPr>
      </w:pPr>
    </w:p>
    <w:p w14:paraId="2DD1FF41" w14:textId="77777777" w:rsidR="00800CD1" w:rsidRDefault="00800CD1" w:rsidP="00800CD1">
      <w:pPr>
        <w:pStyle w:val="IASBNormal"/>
        <w:rPr>
          <w:rFonts w:ascii="SwiftLTStd-Regular" w:hAnsi="SwiftLTStd-Regular" w:cs="SwiftLTStd-Regular"/>
          <w:sz w:val="36"/>
          <w:szCs w:val="36"/>
          <w:lang w:eastAsia="en-GB"/>
        </w:rPr>
      </w:pPr>
    </w:p>
    <w:p w14:paraId="0F4C0F0E" w14:textId="77777777" w:rsidR="00800CD1" w:rsidRDefault="00800CD1" w:rsidP="00800CD1">
      <w:pPr>
        <w:pStyle w:val="IASBNormal"/>
        <w:rPr>
          <w:rFonts w:ascii="SwiftLTStd-Regular" w:hAnsi="SwiftLTStd-Regular" w:cs="SwiftLTStd-Regular"/>
          <w:sz w:val="36"/>
          <w:szCs w:val="36"/>
          <w:lang w:eastAsia="en-GB"/>
        </w:rPr>
      </w:pPr>
    </w:p>
    <w:p w14:paraId="7BFFCFB5" w14:textId="77777777" w:rsidR="00800CD1" w:rsidRDefault="00800CD1" w:rsidP="00800CD1">
      <w:pPr>
        <w:pStyle w:val="IASBNormal"/>
        <w:rPr>
          <w:rFonts w:ascii="SwiftLTStd-Regular" w:hAnsi="SwiftLTStd-Regular" w:cs="SwiftLTStd-Regular"/>
          <w:sz w:val="36"/>
          <w:szCs w:val="36"/>
          <w:lang w:eastAsia="en-GB"/>
        </w:rPr>
      </w:pPr>
    </w:p>
    <w:p w14:paraId="458C64DF" w14:textId="5C30EFA5" w:rsidR="00121811" w:rsidRDefault="00121811">
      <w:pPr>
        <w:sectPr w:rsidR="00121811" w:rsidSect="00800CD1">
          <w:headerReference w:type="default" r:id="rId10"/>
          <w:type w:val="oddPage"/>
          <w:pgSz w:w="11880" w:h="16820"/>
          <w:pgMar w:top="1440" w:right="1440" w:bottom="1440" w:left="1440" w:header="720" w:footer="720" w:gutter="0"/>
          <w:cols w:space="720"/>
        </w:sectPr>
      </w:pPr>
    </w:p>
    <w:p w14:paraId="57F6758D" w14:textId="77777777" w:rsidR="00121811" w:rsidRDefault="00800CD1">
      <w:pPr>
        <w:pStyle w:val="IASBSectionTitle1NonInd"/>
      </w:pPr>
      <w:r>
        <w:lastRenderedPageBreak/>
        <w:t xml:space="preserve">Поправки к МСФО (IFRS) 16 </w:t>
      </w:r>
      <w:r>
        <w:rPr>
          <w:i/>
        </w:rPr>
        <w:t>«Аренда»</w:t>
      </w:r>
    </w:p>
    <w:p w14:paraId="250878D7" w14:textId="77777777" w:rsidR="00121811" w:rsidRDefault="00121811">
      <w:pPr>
        <w:pStyle w:val="IASBNormalnpara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121811" w14:paraId="0731FC24" w14:textId="77777777">
        <w:tc>
          <w:tcPr>
            <w:tcW w:w="50" w:type="pct"/>
            <w:tcBorders>
              <w:bottom w:val="single" w:sz="0" w:space="0" w:color="auto"/>
              <w:right w:val="single" w:sz="0" w:space="0" w:color="auto"/>
            </w:tcBorders>
          </w:tcPr>
          <w:p w14:paraId="5110A90B" w14:textId="77777777" w:rsidR="00121811" w:rsidRDefault="00800CD1">
            <w:pPr>
              <w:pStyle w:val="IASBTableArial"/>
            </w:pPr>
            <w:r>
              <w:t>Пункты 102A, C1D и C20E добавлены, в пункт C2 внесены изменения. Перед пунктом C20E добавлен заголовок. Новый текст подчеркнут, удаленный текст зачеркнут.</w:t>
            </w:r>
          </w:p>
        </w:tc>
      </w:tr>
    </w:tbl>
    <w:p w14:paraId="23A2AF32" w14:textId="77777777" w:rsidR="00121811" w:rsidRDefault="00121811">
      <w:pPr>
        <w:pStyle w:val="IASBNormalnpara"/>
      </w:pPr>
    </w:p>
    <w:p w14:paraId="3327DAE5" w14:textId="77777777" w:rsidR="00121811" w:rsidRDefault="00800CD1">
      <w:pPr>
        <w:pStyle w:val="IASBSectionTitle1NonInd"/>
      </w:pPr>
      <w:r>
        <w:t>Операции продажи с обратной арендой</w:t>
      </w:r>
    </w:p>
    <w:p w14:paraId="1B0552D8" w14:textId="77777777" w:rsidR="00121811" w:rsidRDefault="00800CD1">
      <w:pPr>
        <w:pStyle w:val="IASBNormalnpara"/>
      </w:pPr>
      <w:r>
        <w:tab/>
        <w:t>...</w:t>
      </w:r>
    </w:p>
    <w:p w14:paraId="3647DF2B" w14:textId="77777777" w:rsidR="00121811" w:rsidRDefault="00800CD1">
      <w:pPr>
        <w:pStyle w:val="IASBSectionTitle2Ind"/>
      </w:pPr>
      <w:r>
        <w:t>Оценка того, является ли передача актива продажей</w:t>
      </w:r>
    </w:p>
    <w:p w14:paraId="7E493F05" w14:textId="77777777" w:rsidR="00121811" w:rsidRDefault="00800CD1">
      <w:pPr>
        <w:pStyle w:val="IASBNormalnpara"/>
      </w:pPr>
      <w:r>
        <w:tab/>
        <w:t>...</w:t>
      </w:r>
    </w:p>
    <w:p w14:paraId="5B03B12E" w14:textId="77777777" w:rsidR="00121811" w:rsidRDefault="00800CD1">
      <w:pPr>
        <w:pStyle w:val="IASBSectionTitle3Ind"/>
      </w:pPr>
      <w:r>
        <w:t>Передача актива является продажей</w:t>
      </w:r>
    </w:p>
    <w:p w14:paraId="37B1100C" w14:textId="77777777" w:rsidR="00121811" w:rsidRDefault="00800CD1">
      <w:pPr>
        <w:pStyle w:val="IASBNormalnpara"/>
      </w:pPr>
      <w:r>
        <w:tab/>
        <w:t>...</w:t>
      </w:r>
    </w:p>
    <w:p w14:paraId="1EC16A23" w14:textId="39C8E5DF" w:rsidR="00121811" w:rsidRDefault="00800CD1">
      <w:pPr>
        <w:pStyle w:val="IASBNormalnpara"/>
      </w:pPr>
      <w:r>
        <w:rPr>
          <w:u w:val="single"/>
        </w:rPr>
        <w:t>102A</w:t>
      </w:r>
      <w:r>
        <w:tab/>
      </w:r>
      <w:r>
        <w:rPr>
          <w:u w:val="single"/>
        </w:rPr>
        <w:t>После даты начала аренды продавец-арендатор должен применять пункты 29</w:t>
      </w:r>
      <w:r w:rsidRPr="00DB0FC6">
        <w:rPr>
          <w:u w:val="single"/>
        </w:rPr>
        <w:t>–35 в отношении актива в форме права пользования, обусловленного обратной арендой, и пункт</w:t>
      </w:r>
      <w:r>
        <w:rPr>
          <w:u w:val="single"/>
        </w:rPr>
        <w:t xml:space="preserve">ы </w:t>
      </w:r>
      <w:r w:rsidRPr="00087485">
        <w:rPr>
          <w:u w:val="single"/>
        </w:rPr>
        <w:t xml:space="preserve">36–46 </w:t>
      </w:r>
      <w:r w:rsidRPr="00DB0FC6">
        <w:rPr>
          <w:u w:val="single"/>
        </w:rPr>
        <w:t>в отношении</w:t>
      </w:r>
      <w:r w:rsidRPr="00087485">
        <w:rPr>
          <w:u w:val="single"/>
        </w:rPr>
        <w:t xml:space="preserve"> обязательства по аренде, </w:t>
      </w:r>
      <w:r w:rsidRPr="00DB0FC6">
        <w:rPr>
          <w:u w:val="single"/>
        </w:rPr>
        <w:t>обусловленного</w:t>
      </w:r>
      <w:r w:rsidRPr="00087485">
        <w:rPr>
          <w:u w:val="single"/>
        </w:rPr>
        <w:t xml:space="preserve"> обратной арендой. При применении пунктов 36–46 продавец-арендатор должен определ</w:t>
      </w:r>
      <w:r w:rsidR="00BE0AF7" w:rsidRPr="00087485">
        <w:rPr>
          <w:u w:val="single"/>
        </w:rPr>
        <w:t>и</w:t>
      </w:r>
      <w:r w:rsidRPr="00087485">
        <w:rPr>
          <w:u w:val="single"/>
        </w:rPr>
        <w:t>ть арендные платежи или пересмотренные</w:t>
      </w:r>
      <w:r>
        <w:rPr>
          <w:u w:val="single"/>
        </w:rPr>
        <w:t xml:space="preserve"> арендные платежи таким образом, чтобы продавец-арендатор не призна</w:t>
      </w:r>
      <w:r w:rsidR="00BE0AF7">
        <w:rPr>
          <w:u w:val="single"/>
        </w:rPr>
        <w:t>л бы никакой</w:t>
      </w:r>
      <w:r w:rsidR="00561223">
        <w:rPr>
          <w:u w:val="single"/>
        </w:rPr>
        <w:t xml:space="preserve"> </w:t>
      </w:r>
      <w:r>
        <w:rPr>
          <w:u w:val="single"/>
        </w:rPr>
        <w:t>сумм</w:t>
      </w:r>
      <w:r w:rsidR="00BE0AF7">
        <w:rPr>
          <w:u w:val="single"/>
        </w:rPr>
        <w:t>ы</w:t>
      </w:r>
      <w:r>
        <w:rPr>
          <w:u w:val="single"/>
        </w:rPr>
        <w:t xml:space="preserve"> прибыли или убытка</w:t>
      </w:r>
      <w:r w:rsidR="00575031">
        <w:rPr>
          <w:u w:val="single"/>
        </w:rPr>
        <w:t xml:space="preserve"> в отношении оставшегося у него</w:t>
      </w:r>
      <w:r w:rsidR="00561223">
        <w:rPr>
          <w:u w:val="single"/>
        </w:rPr>
        <w:t xml:space="preserve"> </w:t>
      </w:r>
      <w:r>
        <w:rPr>
          <w:u w:val="single"/>
        </w:rPr>
        <w:t>прав</w:t>
      </w:r>
      <w:r w:rsidR="00575031">
        <w:rPr>
          <w:u w:val="single"/>
        </w:rPr>
        <w:t>а</w:t>
      </w:r>
      <w:r>
        <w:rPr>
          <w:u w:val="single"/>
        </w:rPr>
        <w:t xml:space="preserve"> пользования. Применение требований данного пункта не </w:t>
      </w:r>
      <w:r w:rsidR="00561223">
        <w:rPr>
          <w:u w:val="single"/>
        </w:rPr>
        <w:t>препятствует признанию</w:t>
      </w:r>
      <w:r>
        <w:rPr>
          <w:u w:val="single"/>
        </w:rPr>
        <w:t xml:space="preserve"> продавц</w:t>
      </w:r>
      <w:r w:rsidR="00561223">
        <w:rPr>
          <w:u w:val="single"/>
        </w:rPr>
        <w:t>ом</w:t>
      </w:r>
      <w:r>
        <w:rPr>
          <w:u w:val="single"/>
        </w:rPr>
        <w:t>-арендатор</w:t>
      </w:r>
      <w:r w:rsidR="00561223">
        <w:rPr>
          <w:u w:val="single"/>
        </w:rPr>
        <w:t>ом</w:t>
      </w:r>
      <w:r>
        <w:rPr>
          <w:u w:val="single"/>
        </w:rPr>
        <w:t xml:space="preserve"> в составе прибыли или убытка люб</w:t>
      </w:r>
      <w:r w:rsidR="00561223">
        <w:rPr>
          <w:u w:val="single"/>
        </w:rPr>
        <w:t>ой</w:t>
      </w:r>
      <w:r>
        <w:rPr>
          <w:u w:val="single"/>
        </w:rPr>
        <w:t xml:space="preserve"> сумм</w:t>
      </w:r>
      <w:r w:rsidR="00561223">
        <w:rPr>
          <w:u w:val="single"/>
        </w:rPr>
        <w:t>ы</w:t>
      </w:r>
      <w:r>
        <w:rPr>
          <w:u w:val="single"/>
        </w:rPr>
        <w:t xml:space="preserve"> прибыли или убытка, </w:t>
      </w:r>
      <w:r w:rsidR="00561223">
        <w:rPr>
          <w:u w:val="single"/>
        </w:rPr>
        <w:t>относящейся к</w:t>
      </w:r>
      <w:r>
        <w:rPr>
          <w:u w:val="single"/>
        </w:rPr>
        <w:t xml:space="preserve"> частичн</w:t>
      </w:r>
      <w:r w:rsidR="00561223">
        <w:rPr>
          <w:u w:val="single"/>
        </w:rPr>
        <w:t>ому</w:t>
      </w:r>
      <w:r>
        <w:rPr>
          <w:u w:val="single"/>
        </w:rPr>
        <w:t xml:space="preserve"> или полн</w:t>
      </w:r>
      <w:r w:rsidR="00561223">
        <w:rPr>
          <w:u w:val="single"/>
        </w:rPr>
        <w:t>ому</w:t>
      </w:r>
      <w:r>
        <w:rPr>
          <w:u w:val="single"/>
        </w:rPr>
        <w:t xml:space="preserve"> </w:t>
      </w:r>
      <w:r w:rsidR="00575031">
        <w:rPr>
          <w:u w:val="single"/>
        </w:rPr>
        <w:t>прекращению</w:t>
      </w:r>
      <w:r>
        <w:rPr>
          <w:u w:val="single"/>
        </w:rPr>
        <w:t xml:space="preserve"> аренды</w:t>
      </w:r>
      <w:r w:rsidR="00561223">
        <w:rPr>
          <w:u w:val="single"/>
        </w:rPr>
        <w:t xml:space="preserve">, как того требует </w:t>
      </w:r>
      <w:r>
        <w:rPr>
          <w:u w:val="single"/>
        </w:rPr>
        <w:t>пункт 46(a).</w:t>
      </w:r>
    </w:p>
    <w:p w14:paraId="7D118904" w14:textId="77777777" w:rsidR="00121811" w:rsidRDefault="00800CD1">
      <w:pPr>
        <w:pStyle w:val="IASBNormalnpara"/>
      </w:pPr>
      <w:r>
        <w:tab/>
        <w:t>...</w:t>
      </w:r>
    </w:p>
    <w:p w14:paraId="1F3D794E" w14:textId="77777777" w:rsidR="00867875" w:rsidRDefault="00867875">
      <w:pPr>
        <w:pStyle w:val="IASBNormalnpara"/>
      </w:pPr>
    </w:p>
    <w:p w14:paraId="24C26986" w14:textId="77777777" w:rsidR="00121811" w:rsidRDefault="00121811">
      <w:pPr>
        <w:sectPr w:rsidR="00121811">
          <w:headerReference w:type="even" r:id="rId11"/>
          <w:headerReference w:type="default" r:id="rId12"/>
          <w:footerReference w:type="even" r:id="rId13"/>
          <w:footerReference w:type="default" r:id="rId14"/>
          <w:pgSz w:w="11880" w:h="16820"/>
          <w:pgMar w:top="1440" w:right="1440" w:bottom="1440" w:left="1440" w:header="720" w:footer="720" w:gutter="0"/>
          <w:cols w:space="720"/>
        </w:sectPr>
      </w:pPr>
    </w:p>
    <w:p w14:paraId="5156F1F3" w14:textId="657B99C0" w:rsidR="00121811" w:rsidRDefault="00800CD1">
      <w:pPr>
        <w:pStyle w:val="IASBSectionTitle1NonInd"/>
      </w:pPr>
      <w:r>
        <w:lastRenderedPageBreak/>
        <w:t xml:space="preserve">Приложение С </w:t>
      </w:r>
      <w:r>
        <w:br/>
        <w:t>Дата вступления в силу и переходные положения</w:t>
      </w:r>
    </w:p>
    <w:p w14:paraId="0F8CE0EE" w14:textId="77777777" w:rsidR="00121811" w:rsidRDefault="00800CD1">
      <w:pPr>
        <w:pStyle w:val="IASBSectionTitle1NonInd"/>
      </w:pPr>
      <w:r>
        <w:t>Дата вступления в силу</w:t>
      </w:r>
    </w:p>
    <w:p w14:paraId="7818095D" w14:textId="77777777" w:rsidR="00456902" w:rsidRDefault="00800CD1" w:rsidP="00456902">
      <w:pPr>
        <w:pStyle w:val="IASBNormalnpara"/>
      </w:pPr>
      <w:r>
        <w:tab/>
        <w:t>...</w:t>
      </w:r>
    </w:p>
    <w:p w14:paraId="01332A5D" w14:textId="58235696" w:rsidR="00121811" w:rsidRDefault="00456902" w:rsidP="00456902">
      <w:pPr>
        <w:pStyle w:val="IASBNormalnpara"/>
      </w:pPr>
      <w:r>
        <w:rPr>
          <w:u w:val="single"/>
        </w:rPr>
        <w:t>C1D</w:t>
      </w:r>
      <w:r>
        <w:tab/>
      </w:r>
      <w:r>
        <w:rPr>
          <w:u w:val="single"/>
        </w:rPr>
        <w:t xml:space="preserve">Документом </w:t>
      </w:r>
      <w:r>
        <w:rPr>
          <w:i/>
          <w:u w:val="single"/>
        </w:rPr>
        <w:t xml:space="preserve">«Обязательство по </w:t>
      </w:r>
      <w:r w:rsidRPr="00B152B3">
        <w:rPr>
          <w:i/>
          <w:u w:val="single"/>
        </w:rPr>
        <w:t>аренде в операции продажи с обратной арендой»</w:t>
      </w:r>
      <w:r w:rsidRPr="00B152B3">
        <w:rPr>
          <w:u w:val="single"/>
        </w:rPr>
        <w:t xml:space="preserve">, выпущенным </w:t>
      </w:r>
      <w:r w:rsidR="009837ED" w:rsidRPr="00B152B3">
        <w:rPr>
          <w:u w:val="single"/>
        </w:rPr>
        <w:t>в</w:t>
      </w:r>
      <w:r w:rsidR="00AB1147">
        <w:rPr>
          <w:u w:val="single"/>
          <w:lang w:val="en-US"/>
        </w:rPr>
        <w:t> </w:t>
      </w:r>
      <w:r w:rsidR="009837ED" w:rsidRPr="00B152B3">
        <w:rPr>
          <w:u w:val="single"/>
        </w:rPr>
        <w:t>сентябре</w:t>
      </w:r>
      <w:r w:rsidRPr="00B152B3">
        <w:rPr>
          <w:u w:val="single"/>
        </w:rPr>
        <w:t xml:space="preserve"> 2022 года, внесены изменения в пункт C2 и добавлены пункты 102A и C20E. Продавец-арендатор должен применять настоящие</w:t>
      </w:r>
      <w:r>
        <w:rPr>
          <w:u w:val="single"/>
        </w:rPr>
        <w:t xml:space="preserve"> поправки в отношении годовых отчетных периодов, начинающихся 1 января 2024 года или после этой даты. Допускается досрочное применение. Если продавец-арендатор применит данные поправки в отношении более раннего периода, он должен раскрыть этот факт.</w:t>
      </w:r>
    </w:p>
    <w:p w14:paraId="22ECDBF9" w14:textId="77777777" w:rsidR="00121811" w:rsidRDefault="00800CD1">
      <w:pPr>
        <w:pStyle w:val="IASBSectionTitle1NonInd"/>
      </w:pPr>
      <w:r>
        <w:t>Переходные положения</w:t>
      </w:r>
    </w:p>
    <w:p w14:paraId="73BF9D0C" w14:textId="77777777" w:rsidR="00121811" w:rsidRDefault="00800CD1">
      <w:pPr>
        <w:pStyle w:val="IASBNormalnpara"/>
      </w:pPr>
      <w:r>
        <w:t>C2</w:t>
      </w:r>
      <w:r>
        <w:tab/>
        <w:t>Для целей требований пунктов C1–</w:t>
      </w:r>
      <w:r>
        <w:rPr>
          <w:u w:val="single"/>
        </w:rPr>
        <w:t>C20E</w:t>
      </w:r>
      <w:r>
        <w:rPr>
          <w:strike/>
        </w:rPr>
        <w:t xml:space="preserve"> C19</w:t>
      </w:r>
      <w:r>
        <w:t xml:space="preserve"> датой первоначального применения является начало годового отчетного периода, в котором организация впервые применяет настоящий стандарт.</w:t>
      </w:r>
    </w:p>
    <w:p w14:paraId="18F8C68B" w14:textId="77777777" w:rsidR="00121811" w:rsidRDefault="00800CD1">
      <w:pPr>
        <w:pStyle w:val="IASBNormalnparaP"/>
      </w:pPr>
      <w:r>
        <w:t>...</w:t>
      </w:r>
    </w:p>
    <w:p w14:paraId="1AE57107" w14:textId="51253F0B" w:rsidR="00121811" w:rsidRDefault="00800CD1">
      <w:pPr>
        <w:pStyle w:val="IASBSectionTitle2Ind"/>
      </w:pPr>
      <w:r>
        <w:rPr>
          <w:u w:val="single"/>
        </w:rPr>
        <w:t>Обязательство по аренде в операции продажи с обратной арендой</w:t>
      </w:r>
    </w:p>
    <w:p w14:paraId="315F589E" w14:textId="154622AF" w:rsidR="00121811" w:rsidRDefault="00800CD1" w:rsidP="00185CAD">
      <w:pPr>
        <w:pStyle w:val="IASBNormalnpara"/>
      </w:pPr>
      <w:r>
        <w:rPr>
          <w:u w:val="single"/>
        </w:rPr>
        <w:t>C20E</w:t>
      </w:r>
      <w:r>
        <w:tab/>
      </w:r>
      <w:r>
        <w:rPr>
          <w:u w:val="single"/>
        </w:rPr>
        <w:t xml:space="preserve">Продавец-арендатор должен применять поправки </w:t>
      </w:r>
      <w:r>
        <w:rPr>
          <w:i/>
          <w:u w:val="single"/>
        </w:rPr>
        <w:t xml:space="preserve">«Обязательство по </w:t>
      </w:r>
      <w:r w:rsidRPr="00DB0FC6">
        <w:rPr>
          <w:i/>
          <w:u w:val="single"/>
        </w:rPr>
        <w:t>аренде в операции</w:t>
      </w:r>
      <w:r>
        <w:rPr>
          <w:i/>
          <w:u w:val="single"/>
        </w:rPr>
        <w:t xml:space="preserve"> продажи с обратной арендой»</w:t>
      </w:r>
      <w:r>
        <w:rPr>
          <w:u w:val="single"/>
        </w:rPr>
        <w:t xml:space="preserve"> (см. пункт C1D) ретроспективно в соответствии с МСФО (IAS) 8 в отношении операций продажи с обратной арендой, </w:t>
      </w:r>
      <w:r w:rsidR="00575031">
        <w:rPr>
          <w:u w:val="single"/>
        </w:rPr>
        <w:t xml:space="preserve">которые были </w:t>
      </w:r>
      <w:r>
        <w:rPr>
          <w:u w:val="single"/>
        </w:rPr>
        <w:t>соверш</w:t>
      </w:r>
      <w:r w:rsidR="00575031">
        <w:rPr>
          <w:u w:val="single"/>
        </w:rPr>
        <w:t>ены</w:t>
      </w:r>
      <w:r>
        <w:rPr>
          <w:u w:val="single"/>
        </w:rPr>
        <w:t xml:space="preserve"> после даты первоначального применения.</w:t>
      </w:r>
    </w:p>
    <w:sectPr w:rsidR="00121811">
      <w:headerReference w:type="even" r:id="rId15"/>
      <w:headerReference w:type="default" r:id="rId16"/>
      <w:footerReference w:type="even" r:id="rId17"/>
      <w:footerReference w:type="default" r:id="rId18"/>
      <w:pgSz w:w="11880" w:h="1682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0E82" w14:textId="77777777" w:rsidR="00D55056" w:rsidRDefault="00D55056">
      <w:r>
        <w:separator/>
      </w:r>
    </w:p>
  </w:endnote>
  <w:endnote w:type="continuationSeparator" w:id="0">
    <w:p w14:paraId="3D20684D" w14:textId="77777777" w:rsidR="00D55056" w:rsidRDefault="00D55056">
      <w:r>
        <w:continuationSeparator/>
      </w:r>
    </w:p>
  </w:endnote>
  <w:endnote w:type="continuationNotice" w:id="1">
    <w:p w14:paraId="156C56CE" w14:textId="77777777" w:rsidR="00D55056" w:rsidRDefault="00D55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wiftLTStd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LTPro-Roma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B154" w14:textId="32D8DA74" w:rsidR="00121811" w:rsidRDefault="00800CD1">
    <w:pPr>
      <w:pStyle w:val="Footer"/>
    </w:pPr>
    <w:r>
      <w:fldChar w:fldCharType="begin"/>
    </w:r>
    <w:r>
      <w:instrText>PAGE</w:instrText>
    </w:r>
    <w:r>
      <w:fldChar w:fldCharType="separate"/>
    </w:r>
    <w:r w:rsidR="008B3BCE">
      <w:rPr>
        <w:noProof/>
      </w:rPr>
      <w:t>2</w:t>
    </w:r>
    <w:r>
      <w:fldChar w:fldCharType="end"/>
    </w:r>
    <w:r>
      <w:tab/>
      <w:t>© IFRS Foundation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88B9" w14:textId="162E2B1C" w:rsidR="00121811" w:rsidRDefault="00800CD1">
    <w:pPr>
      <w:pStyle w:val="Footer"/>
    </w:pPr>
    <w:r>
      <w:tab/>
      <w:t>© IFRS Foundation</w:t>
    </w:r>
    <w:r>
      <w:tab/>
    </w:r>
    <w:r>
      <w:fldChar w:fldCharType="begin"/>
    </w:r>
    <w:r>
      <w:instrText>PAGE</w:instrText>
    </w:r>
    <w:r>
      <w:fldChar w:fldCharType="separate"/>
    </w:r>
    <w:r w:rsidR="009837ED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0E78" w14:textId="248E05CB" w:rsidR="00121811" w:rsidRDefault="0012181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7F15" w14:textId="69646CB6" w:rsidR="00121811" w:rsidRDefault="00121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1A30" w14:textId="77777777" w:rsidR="00D55056" w:rsidRDefault="00D55056">
      <w:r>
        <w:separator/>
      </w:r>
    </w:p>
  </w:footnote>
  <w:footnote w:type="continuationSeparator" w:id="0">
    <w:p w14:paraId="3831BB2D" w14:textId="77777777" w:rsidR="00D55056" w:rsidRDefault="00D55056">
      <w:r>
        <w:continuationSeparator/>
      </w:r>
    </w:p>
  </w:footnote>
  <w:footnote w:type="continuationNotice" w:id="1">
    <w:p w14:paraId="33EB98F9" w14:textId="77777777" w:rsidR="00D55056" w:rsidRDefault="00D550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36B0" w14:textId="77777777" w:rsidR="00121811" w:rsidRDefault="00800CD1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F425" w14:textId="7397E187" w:rsidR="00121811" w:rsidRDefault="00F71DFE" w:rsidP="00F71DFE">
    <w:pPr>
      <w:pStyle w:val="Header"/>
      <w:jc w:val="center"/>
    </w:pPr>
    <w:r>
      <w:rPr>
        <w:rFonts w:ascii="HelveticaLTPro-Roman" w:hAnsi="HelveticaLTPro-Roman"/>
      </w:rPr>
      <w:t>Поправки к МСФО (IFRS) 16 – сентябрь 2022 года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71F5" w14:textId="77777777" w:rsidR="00121811" w:rsidRDefault="00800CD1">
    <w:pPr>
      <w:pStyle w:val="Header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3A4D" w14:textId="77777777" w:rsidR="00121811" w:rsidRDefault="0012181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9319" w14:textId="77777777" w:rsidR="00121811" w:rsidRDefault="00800CD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11"/>
    <w:rsid w:val="000016D2"/>
    <w:rsid w:val="000365A4"/>
    <w:rsid w:val="00084564"/>
    <w:rsid w:val="00087485"/>
    <w:rsid w:val="000A03D9"/>
    <w:rsid w:val="000D1E54"/>
    <w:rsid w:val="000E47FF"/>
    <w:rsid w:val="000E55C7"/>
    <w:rsid w:val="00121811"/>
    <w:rsid w:val="00185CAD"/>
    <w:rsid w:val="001906BD"/>
    <w:rsid w:val="00220D18"/>
    <w:rsid w:val="00230A86"/>
    <w:rsid w:val="002B2049"/>
    <w:rsid w:val="002B4B55"/>
    <w:rsid w:val="002E13A5"/>
    <w:rsid w:val="00322D98"/>
    <w:rsid w:val="003246BF"/>
    <w:rsid w:val="003456F5"/>
    <w:rsid w:val="00370031"/>
    <w:rsid w:val="003725E0"/>
    <w:rsid w:val="003775DB"/>
    <w:rsid w:val="003F38BC"/>
    <w:rsid w:val="003F5AAB"/>
    <w:rsid w:val="00413D04"/>
    <w:rsid w:val="0044486D"/>
    <w:rsid w:val="00456902"/>
    <w:rsid w:val="00466C3A"/>
    <w:rsid w:val="004A2BF8"/>
    <w:rsid w:val="00561223"/>
    <w:rsid w:val="00575031"/>
    <w:rsid w:val="005D3692"/>
    <w:rsid w:val="005D556A"/>
    <w:rsid w:val="00607466"/>
    <w:rsid w:val="006312BE"/>
    <w:rsid w:val="00634E79"/>
    <w:rsid w:val="00640DCB"/>
    <w:rsid w:val="00656ACA"/>
    <w:rsid w:val="006C0341"/>
    <w:rsid w:val="006C471F"/>
    <w:rsid w:val="006C49D4"/>
    <w:rsid w:val="006C51B1"/>
    <w:rsid w:val="00726880"/>
    <w:rsid w:val="00800CD1"/>
    <w:rsid w:val="00867875"/>
    <w:rsid w:val="00893785"/>
    <w:rsid w:val="008B3BCE"/>
    <w:rsid w:val="008C16C6"/>
    <w:rsid w:val="008F6A9B"/>
    <w:rsid w:val="0093028D"/>
    <w:rsid w:val="00962757"/>
    <w:rsid w:val="00973292"/>
    <w:rsid w:val="009837ED"/>
    <w:rsid w:val="00A40211"/>
    <w:rsid w:val="00A45280"/>
    <w:rsid w:val="00A54C3E"/>
    <w:rsid w:val="00AA1A6E"/>
    <w:rsid w:val="00AB1147"/>
    <w:rsid w:val="00AB7554"/>
    <w:rsid w:val="00AE450E"/>
    <w:rsid w:val="00B152B3"/>
    <w:rsid w:val="00B24F0E"/>
    <w:rsid w:val="00B303F5"/>
    <w:rsid w:val="00B36B94"/>
    <w:rsid w:val="00B43731"/>
    <w:rsid w:val="00B47B93"/>
    <w:rsid w:val="00B64476"/>
    <w:rsid w:val="00B8500C"/>
    <w:rsid w:val="00BC6CD7"/>
    <w:rsid w:val="00BE0AF7"/>
    <w:rsid w:val="00C122AC"/>
    <w:rsid w:val="00C37A04"/>
    <w:rsid w:val="00C52056"/>
    <w:rsid w:val="00C62374"/>
    <w:rsid w:val="00C72E56"/>
    <w:rsid w:val="00C85BF5"/>
    <w:rsid w:val="00CC1D63"/>
    <w:rsid w:val="00CC3221"/>
    <w:rsid w:val="00CF4F0A"/>
    <w:rsid w:val="00D15856"/>
    <w:rsid w:val="00D200D2"/>
    <w:rsid w:val="00D334A2"/>
    <w:rsid w:val="00D41E74"/>
    <w:rsid w:val="00D55056"/>
    <w:rsid w:val="00D82DF7"/>
    <w:rsid w:val="00DB0FC6"/>
    <w:rsid w:val="00DC219F"/>
    <w:rsid w:val="00DE21D9"/>
    <w:rsid w:val="00E96B68"/>
    <w:rsid w:val="00EF6F52"/>
    <w:rsid w:val="00F0791F"/>
    <w:rsid w:val="00F17EFE"/>
    <w:rsid w:val="00F71DFE"/>
    <w:rsid w:val="00FD55C4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AE5D"/>
  <w15:docId w15:val="{7F4DA588-B825-48FB-A318-5EA559C9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SBNormal">
    <w:name w:val="IASB Normal"/>
    <w:pPr>
      <w:tabs>
        <w:tab w:val="left" w:pos="4253"/>
      </w:tabs>
      <w:spacing w:before="100" w:after="100" w:line="240" w:lineRule="auto"/>
      <w:jc w:val="both"/>
    </w:pPr>
    <w:rPr>
      <w:sz w:val="19"/>
      <w:szCs w:val="20"/>
      <w:lang w:eastAsia="en-US"/>
    </w:rPr>
  </w:style>
  <w:style w:type="paragraph" w:customStyle="1" w:styleId="IASBNormalArial">
    <w:name w:val="IASB Normal Arial"/>
    <w:pPr>
      <w:tabs>
        <w:tab w:val="left" w:pos="4253"/>
      </w:tabs>
      <w:spacing w:before="100" w:after="100" w:line="240" w:lineRule="auto"/>
      <w:jc w:val="both"/>
    </w:pPr>
    <w:rPr>
      <w:rFonts w:ascii="Arial" w:hAnsi="Arial"/>
      <w:sz w:val="19"/>
      <w:szCs w:val="20"/>
      <w:lang w:eastAsia="en-US"/>
    </w:rPr>
  </w:style>
  <w:style w:type="paragraph" w:customStyle="1" w:styleId="IASBNormalnpara">
    <w:name w:val="IASB Normal npara"/>
    <w:basedOn w:val="IASBNormal"/>
    <w:pPr>
      <w:tabs>
        <w:tab w:val="clear" w:pos="4253"/>
      </w:tabs>
      <w:spacing w:after="0"/>
      <w:ind w:left="782" w:hanging="782"/>
    </w:pPr>
  </w:style>
  <w:style w:type="paragraph" w:customStyle="1" w:styleId="IASBSectionTitle1Ind">
    <w:name w:val="IASB Section Title 1 Ind"/>
    <w:basedOn w:val="Normal"/>
    <w:pPr>
      <w:keepNext/>
      <w:keepLines/>
      <w:pBdr>
        <w:bottom w:val="single" w:sz="4" w:space="0" w:color="auto"/>
      </w:pBdr>
      <w:spacing w:before="400" w:after="200"/>
      <w:ind w:left="782"/>
    </w:pPr>
    <w:rPr>
      <w:rFonts w:ascii="Arial" w:hAnsi="Arial" w:cs="Arial"/>
      <w:b/>
      <w:sz w:val="26"/>
      <w:szCs w:val="20"/>
    </w:rPr>
  </w:style>
  <w:style w:type="paragraph" w:customStyle="1" w:styleId="IASBSectionTitle1NonInd">
    <w:name w:val="IASB Section Title 1 NonInd"/>
    <w:basedOn w:val="Normal"/>
    <w:pPr>
      <w:keepNext/>
      <w:keepLines/>
      <w:pBdr>
        <w:bottom w:val="single" w:sz="4" w:space="0" w:color="auto"/>
      </w:pBdr>
      <w:spacing w:before="400" w:after="200"/>
    </w:pPr>
    <w:rPr>
      <w:rFonts w:ascii="Arial" w:hAnsi="Arial" w:cs="Arial"/>
      <w:b/>
      <w:sz w:val="26"/>
      <w:szCs w:val="20"/>
    </w:rPr>
  </w:style>
  <w:style w:type="paragraph" w:customStyle="1" w:styleId="IASBSectionTitle2NonInd">
    <w:name w:val="IASB Section Title 2 NonInd"/>
    <w:basedOn w:val="Normal"/>
    <w:pPr>
      <w:keepNext/>
      <w:keepLines/>
      <w:spacing w:before="300" w:after="200"/>
    </w:pPr>
    <w:rPr>
      <w:rFonts w:ascii="Arial" w:hAnsi="Arial" w:cs="Arial"/>
      <w:b/>
      <w:sz w:val="26"/>
      <w:szCs w:val="20"/>
    </w:rPr>
  </w:style>
  <w:style w:type="paragraph" w:customStyle="1" w:styleId="IASBSectionTitle2Ind">
    <w:name w:val="IASB Section Title 2 Ind"/>
    <w:basedOn w:val="IASBSectionTitle2NonInd"/>
    <w:pPr>
      <w:spacing w:before="240"/>
      <w:ind w:left="782"/>
    </w:pPr>
  </w:style>
  <w:style w:type="paragraph" w:customStyle="1" w:styleId="IASBSectionTitle3NonInd">
    <w:name w:val="IASB Section Title 3 NonInd"/>
    <w:basedOn w:val="Normal"/>
    <w:pPr>
      <w:keepNext/>
      <w:keepLines/>
      <w:spacing w:before="300" w:after="200"/>
    </w:pPr>
    <w:rPr>
      <w:rFonts w:ascii="Arial" w:hAnsi="Arial" w:cs="Arial"/>
      <w:b/>
      <w:sz w:val="22"/>
      <w:szCs w:val="20"/>
    </w:rPr>
  </w:style>
  <w:style w:type="paragraph" w:customStyle="1" w:styleId="IASBSectionTitle3Ind">
    <w:name w:val="IASB Section Title 3 Ind"/>
    <w:basedOn w:val="IASBSectionTitle3NonInd"/>
    <w:pPr>
      <w:spacing w:before="240"/>
      <w:ind w:left="782"/>
    </w:pPr>
  </w:style>
  <w:style w:type="paragraph" w:customStyle="1" w:styleId="IASBSectionTitle4NonInd">
    <w:name w:val="IASB Section Title 4 NonInd"/>
    <w:basedOn w:val="Normal"/>
    <w:pPr>
      <w:keepNext/>
      <w:keepLines/>
      <w:spacing w:before="300" w:after="200"/>
    </w:pPr>
    <w:rPr>
      <w:rFonts w:ascii="Arial" w:hAnsi="Arial" w:cs="Arial"/>
      <w:i/>
      <w:sz w:val="22"/>
      <w:szCs w:val="20"/>
    </w:rPr>
  </w:style>
  <w:style w:type="paragraph" w:customStyle="1" w:styleId="IASBSectionTitle4Ind">
    <w:name w:val="IASB Section Title 4 Ind"/>
    <w:basedOn w:val="IASBSectionTitle4NonInd"/>
    <w:pPr>
      <w:ind w:left="782"/>
    </w:pPr>
  </w:style>
  <w:style w:type="paragraph" w:customStyle="1" w:styleId="IASBSectionTitle5NonInd">
    <w:name w:val="IASB Section Title 5 NonInd"/>
    <w:basedOn w:val="Normal"/>
    <w:rsid w:val="00E20281"/>
    <w:pPr>
      <w:keepNext/>
      <w:keepLines/>
      <w:spacing w:before="300" w:after="200"/>
    </w:pPr>
    <w:rPr>
      <w:rFonts w:ascii="Arial" w:hAnsi="Arial" w:cs="Arial"/>
      <w:b/>
      <w:sz w:val="19"/>
      <w:szCs w:val="20"/>
    </w:rPr>
  </w:style>
  <w:style w:type="paragraph" w:customStyle="1" w:styleId="IASBSectionTitle5Ind">
    <w:name w:val="IASB Section Title 5 Ind"/>
    <w:basedOn w:val="IASBSectionTitle5NonInd"/>
    <w:rsid w:val="00E20281"/>
    <w:pPr>
      <w:ind w:left="782"/>
    </w:pPr>
  </w:style>
  <w:style w:type="paragraph" w:customStyle="1" w:styleId="IASBSectionTitle6NonInd">
    <w:name w:val="IASB Section Title 6 NonInd"/>
    <w:basedOn w:val="IASBSectionTitle5NonInd"/>
    <w:rPr>
      <w:b w:val="0"/>
      <w:i/>
    </w:rPr>
  </w:style>
  <w:style w:type="paragraph" w:customStyle="1" w:styleId="IASBSectionTitle6Ind">
    <w:name w:val="IASB Section Title 6 Ind"/>
    <w:basedOn w:val="IASBSectionTitle6NonInd"/>
    <w:pPr>
      <w:ind w:left="782"/>
    </w:pPr>
  </w:style>
  <w:style w:type="paragraph" w:customStyle="1" w:styleId="IASBTitle">
    <w:name w:val="IASB Title"/>
    <w:pPr>
      <w:keepNext/>
      <w:keepLines/>
      <w:spacing w:before="300" w:after="400" w:line="240" w:lineRule="auto"/>
    </w:pPr>
    <w:rPr>
      <w:rFonts w:cs="Arial"/>
      <w:sz w:val="36"/>
      <w:szCs w:val="20"/>
      <w:lang w:eastAsia="en-US"/>
    </w:rPr>
  </w:style>
  <w:style w:type="paragraph" w:customStyle="1" w:styleId="IASBNormalnparaL1">
    <w:name w:val="IASB Normal nparaL1"/>
    <w:basedOn w:val="IASBNormalnpara"/>
    <w:pPr>
      <w:ind w:left="1564"/>
    </w:pPr>
  </w:style>
  <w:style w:type="paragraph" w:customStyle="1" w:styleId="IASBNormalArialnparaL1">
    <w:name w:val="IASB Normal Arial nparaL1"/>
    <w:basedOn w:val="IASBNormalnpara"/>
    <w:pPr>
      <w:ind w:left="1564"/>
    </w:pPr>
    <w:rPr>
      <w:rFonts w:ascii="Arial" w:hAnsi="Arial"/>
    </w:rPr>
  </w:style>
  <w:style w:type="paragraph" w:customStyle="1" w:styleId="IASBNormalnparaP">
    <w:name w:val="IASB Normal nparaP"/>
    <w:basedOn w:val="IASBNormal"/>
    <w:pPr>
      <w:ind w:left="782"/>
    </w:pPr>
  </w:style>
  <w:style w:type="paragraph" w:customStyle="1" w:styleId="IASBIdentifier">
    <w:name w:val="IASB Identifier"/>
    <w:basedOn w:val="IASBTitle"/>
    <w:pPr>
      <w:spacing w:after="200"/>
    </w:pPr>
    <w:rPr>
      <w:rFonts w:ascii="Arial" w:hAnsi="Arial"/>
      <w:b/>
      <w:sz w:val="23"/>
    </w:rPr>
  </w:style>
  <w:style w:type="paragraph" w:customStyle="1" w:styleId="IASBTOCPrimaryPrimary">
    <w:name w:val="IASB TOC Primary Primary"/>
    <w:basedOn w:val="Normal"/>
    <w:pPr>
      <w:tabs>
        <w:tab w:val="right" w:pos="8647"/>
      </w:tabs>
      <w:spacing w:before="100" w:after="100"/>
    </w:pPr>
    <w:rPr>
      <w:rFonts w:ascii="Arial" w:hAnsi="Arial" w:cs="Arial"/>
      <w:b/>
      <w:caps/>
      <w:sz w:val="20"/>
      <w:szCs w:val="20"/>
    </w:rPr>
  </w:style>
  <w:style w:type="paragraph" w:customStyle="1" w:styleId="IASBTOCPrimary">
    <w:name w:val="IASB TOC Primary"/>
    <w:basedOn w:val="Normal"/>
    <w:pPr>
      <w:tabs>
        <w:tab w:val="right" w:pos="8647"/>
      </w:tabs>
      <w:spacing w:before="100" w:after="100"/>
    </w:pPr>
    <w:rPr>
      <w:rFonts w:ascii="Arial" w:hAnsi="Arial" w:cs="Arial"/>
      <w:b/>
      <w:caps/>
      <w:sz w:val="18"/>
      <w:szCs w:val="20"/>
    </w:rPr>
  </w:style>
  <w:style w:type="paragraph" w:customStyle="1" w:styleId="IASBTOCParagraph">
    <w:name w:val="IASB TOC Paragraph"/>
    <w:basedOn w:val="Normal"/>
    <w:pPr>
      <w:spacing w:before="30" w:after="30"/>
    </w:pPr>
    <w:rPr>
      <w:rFonts w:ascii="Arial" w:hAnsi="Arial" w:cs="Arial"/>
      <w:i/>
      <w:sz w:val="18"/>
      <w:szCs w:val="20"/>
    </w:rPr>
  </w:style>
  <w:style w:type="paragraph" w:customStyle="1" w:styleId="IASBTOCSecondary">
    <w:name w:val="IASB TOC Secondary"/>
    <w:basedOn w:val="Normal"/>
    <w:pPr>
      <w:tabs>
        <w:tab w:val="right" w:pos="8647"/>
      </w:tabs>
      <w:spacing w:before="30" w:after="30"/>
    </w:pPr>
    <w:rPr>
      <w:rFonts w:ascii="Arial" w:hAnsi="Arial" w:cs="Arial"/>
      <w:b/>
      <w:sz w:val="18"/>
      <w:szCs w:val="20"/>
    </w:rPr>
  </w:style>
  <w:style w:type="paragraph" w:customStyle="1" w:styleId="IASBTOCTertiary">
    <w:name w:val="IASB TOC Tertiary"/>
    <w:basedOn w:val="Normal"/>
    <w:pPr>
      <w:tabs>
        <w:tab w:val="right" w:pos="8647"/>
      </w:tabs>
      <w:spacing w:before="30" w:after="30"/>
      <w:ind w:left="390"/>
    </w:pPr>
    <w:rPr>
      <w:rFonts w:ascii="Arial" w:hAnsi="Arial" w:cs="Arial"/>
      <w:sz w:val="18"/>
      <w:szCs w:val="20"/>
    </w:rPr>
  </w:style>
  <w:style w:type="paragraph" w:customStyle="1" w:styleId="IASBTOCExternal">
    <w:name w:val="IASB TOC External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0" w:after="30"/>
    </w:pPr>
    <w:rPr>
      <w:rFonts w:ascii="Arial" w:hAnsi="Arial" w:cs="Arial"/>
      <w:b/>
      <w:sz w:val="18"/>
      <w:szCs w:val="20"/>
    </w:rPr>
  </w:style>
  <w:style w:type="paragraph" w:customStyle="1" w:styleId="IASBRubric">
    <w:name w:val="IASB Rubric"/>
    <w:basedOn w:val="IASBNormal"/>
    <w:pPr>
      <w:pBdr>
        <w:top w:val="single" w:sz="2" w:space="8" w:color="auto"/>
        <w:left w:val="single" w:sz="2" w:space="5" w:color="auto"/>
        <w:bottom w:val="single" w:sz="2" w:space="5" w:color="auto"/>
        <w:right w:val="single" w:sz="2" w:space="5" w:color="auto"/>
      </w:pBdr>
    </w:pPr>
  </w:style>
  <w:style w:type="paragraph" w:customStyle="1" w:styleId="IASBNote">
    <w:name w:val="IASB Note"/>
    <w:basedOn w:val="IASBNormal"/>
    <w:rsid w:val="00E9784B"/>
  </w:style>
  <w:style w:type="paragraph" w:customStyle="1" w:styleId="IASBBlockquote">
    <w:name w:val="IASB Blockquote"/>
    <w:basedOn w:val="IASBNormal"/>
    <w:pPr>
      <w:ind w:left="1565"/>
    </w:pPr>
    <w:rPr>
      <w:sz w:val="16"/>
    </w:rPr>
  </w:style>
  <w:style w:type="character" w:customStyle="1" w:styleId="IASBEduinsert">
    <w:name w:val="IASB Edu insert"/>
    <w:qFormat/>
  </w:style>
  <w:style w:type="character" w:styleId="FootnoteReference">
    <w:name w:val="footnote reference"/>
    <w:basedOn w:val="DefaultParagraphFont"/>
    <w:uiPriority w:val="99"/>
    <w:semiHidden/>
    <w:unhideWhenUsed/>
    <w:rPr>
      <w:rFonts w:cs="Times New Roman"/>
      <w:vertAlign w:val="superscript"/>
    </w:rPr>
  </w:style>
  <w:style w:type="paragraph" w:styleId="FootnoteText">
    <w:name w:val="footnote text"/>
    <w:basedOn w:val="IASBSectionTitle2Ind"/>
    <w:next w:val="IASBBlockquote"/>
    <w:uiPriority w:val="99"/>
    <w:semiHidden/>
    <w:rsid w:val="00713675"/>
    <w:pPr>
      <w:keepNext w:val="0"/>
      <w:keepLines w:val="0"/>
      <w:spacing w:before="0" w:after="0"/>
      <w:ind w:hanging="782"/>
    </w:pPr>
    <w:rPr>
      <w:rFonts w:ascii="Times New Roman" w:hAnsi="Times New Roman" w:cs="Times New Roman"/>
      <w:b w:val="0"/>
      <w:sz w:val="16"/>
    </w:rPr>
  </w:style>
  <w:style w:type="paragraph" w:customStyle="1" w:styleId="edufootnotetext">
    <w:name w:val="edu footnote text"/>
    <w:basedOn w:val="IASBSectionTitle2Ind"/>
    <w:next w:val="IASBBlockquote"/>
    <w:link w:val="FootnoteTextChar"/>
    <w:uiPriority w:val="99"/>
    <w:semiHidden/>
    <w:rsid w:val="00713675"/>
    <w:pPr>
      <w:keepNext w:val="0"/>
      <w:keepLines w:val="0"/>
      <w:spacing w:before="0" w:after="0"/>
      <w:ind w:hanging="782"/>
    </w:pPr>
    <w:rPr>
      <w:sz w:val="16"/>
    </w:rPr>
  </w:style>
  <w:style w:type="character" w:customStyle="1" w:styleId="FootnoteTextChar">
    <w:name w:val="Footnote Text Char"/>
    <w:basedOn w:val="DefaultParagraphFont"/>
    <w:link w:val="edufootnotetext"/>
    <w:uiPriority w:val="99"/>
    <w:semiHidden/>
    <w:rPr>
      <w:sz w:val="20"/>
      <w:szCs w:val="20"/>
      <w:lang w:eastAsia="en-US"/>
    </w:rPr>
  </w:style>
  <w:style w:type="paragraph" w:customStyle="1" w:styleId="IASBNormalL1">
    <w:name w:val="IASB Normal L1"/>
    <w:basedOn w:val="IASBNormalnpara"/>
  </w:style>
  <w:style w:type="paragraph" w:customStyle="1" w:styleId="IASBNormalArialL1">
    <w:name w:val="IASB Normal Arial L1"/>
    <w:basedOn w:val="IASBNormalnpara"/>
    <w:rPr>
      <w:rFonts w:ascii="Arial" w:hAnsi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en-US"/>
    </w:rPr>
  </w:style>
  <w:style w:type="paragraph" w:customStyle="1" w:styleId="IASBRubricL1">
    <w:name w:val="IASB RubricL1"/>
    <w:basedOn w:val="IASBRubric"/>
    <w:pPr>
      <w:ind w:left="782" w:hanging="782"/>
      <w:jc w:val="left"/>
    </w:pPr>
    <w:rPr>
      <w:lang w:eastAsia="en-GB"/>
    </w:rPr>
  </w:style>
  <w:style w:type="paragraph" w:customStyle="1" w:styleId="IASBRubricL2">
    <w:name w:val="IASB RubricL2"/>
    <w:basedOn w:val="IASBRubricL1"/>
    <w:pPr>
      <w:tabs>
        <w:tab w:val="left" w:pos="782"/>
      </w:tabs>
      <w:ind w:left="1565" w:hanging="1565"/>
    </w:pPr>
  </w:style>
  <w:style w:type="paragraph" w:customStyle="1" w:styleId="IASBRubricL3">
    <w:name w:val="IASB RubricL3"/>
    <w:basedOn w:val="IASBRubricL2"/>
    <w:pPr>
      <w:tabs>
        <w:tab w:val="clear" w:pos="782"/>
        <w:tab w:val="left" w:pos="1565"/>
      </w:tabs>
      <w:ind w:left="2347" w:hanging="2347"/>
    </w:pPr>
  </w:style>
  <w:style w:type="paragraph" w:customStyle="1" w:styleId="IASBNormalnparaL2">
    <w:name w:val="IASB Normal nparaL2"/>
    <w:basedOn w:val="IASBNormalnparaL1"/>
    <w:pPr>
      <w:ind w:left="2347"/>
    </w:pPr>
  </w:style>
  <w:style w:type="paragraph" w:customStyle="1" w:styleId="IASBNormalnparaL3">
    <w:name w:val="IASB Normal nparaL3"/>
    <w:basedOn w:val="IASBNormalnparaL2"/>
    <w:pPr>
      <w:ind w:left="3129"/>
    </w:pPr>
  </w:style>
  <w:style w:type="paragraph" w:customStyle="1" w:styleId="IASBNormalnparaL4">
    <w:name w:val="IASB Normal nparaL4"/>
    <w:basedOn w:val="IASBNormalnparaL3"/>
    <w:pPr>
      <w:ind w:left="3912"/>
    </w:pPr>
  </w:style>
  <w:style w:type="paragraph" w:customStyle="1" w:styleId="IASBNormalnparaL5">
    <w:name w:val="IASB Normal nparaL5"/>
    <w:basedOn w:val="IASBNormalnparaL4"/>
    <w:pPr>
      <w:ind w:left="4694"/>
    </w:pPr>
  </w:style>
  <w:style w:type="paragraph" w:customStyle="1" w:styleId="IASBNormalArialnparaL2">
    <w:name w:val="IASB Normal Arial nparaL2"/>
    <w:basedOn w:val="IASBNormalnparaL1"/>
    <w:pPr>
      <w:ind w:left="2347"/>
    </w:pPr>
    <w:rPr>
      <w:rFonts w:ascii="Arial" w:hAnsi="Arial"/>
    </w:rPr>
  </w:style>
  <w:style w:type="paragraph" w:customStyle="1" w:styleId="IASBNormalArialnparaL3">
    <w:name w:val="IASB Normal Arial nparaL3"/>
    <w:basedOn w:val="IASBNormalnparaL2"/>
    <w:pPr>
      <w:ind w:left="3129"/>
    </w:pPr>
    <w:rPr>
      <w:rFonts w:ascii="Arial" w:hAnsi="Arial"/>
    </w:rPr>
  </w:style>
  <w:style w:type="paragraph" w:customStyle="1" w:styleId="IASBNormalArialnparaL4">
    <w:name w:val="IASB Normal Arial nparaL4"/>
    <w:basedOn w:val="IASBNormalnparaL3"/>
    <w:pPr>
      <w:ind w:left="3912"/>
    </w:pPr>
    <w:rPr>
      <w:rFonts w:ascii="Arial" w:hAnsi="Arial"/>
    </w:rPr>
  </w:style>
  <w:style w:type="paragraph" w:customStyle="1" w:styleId="IASBNormalArialnparaL5">
    <w:name w:val="IASB Normal Arial nparaL5"/>
    <w:basedOn w:val="IASBNormalnparaL4"/>
    <w:pPr>
      <w:ind w:left="4694"/>
    </w:pPr>
    <w:rPr>
      <w:rFonts w:ascii="Arial" w:hAnsi="Arial"/>
    </w:rPr>
  </w:style>
  <w:style w:type="paragraph" w:customStyle="1" w:styleId="IASBNormalnparaL1P">
    <w:name w:val="IASB Normal nparaL1P"/>
    <w:basedOn w:val="IASBNormalnparaL2"/>
    <w:pPr>
      <w:ind w:left="1565" w:firstLine="0"/>
    </w:pPr>
  </w:style>
  <w:style w:type="paragraph" w:customStyle="1" w:styleId="IASBNormalnparaL2P">
    <w:name w:val="IASB Normal nparaL2P"/>
    <w:basedOn w:val="IASBNormalnparaL1P"/>
    <w:pPr>
      <w:ind w:left="2347"/>
    </w:pPr>
  </w:style>
  <w:style w:type="paragraph" w:customStyle="1" w:styleId="IASBNormalnparaL3P">
    <w:name w:val="IASB Normal nparaL3P"/>
    <w:basedOn w:val="IASBNormalnparaL2P"/>
    <w:pPr>
      <w:ind w:left="3130"/>
    </w:pPr>
  </w:style>
  <w:style w:type="paragraph" w:customStyle="1" w:styleId="IASBNormalnparaL4P">
    <w:name w:val="IASB Normal nparaL4P"/>
    <w:basedOn w:val="IASBNormalnparaL3P"/>
    <w:pPr>
      <w:ind w:left="3912"/>
    </w:pPr>
  </w:style>
  <w:style w:type="paragraph" w:customStyle="1" w:styleId="IASBNormalnparaL5P">
    <w:name w:val="IASB Normal nparaL5P"/>
    <w:basedOn w:val="IASBNormalnparaL4P"/>
    <w:pPr>
      <w:ind w:left="4751"/>
    </w:pPr>
  </w:style>
  <w:style w:type="paragraph" w:customStyle="1" w:styleId="IASBBlockquoteL1">
    <w:name w:val="IASB BlockquoteL1"/>
    <w:basedOn w:val="IASBBlockquote"/>
    <w:pPr>
      <w:ind w:left="2347" w:hanging="782"/>
    </w:pPr>
  </w:style>
  <w:style w:type="paragraph" w:customStyle="1" w:styleId="IASBBlockquoteL2">
    <w:name w:val="IASB BlockquoteL2"/>
    <w:basedOn w:val="IASBBlockquoteL1"/>
    <w:pPr>
      <w:ind w:left="3129"/>
    </w:pPr>
  </w:style>
  <w:style w:type="paragraph" w:customStyle="1" w:styleId="IASBNormalL2">
    <w:name w:val="IASB Normal L2"/>
    <w:basedOn w:val="IASBNormalL1"/>
    <w:pPr>
      <w:ind w:left="1564"/>
    </w:pPr>
  </w:style>
  <w:style w:type="paragraph" w:customStyle="1" w:styleId="IASBNormalArialL2">
    <w:name w:val="IASB Normal Arial L2"/>
    <w:basedOn w:val="IASBNormalL1"/>
    <w:pPr>
      <w:ind w:left="1564"/>
    </w:pPr>
    <w:rPr>
      <w:rFonts w:ascii="Arial" w:hAnsi="Arial"/>
    </w:rPr>
  </w:style>
  <w:style w:type="paragraph" w:customStyle="1" w:styleId="IASBTOCQuartery">
    <w:name w:val="IASB TOC Quartery"/>
    <w:basedOn w:val="IASBTOCTertiary"/>
    <w:pPr>
      <w:ind w:left="851"/>
    </w:pPr>
  </w:style>
  <w:style w:type="paragraph" w:customStyle="1" w:styleId="IASBNoteTitle">
    <w:name w:val="IASB Note Title"/>
    <w:basedOn w:val="IASBTOCPrimary"/>
    <w:pPr>
      <w:jc w:val="center"/>
    </w:pPr>
    <w:rPr>
      <w:b w:val="0"/>
      <w:caps w:val="0"/>
      <w:sz w:val="24"/>
    </w:rPr>
  </w:style>
  <w:style w:type="paragraph" w:customStyle="1" w:styleId="IASBNormalL1P">
    <w:name w:val="IASB Normal L1P"/>
    <w:basedOn w:val="IASBNormalL1"/>
    <w:qFormat/>
    <w:pPr>
      <w:ind w:firstLine="0"/>
    </w:pPr>
  </w:style>
  <w:style w:type="paragraph" w:customStyle="1" w:styleId="IASBNormalL2P">
    <w:name w:val="IASB Normal L2P"/>
    <w:basedOn w:val="IASBNormalL1P"/>
    <w:qFormat/>
    <w:pPr>
      <w:ind w:left="1565"/>
    </w:pPr>
  </w:style>
  <w:style w:type="paragraph" w:customStyle="1" w:styleId="IASBNormalnparaC">
    <w:name w:val="IASB Normal nparaC"/>
    <w:basedOn w:val="IASBNormalnpara"/>
    <w:qFormat/>
    <w:pPr>
      <w:spacing w:before="0"/>
    </w:pPr>
  </w:style>
  <w:style w:type="paragraph" w:customStyle="1" w:styleId="IASBEdupara">
    <w:name w:val="IASB Edu para"/>
    <w:basedOn w:val="IASBNormal"/>
    <w:qFormat/>
  </w:style>
  <w:style w:type="paragraph" w:customStyle="1" w:styleId="IASBTableBoldTNR">
    <w:name w:val="IASB Table Bold TNR"/>
    <w:basedOn w:val="Normal"/>
    <w:qFormat/>
    <w:pPr>
      <w:spacing w:before="120"/>
    </w:pPr>
    <w:rPr>
      <w:b/>
      <w:sz w:val="19"/>
      <w:szCs w:val="20"/>
      <w:lang w:eastAsia="en-GB"/>
    </w:rPr>
  </w:style>
  <w:style w:type="paragraph" w:customStyle="1" w:styleId="IASBTableHeaderTNR">
    <w:name w:val="IASB Table Header TNR"/>
    <w:basedOn w:val="Normal"/>
    <w:qFormat/>
    <w:pPr>
      <w:keepNext/>
      <w:spacing w:before="120" w:after="200" w:line="276" w:lineRule="auto"/>
    </w:pPr>
    <w:rPr>
      <w:sz w:val="19"/>
      <w:szCs w:val="20"/>
      <w:lang w:eastAsia="en-GB"/>
    </w:rPr>
  </w:style>
  <w:style w:type="paragraph" w:customStyle="1" w:styleId="IASBTableTNR">
    <w:name w:val="IASB Table TNR"/>
    <w:basedOn w:val="Normal"/>
    <w:qFormat/>
    <w:pPr>
      <w:spacing w:before="120"/>
    </w:pPr>
    <w:rPr>
      <w:sz w:val="19"/>
      <w:szCs w:val="20"/>
      <w:lang w:eastAsia="en-GB"/>
    </w:rPr>
  </w:style>
  <w:style w:type="paragraph" w:customStyle="1" w:styleId="IASBTableNormal">
    <w:name w:val="IASB Table Normal"/>
    <w:basedOn w:val="Normal"/>
    <w:pPr>
      <w:spacing w:before="80" w:after="60"/>
    </w:pPr>
    <w:rPr>
      <w:sz w:val="19"/>
      <w:szCs w:val="20"/>
      <w:lang w:eastAsia="en-GB"/>
    </w:rPr>
  </w:style>
  <w:style w:type="paragraph" w:customStyle="1" w:styleId="IASBTableArial">
    <w:name w:val="IASB Table Arial"/>
    <w:basedOn w:val="Normal"/>
    <w:pPr>
      <w:spacing w:before="120"/>
    </w:pPr>
    <w:rPr>
      <w:rFonts w:ascii="Arial" w:hAnsi="Arial"/>
      <w:sz w:val="18"/>
      <w:szCs w:val="20"/>
      <w:lang w:eastAsia="en-GB"/>
    </w:rPr>
  </w:style>
  <w:style w:type="paragraph" w:customStyle="1" w:styleId="IASBTableBoldArial">
    <w:name w:val="IASB Table Bold Arial"/>
    <w:basedOn w:val="IASBTableArial"/>
    <w:qFormat/>
    <w:pPr>
      <w:spacing w:after="60"/>
    </w:pPr>
    <w:rPr>
      <w:b/>
    </w:rPr>
  </w:style>
  <w:style w:type="paragraph" w:customStyle="1" w:styleId="IASBTableHeaderArial">
    <w:name w:val="IASB Table Header Arial"/>
    <w:basedOn w:val="IASBTableArial"/>
    <w:qFormat/>
    <w:pPr>
      <w:keepNext/>
      <w:spacing w:after="100"/>
    </w:pPr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sid w:val="004B3E7E"/>
    <w:rPr>
      <w:rFonts w:cs="Times New Roman"/>
      <w:vertAlign w:val="superscript"/>
    </w:rPr>
  </w:style>
  <w:style w:type="paragraph" w:customStyle="1" w:styleId="IASBNormalL3">
    <w:name w:val="IASB Normal L3"/>
    <w:basedOn w:val="IASBNormalL2"/>
    <w:qFormat/>
    <w:rsid w:val="0078108C"/>
    <w:pPr>
      <w:ind w:left="2268" w:hanging="708"/>
    </w:pPr>
  </w:style>
  <w:style w:type="paragraph" w:customStyle="1" w:styleId="IASBNormalArialL3">
    <w:name w:val="IASB Normal Arial L3"/>
    <w:basedOn w:val="IASBNormalL2"/>
    <w:qFormat/>
    <w:rsid w:val="0078108C"/>
    <w:pPr>
      <w:ind w:left="2268" w:hanging="708"/>
    </w:pPr>
    <w:rPr>
      <w:rFonts w:ascii="Arial" w:hAnsi="Arial"/>
    </w:rPr>
  </w:style>
  <w:style w:type="paragraph" w:customStyle="1" w:styleId="IASBNormalL3P">
    <w:name w:val="IASB Normal L3P"/>
    <w:basedOn w:val="IASBNormalL2P"/>
    <w:qFormat/>
    <w:rsid w:val="0078108C"/>
    <w:pPr>
      <w:ind w:left="2268"/>
    </w:pPr>
  </w:style>
  <w:style w:type="paragraph" w:customStyle="1" w:styleId="IASBNormalL4">
    <w:name w:val="IASB Normal L4"/>
    <w:basedOn w:val="IASBNormalL3"/>
    <w:qFormat/>
    <w:rsid w:val="0078108C"/>
    <w:pPr>
      <w:ind w:left="2977"/>
    </w:pPr>
  </w:style>
  <w:style w:type="paragraph" w:customStyle="1" w:styleId="IASBNormalArialL4">
    <w:name w:val="IASB Normal Arial L4"/>
    <w:basedOn w:val="IASBNormalL3"/>
    <w:qFormat/>
    <w:rsid w:val="0078108C"/>
    <w:pPr>
      <w:ind w:left="2977"/>
    </w:pPr>
    <w:rPr>
      <w:rFonts w:ascii="Arial" w:hAnsi="Arial"/>
    </w:rPr>
  </w:style>
  <w:style w:type="paragraph" w:customStyle="1" w:styleId="IASBNormalL4P">
    <w:name w:val="IASB Normal L4P"/>
    <w:basedOn w:val="IASBNormalL3P"/>
    <w:qFormat/>
    <w:rsid w:val="0078108C"/>
    <w:pPr>
      <w:ind w:left="2977"/>
    </w:pPr>
  </w:style>
  <w:style w:type="paragraph" w:styleId="Revision">
    <w:name w:val="Revision"/>
    <w:hidden/>
    <w:uiPriority w:val="99"/>
    <w:semiHidden/>
    <w:rsid w:val="00AB7554"/>
    <w:pPr>
      <w:spacing w:after="0" w:line="240" w:lineRule="auto"/>
    </w:pPr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33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34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34A2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4A2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4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4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1af2b0-f65d-434c-8a17-aadcdb553b78"/>
    <lcf76f155ced4ddcb4097134ff3c332f xmlns="ec49eb38-6cb5-483f-a298-4a90bdd0005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284443D39C047BFB7B26CC769F073" ma:contentTypeVersion="17" ma:contentTypeDescription="Create a new document." ma:contentTypeScope="" ma:versionID="e3cdb4ab884b898825e55b69f9fe61a7">
  <xsd:schema xmlns:xsd="http://www.w3.org/2001/XMLSchema" xmlns:xs="http://www.w3.org/2001/XMLSchema" xmlns:p="http://schemas.microsoft.com/office/2006/metadata/properties" xmlns:ns2="ec49eb38-6cb5-483f-a298-4a90bdd00051" xmlns:ns3="dd1af2b0-f65d-434c-8a17-aadcdb553b78" targetNamespace="http://schemas.microsoft.com/office/2006/metadata/properties" ma:root="true" ma:fieldsID="1f08cb3d13ae74dfede6920122535976" ns2:_="" ns3:_="">
    <xsd:import namespace="ec49eb38-6cb5-483f-a298-4a90bdd00051"/>
    <xsd:import namespace="dd1af2b0-f65d-434c-8a17-aadcdb553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9eb38-6cb5-483f-a298-4a90bdd00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2f0513-a2ef-49c9-8f64-129a7e7844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af2b0-f65d-434c-8a17-aadcdb553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56988c-21c8-4111-8ccb-b7eec4617890}" ma:internalName="TaxCatchAll" ma:showField="CatchAllData" ma:web="dd1af2b0-f65d-434c-8a17-aadcdb553b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3F9D4-72B6-407E-BAA0-9B1E26700B6E}">
  <ds:schemaRefs>
    <ds:schemaRef ds:uri="http://schemas.microsoft.com/office/2006/metadata/properties"/>
    <ds:schemaRef ds:uri="http://schemas.microsoft.com/office/infopath/2007/PartnerControls"/>
    <ds:schemaRef ds:uri="dd1af2b0-f65d-434c-8a17-aadcdb553b78"/>
    <ds:schemaRef ds:uri="ec49eb38-6cb5-483f-a298-4a90bdd00051"/>
  </ds:schemaRefs>
</ds:datastoreItem>
</file>

<file path=customXml/itemProps2.xml><?xml version="1.0" encoding="utf-8"?>
<ds:datastoreItem xmlns:ds="http://schemas.openxmlformats.org/officeDocument/2006/customXml" ds:itemID="{FBF96EFD-02A5-4623-AEE1-12CEFC54EFB9}"/>
</file>

<file path=customXml/itemProps3.xml><?xml version="1.0" encoding="utf-8"?>
<ds:datastoreItem xmlns:ds="http://schemas.openxmlformats.org/officeDocument/2006/customXml" ds:itemID="{70587CA0-6429-41AC-AA28-C6671C943B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258B93-C8C7-4139-A180-BDE29783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POI</dc:creator>
  <cp:keywords/>
  <cp:lastModifiedBy>Larisa Bocharova</cp:lastModifiedBy>
  <cp:revision>2</cp:revision>
  <dcterms:created xsi:type="dcterms:W3CDTF">2023-02-27T17:22:00Z</dcterms:created>
  <dcterms:modified xsi:type="dcterms:W3CDTF">2023-02-27T17:22:00Z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0x01010083E284443D39C047BFB7B26CC769F073</vt:lpwstr>
  </property>
  <property fmtid="{D5CDD505-2E9C-101B-9397-08002B2CF9AE}" pid="4" name="Order">
    <vt:r8>25919800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