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28EB" w14:textId="77777777" w:rsidR="00BA6C2C" w:rsidRPr="008E689B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val="en-US" w:eastAsia="en-GB"/>
        </w:rPr>
      </w:pPr>
    </w:p>
    <w:p w14:paraId="1C049DB5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7822F687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705887B6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0F5B35E6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392F77DF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6D166C24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103FA1E2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743217DE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40CA8567" w14:textId="77777777" w:rsidR="00BA6C2C" w:rsidRDefault="00BA6C2C" w:rsidP="00BA6C2C">
      <w:pPr>
        <w:autoSpaceDE w:val="0"/>
        <w:autoSpaceDN w:val="0"/>
        <w:adjustRightInd w:val="0"/>
        <w:jc w:val="center"/>
        <w:rPr>
          <w:rFonts w:ascii="SwiftLTStd-Bold" w:hAnsi="SwiftLTStd-Bold" w:cs="SwiftLTStd-Bold"/>
          <w:b/>
          <w:bCs/>
          <w:sz w:val="36"/>
          <w:szCs w:val="36"/>
          <w:lang w:eastAsia="en-GB"/>
        </w:rPr>
      </w:pPr>
    </w:p>
    <w:p w14:paraId="346C8DAC" w14:textId="77777777" w:rsidR="00BA6C2C" w:rsidRPr="00D87354" w:rsidRDefault="00BA6C2C" w:rsidP="00BA6C2C">
      <w:pPr>
        <w:autoSpaceDE w:val="0"/>
        <w:autoSpaceDN w:val="0"/>
        <w:adjustRightInd w:val="0"/>
        <w:jc w:val="center"/>
        <w:rPr>
          <w:rFonts w:asciiTheme="minorHAnsi" w:hAnsiTheme="minorHAnsi" w:cs="SwiftLTStd-Bold"/>
          <w:b/>
          <w:bCs/>
          <w:sz w:val="36"/>
          <w:szCs w:val="36"/>
          <w:lang w:val="ru-RU" w:eastAsia="en-GB"/>
        </w:rPr>
      </w:pPr>
    </w:p>
    <w:p w14:paraId="4383BD60" w14:textId="3642DF04" w:rsidR="00BA6C2C" w:rsidRPr="00D62388" w:rsidRDefault="00257AB1" w:rsidP="00BA6C2C">
      <w:pPr>
        <w:autoSpaceDE w:val="0"/>
        <w:autoSpaceDN w:val="0"/>
        <w:adjustRightInd w:val="0"/>
        <w:jc w:val="center"/>
        <w:rPr>
          <w:rFonts w:asciiTheme="minorHAnsi" w:hAnsiTheme="minorHAnsi" w:cs="SwiftLTStd-Bold"/>
          <w:b/>
          <w:bCs/>
          <w:sz w:val="36"/>
          <w:szCs w:val="36"/>
          <w:lang w:val="ru-RU" w:eastAsia="en-GB"/>
        </w:rPr>
      </w:pPr>
      <w:r w:rsidRPr="00BA7E48">
        <w:rPr>
          <w:rFonts w:ascii="SwiftLTStd-Bold" w:hAnsi="SwiftLTStd-Bold" w:cs="SwiftLTStd-Bold"/>
          <w:b/>
          <w:bCs/>
          <w:sz w:val="36"/>
          <w:szCs w:val="36"/>
          <w:lang w:val="ru-RU" w:eastAsia="en-GB"/>
        </w:rPr>
        <w:t>Отсутствие возможности</w:t>
      </w:r>
      <w:r w:rsidRPr="00595128">
        <w:rPr>
          <w:rFonts w:ascii="SwiftLTStd-Bold" w:hAnsi="SwiftLTStd-Bold" w:cs="SwiftLTStd-Bold"/>
          <w:b/>
          <w:bCs/>
          <w:sz w:val="36"/>
          <w:szCs w:val="36"/>
          <w:lang w:val="ru-RU" w:eastAsia="en-GB"/>
        </w:rPr>
        <w:t xml:space="preserve"> </w:t>
      </w:r>
      <w:r w:rsidR="00595128" w:rsidRPr="00595128">
        <w:rPr>
          <w:rFonts w:ascii="SwiftLTStd-Bold" w:hAnsi="SwiftLTStd-Bold" w:cs="SwiftLTStd-Bold"/>
          <w:b/>
          <w:bCs/>
          <w:sz w:val="36"/>
          <w:szCs w:val="36"/>
          <w:lang w:val="ru-RU" w:eastAsia="en-GB"/>
        </w:rPr>
        <w:t xml:space="preserve">обмена </w:t>
      </w:r>
      <w:r w:rsidR="00D62388">
        <w:rPr>
          <w:rFonts w:asciiTheme="minorHAnsi" w:hAnsiTheme="minorHAnsi" w:cs="SwiftLTStd-Bold"/>
          <w:b/>
          <w:bCs/>
          <w:sz w:val="36"/>
          <w:szCs w:val="36"/>
          <w:lang w:val="ru-RU" w:eastAsia="en-GB"/>
        </w:rPr>
        <w:t>валют</w:t>
      </w:r>
    </w:p>
    <w:p w14:paraId="3004E710" w14:textId="77777777" w:rsidR="00DE4801" w:rsidRPr="00496F62" w:rsidRDefault="00595128" w:rsidP="00BA6C2C">
      <w:pPr>
        <w:jc w:val="center"/>
        <w:rPr>
          <w:lang w:val="ru-RU"/>
        </w:rPr>
        <w:sectPr w:rsidR="00DE4801" w:rsidRPr="00496F62">
          <w:headerReference w:type="default" r:id="rId11"/>
          <w:footerReference w:type="even" r:id="rId12"/>
          <w:footerReference w:type="default" r:id="rId13"/>
          <w:type w:val="oddPage"/>
          <w:pgSz w:w="11880" w:h="16820"/>
          <w:pgMar w:top="1440" w:right="1440" w:bottom="1440" w:left="1440" w:header="720" w:footer="720" w:gutter="0"/>
          <w:cols w:space="720"/>
        </w:sectPr>
      </w:pPr>
      <w:r w:rsidRPr="00595128">
        <w:rPr>
          <w:rFonts w:ascii="SwiftLTStd-Regular" w:hAnsi="SwiftLTStd-Regular" w:cs="SwiftLTStd-Regular"/>
          <w:sz w:val="36"/>
          <w:szCs w:val="36"/>
          <w:lang w:val="ru-RU" w:eastAsia="en-GB"/>
        </w:rPr>
        <w:t>Поправки</w:t>
      </w:r>
      <w:r w:rsidRPr="00496F62">
        <w:rPr>
          <w:rFonts w:ascii="SwiftLTStd-Regular" w:hAnsi="SwiftLTStd-Regular" w:cs="SwiftLTStd-Regular"/>
          <w:sz w:val="36"/>
          <w:szCs w:val="36"/>
          <w:lang w:val="ru-RU" w:eastAsia="en-GB"/>
        </w:rPr>
        <w:t xml:space="preserve"> </w:t>
      </w:r>
      <w:r w:rsidRPr="00595128">
        <w:rPr>
          <w:rFonts w:ascii="SwiftLTStd-Regular" w:hAnsi="SwiftLTStd-Regular" w:cs="SwiftLTStd-Regular"/>
          <w:sz w:val="36"/>
          <w:szCs w:val="36"/>
          <w:lang w:val="ru-RU" w:eastAsia="en-GB"/>
        </w:rPr>
        <w:t>к</w:t>
      </w:r>
      <w:r w:rsidRPr="00496F62">
        <w:rPr>
          <w:rFonts w:ascii="SwiftLTStd-Regular" w:hAnsi="SwiftLTStd-Regular" w:cs="SwiftLTStd-Regular"/>
          <w:sz w:val="36"/>
          <w:szCs w:val="36"/>
          <w:lang w:val="ru-RU" w:eastAsia="en-GB"/>
        </w:rPr>
        <w:t xml:space="preserve"> </w:t>
      </w:r>
      <w:r w:rsidRPr="00595128">
        <w:rPr>
          <w:rFonts w:ascii="SwiftLTStd-Regular" w:hAnsi="SwiftLTStd-Regular" w:cs="SwiftLTStd-Regular"/>
          <w:sz w:val="36"/>
          <w:szCs w:val="36"/>
          <w:lang w:val="ru-RU" w:eastAsia="en-GB"/>
        </w:rPr>
        <w:t>МСФО</w:t>
      </w:r>
      <w:r w:rsidRPr="00595128">
        <w:rPr>
          <w:rFonts w:ascii="SwiftLTStd-Regular" w:hAnsi="SwiftLTStd-Regular" w:cs="SwiftLTStd-Regular"/>
          <w:sz w:val="36"/>
          <w:szCs w:val="36"/>
          <w:lang w:val="en-US" w:eastAsia="en-GB"/>
        </w:rPr>
        <w:t> </w:t>
      </w:r>
      <w:r w:rsidRPr="00496F62">
        <w:rPr>
          <w:rFonts w:ascii="SwiftLTStd-Regular" w:hAnsi="SwiftLTStd-Regular" w:cs="SwiftLTStd-Regular"/>
          <w:sz w:val="36"/>
          <w:szCs w:val="36"/>
          <w:lang w:val="ru-RU" w:eastAsia="en-GB"/>
        </w:rPr>
        <w:t>(</w:t>
      </w:r>
      <w:r w:rsidRPr="00595128">
        <w:rPr>
          <w:rFonts w:ascii="SwiftLTStd-Regular" w:hAnsi="SwiftLTStd-Regular" w:cs="SwiftLTStd-Regular"/>
          <w:sz w:val="36"/>
          <w:szCs w:val="36"/>
          <w:lang w:val="en-US" w:eastAsia="en-GB"/>
        </w:rPr>
        <w:t>IAS</w:t>
      </w:r>
      <w:r w:rsidRPr="00496F62">
        <w:rPr>
          <w:rFonts w:ascii="SwiftLTStd-Regular" w:hAnsi="SwiftLTStd-Regular" w:cs="SwiftLTStd-Regular"/>
          <w:sz w:val="36"/>
          <w:szCs w:val="36"/>
          <w:lang w:val="ru-RU" w:eastAsia="en-GB"/>
        </w:rPr>
        <w:t>)</w:t>
      </w:r>
      <w:r w:rsidRPr="00595128">
        <w:rPr>
          <w:rFonts w:ascii="SwiftLTStd-Regular" w:hAnsi="SwiftLTStd-Regular" w:cs="SwiftLTStd-Regular"/>
          <w:sz w:val="36"/>
          <w:szCs w:val="36"/>
          <w:lang w:val="en-US" w:eastAsia="en-GB"/>
        </w:rPr>
        <w:t> </w:t>
      </w:r>
      <w:r w:rsidRPr="00496F62">
        <w:rPr>
          <w:rFonts w:ascii="SwiftLTStd-Regular" w:hAnsi="SwiftLTStd-Regular" w:cs="SwiftLTStd-Regular"/>
          <w:sz w:val="36"/>
          <w:szCs w:val="36"/>
          <w:lang w:val="ru-RU" w:eastAsia="en-GB"/>
        </w:rPr>
        <w:t>21</w:t>
      </w:r>
    </w:p>
    <w:p w14:paraId="47212CD3" w14:textId="77777777" w:rsidR="00DE4801" w:rsidRPr="00595128" w:rsidRDefault="00595128">
      <w:pPr>
        <w:pStyle w:val="IASBSectionTitle1NonInd"/>
        <w:rPr>
          <w:lang w:val="ru-RU"/>
        </w:rPr>
      </w:pPr>
      <w:r w:rsidRPr="00595128">
        <w:rPr>
          <w:lang w:val="ru-RU"/>
        </w:rPr>
        <w:lastRenderedPageBreak/>
        <w:t>Поправки к МСФО (</w:t>
      </w:r>
      <w:r w:rsidRPr="00595128">
        <w:t>IAS</w:t>
      </w:r>
      <w:r w:rsidRPr="00595128">
        <w:rPr>
          <w:lang w:val="ru-RU"/>
        </w:rPr>
        <w:t xml:space="preserve">) 21 </w:t>
      </w:r>
      <w:r w:rsidRPr="00595128">
        <w:rPr>
          <w:i/>
          <w:lang w:val="ru-RU"/>
        </w:rPr>
        <w:t>«Влияние изменений валютных курсов»</w:t>
      </w:r>
    </w:p>
    <w:p w14:paraId="5EC17696" w14:textId="77777777" w:rsidR="00DE4801" w:rsidRPr="00595128" w:rsidRDefault="00DE4801">
      <w:pPr>
        <w:pStyle w:val="IASBNormalnpara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E4801" w:rsidRPr="00A06F67" w14:paraId="7E6F9EBD" w14:textId="77777777" w:rsidTr="00A25440">
        <w:trPr>
          <w:trHeight w:val="843"/>
        </w:trPr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3EEF53D3" w14:textId="77777777" w:rsidR="00DE4801" w:rsidRPr="00F26EF4" w:rsidRDefault="00F26EF4">
            <w:pPr>
              <w:pStyle w:val="IASBTableArial"/>
              <w:rPr>
                <w:lang w:val="ru-RU"/>
              </w:rPr>
            </w:pPr>
            <w:r w:rsidRPr="00C91786">
              <w:rPr>
                <w:lang w:val="ru-RU"/>
              </w:rPr>
              <w:t>В пункты 8 и 26 внесены изменения.</w:t>
            </w:r>
            <w:r>
              <w:rPr>
                <w:lang w:val="ru-RU"/>
              </w:rPr>
              <w:t xml:space="preserve"> </w:t>
            </w:r>
            <w:r w:rsidRPr="00C91786">
              <w:rPr>
                <w:lang w:val="ru-RU"/>
              </w:rPr>
              <w:t>Добавлены пункты 8A–8B, 19A и соответствующие заголовки, а также пункты 57A–57B, 60L–60M и Приложение А.</w:t>
            </w:r>
            <w:r>
              <w:rPr>
                <w:lang w:val="ru-RU"/>
              </w:rPr>
              <w:t xml:space="preserve"> </w:t>
            </w:r>
            <w:r w:rsidRPr="00C91786">
              <w:rPr>
                <w:lang w:val="ru-RU"/>
              </w:rPr>
              <w:t>Новый текст подчеркнут, удаленный текст зачеркнут.</w:t>
            </w:r>
            <w:r>
              <w:rPr>
                <w:lang w:val="ru-RU"/>
              </w:rPr>
              <w:t xml:space="preserve"> </w:t>
            </w:r>
            <w:r w:rsidRPr="00C91786">
              <w:rPr>
                <w:lang w:val="ru-RU"/>
              </w:rPr>
              <w:t>Для удобства чтения текст в Приложении А не был подчеркнут</w:t>
            </w:r>
            <w:r w:rsidR="006669CB" w:rsidRPr="00F26EF4">
              <w:rPr>
                <w:lang w:val="ru-RU"/>
              </w:rPr>
              <w:t>.</w:t>
            </w:r>
          </w:p>
        </w:tc>
      </w:tr>
    </w:tbl>
    <w:p w14:paraId="1B29B7BE" w14:textId="77777777" w:rsidR="00DE4801" w:rsidRPr="00F26EF4" w:rsidRDefault="00DE4801">
      <w:pPr>
        <w:pStyle w:val="IASBNormalnpara"/>
        <w:rPr>
          <w:lang w:val="ru-RU"/>
        </w:rPr>
      </w:pPr>
    </w:p>
    <w:p w14:paraId="2A7AA9E6" w14:textId="77777777" w:rsidR="00DE4801" w:rsidRPr="00F26EF4" w:rsidRDefault="00F26EF4">
      <w:pPr>
        <w:pStyle w:val="IASBSectionTitle1NonInd"/>
        <w:rPr>
          <w:lang w:val="ru-RU"/>
        </w:rPr>
      </w:pPr>
      <w:r>
        <w:rPr>
          <w:lang w:val="ru-RU"/>
        </w:rPr>
        <w:t>Определения</w:t>
      </w:r>
    </w:p>
    <w:p w14:paraId="3ED4A709" w14:textId="77777777" w:rsidR="00DE4801" w:rsidRPr="00F26EF4" w:rsidRDefault="006669CB">
      <w:pPr>
        <w:pStyle w:val="IASBNormalnpara"/>
        <w:rPr>
          <w:lang w:val="ru-RU"/>
        </w:rPr>
      </w:pPr>
      <w:r w:rsidRPr="00F26EF4">
        <w:rPr>
          <w:b/>
          <w:lang w:val="ru-RU"/>
        </w:rPr>
        <w:t>8</w:t>
      </w:r>
      <w:r w:rsidRPr="00F26EF4">
        <w:rPr>
          <w:lang w:val="ru-RU"/>
        </w:rPr>
        <w:tab/>
      </w:r>
      <w:r w:rsidR="00F26EF4" w:rsidRPr="00F26EF4">
        <w:rPr>
          <w:b/>
          <w:lang w:val="ru-RU"/>
        </w:rPr>
        <w:t>В настоящем стандарте используются следующие термины в указанных значениях</w:t>
      </w:r>
      <w:r w:rsidRPr="00F26EF4">
        <w:rPr>
          <w:b/>
          <w:lang w:val="ru-RU"/>
        </w:rPr>
        <w:t xml:space="preserve">: </w:t>
      </w:r>
    </w:p>
    <w:p w14:paraId="7F18CCDF" w14:textId="77777777" w:rsidR="00DE4801" w:rsidRPr="00F26EF4" w:rsidRDefault="006669CB">
      <w:pPr>
        <w:pStyle w:val="IASBNormalnparaP"/>
        <w:rPr>
          <w:lang w:val="ru-RU"/>
        </w:rPr>
      </w:pPr>
      <w:r w:rsidRPr="00F26EF4">
        <w:rPr>
          <w:b/>
          <w:lang w:val="ru-RU"/>
        </w:rPr>
        <w:t>...</w:t>
      </w:r>
    </w:p>
    <w:p w14:paraId="75788796" w14:textId="0BBEEAD0" w:rsidR="00DE4801" w:rsidRPr="00DA4ECC" w:rsidRDefault="00690ABD">
      <w:pPr>
        <w:pStyle w:val="IASBNormalnparaP"/>
        <w:rPr>
          <w:lang w:val="ru-RU"/>
        </w:rPr>
      </w:pPr>
      <w:r>
        <w:rPr>
          <w:b/>
          <w:i/>
          <w:u w:val="single"/>
          <w:lang w:val="ru-RU"/>
        </w:rPr>
        <w:t>Возможность</w:t>
      </w:r>
      <w:r w:rsidR="00F26EF4" w:rsidRPr="001C171F">
        <w:rPr>
          <w:b/>
          <w:i/>
          <w:u w:val="single"/>
          <w:lang w:val="ru-RU"/>
        </w:rPr>
        <w:t xml:space="preserve"> обмен</w:t>
      </w:r>
      <w:r>
        <w:rPr>
          <w:b/>
          <w:i/>
          <w:u w:val="single"/>
          <w:lang w:val="ru-RU"/>
        </w:rPr>
        <w:t>а</w:t>
      </w:r>
      <w:r w:rsidR="00F26EF4" w:rsidRPr="002D2F74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одной валюты </w:t>
      </w:r>
      <w:r w:rsidR="00F26EF4" w:rsidRPr="002D2F74">
        <w:rPr>
          <w:b/>
          <w:u w:val="single"/>
          <w:lang w:val="ru-RU"/>
        </w:rPr>
        <w:t xml:space="preserve">на другую </w:t>
      </w:r>
      <w:r w:rsidR="00F26EF4" w:rsidRPr="00F8760C">
        <w:rPr>
          <w:b/>
          <w:u w:val="single"/>
          <w:lang w:val="ru-RU"/>
        </w:rPr>
        <w:t>валюту</w:t>
      </w:r>
      <w:r>
        <w:rPr>
          <w:b/>
          <w:u w:val="single"/>
          <w:lang w:val="ru-RU"/>
        </w:rPr>
        <w:t xml:space="preserve"> существует тогда</w:t>
      </w:r>
      <w:r w:rsidR="00F26EF4" w:rsidRPr="002D2F74">
        <w:rPr>
          <w:b/>
          <w:u w:val="single"/>
          <w:lang w:val="ru-RU"/>
        </w:rPr>
        <w:t xml:space="preserve">, когда организация в состоянии получить </w:t>
      </w:r>
      <w:r>
        <w:rPr>
          <w:b/>
          <w:u w:val="single"/>
          <w:lang w:val="ru-RU"/>
        </w:rPr>
        <w:t xml:space="preserve">указанную </w:t>
      </w:r>
      <w:r w:rsidR="00F26EF4" w:rsidRPr="002D2F74">
        <w:rPr>
          <w:b/>
          <w:u w:val="single"/>
          <w:lang w:val="ru-RU"/>
        </w:rPr>
        <w:t xml:space="preserve">другую валюту в пределах </w:t>
      </w:r>
      <w:r w:rsidR="00D145A7">
        <w:rPr>
          <w:b/>
          <w:u w:val="single"/>
          <w:lang w:val="ru-RU"/>
        </w:rPr>
        <w:t xml:space="preserve">некоторого </w:t>
      </w:r>
      <w:r w:rsidR="004A4C52">
        <w:rPr>
          <w:b/>
          <w:u w:val="single"/>
          <w:lang w:val="ru-RU"/>
        </w:rPr>
        <w:t>времени</w:t>
      </w:r>
      <w:r w:rsidR="00D145A7">
        <w:rPr>
          <w:b/>
          <w:u w:val="single"/>
          <w:lang w:val="ru-RU"/>
        </w:rPr>
        <w:t xml:space="preserve">, </w:t>
      </w:r>
      <w:r w:rsidR="00074221">
        <w:rPr>
          <w:b/>
          <w:u w:val="single"/>
          <w:lang w:val="ru-RU"/>
        </w:rPr>
        <w:t>с учетом обычной административной задержки</w:t>
      </w:r>
      <w:r w:rsidR="00F26EF4" w:rsidRPr="002D2F74">
        <w:rPr>
          <w:b/>
          <w:u w:val="single"/>
          <w:lang w:val="ru-RU"/>
        </w:rPr>
        <w:t xml:space="preserve">, посредством рынка или механизма обмена валют, </w:t>
      </w:r>
      <w:r w:rsidR="004A4C52">
        <w:rPr>
          <w:b/>
          <w:u w:val="single"/>
          <w:lang w:val="ru-RU"/>
        </w:rPr>
        <w:t>где</w:t>
      </w:r>
      <w:r w:rsidR="00F26EF4" w:rsidRPr="002D2F74">
        <w:rPr>
          <w:b/>
          <w:u w:val="single"/>
          <w:lang w:val="ru-RU"/>
        </w:rPr>
        <w:t xml:space="preserve"> </w:t>
      </w:r>
      <w:r w:rsidR="00BB0FFE">
        <w:rPr>
          <w:b/>
          <w:u w:val="single"/>
          <w:lang w:val="ru-RU"/>
        </w:rPr>
        <w:t xml:space="preserve">в результате </w:t>
      </w:r>
      <w:r w:rsidR="00F26EF4" w:rsidRPr="002D2F74">
        <w:rPr>
          <w:b/>
          <w:u w:val="single"/>
          <w:lang w:val="ru-RU"/>
        </w:rPr>
        <w:t>операци</w:t>
      </w:r>
      <w:r w:rsidR="00142D1B">
        <w:rPr>
          <w:b/>
          <w:u w:val="single"/>
          <w:lang w:val="ru-RU"/>
        </w:rPr>
        <w:t>и</w:t>
      </w:r>
      <w:r w:rsidR="00F26EF4" w:rsidRPr="002D2F74">
        <w:rPr>
          <w:b/>
          <w:u w:val="single"/>
          <w:lang w:val="ru-RU"/>
        </w:rPr>
        <w:t xml:space="preserve"> обмена </w:t>
      </w:r>
      <w:r w:rsidR="00BB0FFE">
        <w:rPr>
          <w:b/>
          <w:u w:val="single"/>
          <w:lang w:val="ru-RU"/>
        </w:rPr>
        <w:t>создаются</w:t>
      </w:r>
      <w:r w:rsidR="00F26EF4" w:rsidRPr="00DA4ECC">
        <w:rPr>
          <w:b/>
          <w:u w:val="single"/>
          <w:lang w:val="ru-RU"/>
        </w:rPr>
        <w:t xml:space="preserve"> юридически </w:t>
      </w:r>
      <w:r w:rsidR="00496F62" w:rsidRPr="00DA4ECC">
        <w:rPr>
          <w:b/>
          <w:u w:val="single"/>
          <w:lang w:val="ru-RU"/>
        </w:rPr>
        <w:t>защищенны</w:t>
      </w:r>
      <w:r w:rsidR="00BB0FFE">
        <w:rPr>
          <w:b/>
          <w:u w:val="single"/>
          <w:lang w:val="ru-RU"/>
        </w:rPr>
        <w:t>е</w:t>
      </w:r>
      <w:r w:rsidR="00496F62" w:rsidRPr="00DA4ECC">
        <w:rPr>
          <w:b/>
          <w:u w:val="single"/>
          <w:lang w:val="ru-RU"/>
        </w:rPr>
        <w:t xml:space="preserve"> </w:t>
      </w:r>
      <w:r w:rsidR="00F26EF4" w:rsidRPr="00DA4ECC">
        <w:rPr>
          <w:b/>
          <w:u w:val="single"/>
          <w:lang w:val="ru-RU"/>
        </w:rPr>
        <w:t>прав</w:t>
      </w:r>
      <w:r w:rsidR="00BB0FFE">
        <w:rPr>
          <w:b/>
          <w:u w:val="single"/>
          <w:lang w:val="ru-RU"/>
        </w:rPr>
        <w:t>а</w:t>
      </w:r>
      <w:r w:rsidR="00F26EF4" w:rsidRPr="00DA4ECC">
        <w:rPr>
          <w:b/>
          <w:u w:val="single"/>
          <w:lang w:val="ru-RU"/>
        </w:rPr>
        <w:t xml:space="preserve"> и </w:t>
      </w:r>
      <w:r w:rsidR="00496F62" w:rsidRPr="00DA4ECC">
        <w:rPr>
          <w:b/>
          <w:u w:val="single"/>
          <w:lang w:val="ru-RU"/>
        </w:rPr>
        <w:t>обязанност</w:t>
      </w:r>
      <w:r w:rsidR="00BB0FFE">
        <w:rPr>
          <w:b/>
          <w:u w:val="single"/>
          <w:lang w:val="ru-RU"/>
        </w:rPr>
        <w:t>и</w:t>
      </w:r>
      <w:r w:rsidR="006669CB" w:rsidRPr="00DA4ECC">
        <w:rPr>
          <w:b/>
          <w:u w:val="single"/>
          <w:lang w:val="ru-RU"/>
        </w:rPr>
        <w:t>.</w:t>
      </w:r>
    </w:p>
    <w:p w14:paraId="2BF67A02" w14:textId="77777777" w:rsidR="00DE4801" w:rsidRPr="00496F62" w:rsidRDefault="006669CB">
      <w:pPr>
        <w:pStyle w:val="IASBNormalnparaP"/>
        <w:rPr>
          <w:lang w:val="ru-RU"/>
        </w:rPr>
      </w:pPr>
      <w:r w:rsidRPr="00DA4ECC">
        <w:rPr>
          <w:b/>
          <w:lang w:val="ru-RU"/>
        </w:rPr>
        <w:t>...</w:t>
      </w:r>
    </w:p>
    <w:p w14:paraId="29B36396" w14:textId="77777777" w:rsidR="00DE4801" w:rsidRPr="00F26EF4" w:rsidRDefault="00F26EF4">
      <w:pPr>
        <w:pStyle w:val="IASBSectionTitle2Ind"/>
        <w:rPr>
          <w:lang w:val="ru-RU"/>
        </w:rPr>
      </w:pPr>
      <w:r w:rsidRPr="00F26EF4">
        <w:rPr>
          <w:lang w:val="ru-RU"/>
        </w:rPr>
        <w:t>Дальнейшее уточнение определений</w:t>
      </w:r>
    </w:p>
    <w:p w14:paraId="6200488F" w14:textId="59F30BAC" w:rsidR="00DE4801" w:rsidRPr="00F26EF4" w:rsidRDefault="00BB0FFE">
      <w:pPr>
        <w:pStyle w:val="IASBSectionTitle3Ind"/>
        <w:rPr>
          <w:lang w:val="ru-RU"/>
        </w:rPr>
      </w:pPr>
      <w:r>
        <w:rPr>
          <w:u w:val="single"/>
          <w:lang w:val="ru-RU"/>
        </w:rPr>
        <w:t>Возможность обмена</w:t>
      </w:r>
      <w:r w:rsidR="00F26EF4" w:rsidRPr="00F26EF4">
        <w:rPr>
          <w:u w:val="single"/>
          <w:lang w:val="ru-RU"/>
        </w:rPr>
        <w:t xml:space="preserve"> </w:t>
      </w:r>
      <w:r w:rsidR="00D62388">
        <w:rPr>
          <w:u w:val="single"/>
          <w:lang w:val="ru-RU"/>
        </w:rPr>
        <w:t xml:space="preserve">валют </w:t>
      </w:r>
      <w:r w:rsidR="00F26EF4" w:rsidRPr="00F26EF4">
        <w:rPr>
          <w:u w:val="single"/>
          <w:lang w:val="ru-RU"/>
        </w:rPr>
        <w:t xml:space="preserve">(пункты </w:t>
      </w:r>
      <w:r w:rsidR="00F26EF4" w:rsidRPr="00F26EF4">
        <w:rPr>
          <w:u w:val="single"/>
        </w:rPr>
        <w:t>A</w:t>
      </w:r>
      <w:r w:rsidR="00F26EF4" w:rsidRPr="00F26EF4">
        <w:rPr>
          <w:u w:val="single"/>
          <w:lang w:val="ru-RU"/>
        </w:rPr>
        <w:t>2–</w:t>
      </w:r>
      <w:r w:rsidR="00F26EF4" w:rsidRPr="00F26EF4">
        <w:rPr>
          <w:u w:val="single"/>
        </w:rPr>
        <w:t>A</w:t>
      </w:r>
      <w:r w:rsidR="00F26EF4" w:rsidRPr="00F26EF4">
        <w:rPr>
          <w:u w:val="single"/>
          <w:lang w:val="ru-RU"/>
        </w:rPr>
        <w:t>10)</w:t>
      </w:r>
    </w:p>
    <w:p w14:paraId="3FEC7256" w14:textId="273BF33D" w:rsidR="00DE4801" w:rsidRPr="00F26EF4" w:rsidRDefault="006669CB">
      <w:pPr>
        <w:pStyle w:val="IASBNormalnpara"/>
        <w:rPr>
          <w:lang w:val="ru-RU"/>
        </w:rPr>
      </w:pPr>
      <w:r w:rsidRPr="00F26EF4">
        <w:rPr>
          <w:u w:val="single"/>
          <w:lang w:val="ru-RU"/>
        </w:rPr>
        <w:t>8</w:t>
      </w:r>
      <w:r>
        <w:rPr>
          <w:u w:val="single"/>
        </w:rPr>
        <w:t>A</w:t>
      </w:r>
      <w:r w:rsidRPr="00F26EF4">
        <w:rPr>
          <w:lang w:val="ru-RU"/>
        </w:rPr>
        <w:tab/>
      </w:r>
      <w:r w:rsidR="00F26EF4" w:rsidRPr="00DD6846">
        <w:rPr>
          <w:u w:val="single"/>
          <w:lang w:val="ru-RU"/>
        </w:rPr>
        <w:t xml:space="preserve">Организация </w:t>
      </w:r>
      <w:r w:rsidR="00550451">
        <w:rPr>
          <w:u w:val="single"/>
          <w:lang w:val="ru-RU"/>
        </w:rPr>
        <w:t>определяет</w:t>
      </w:r>
      <w:r w:rsidR="00F26EF4" w:rsidRPr="00DD6846">
        <w:rPr>
          <w:u w:val="single"/>
          <w:lang w:val="ru-RU"/>
        </w:rPr>
        <w:t xml:space="preserve">, </w:t>
      </w:r>
      <w:r w:rsidR="00BB0FFE">
        <w:rPr>
          <w:u w:val="single"/>
          <w:lang w:val="ru-RU"/>
        </w:rPr>
        <w:t>воз</w:t>
      </w:r>
      <w:r w:rsidR="00F26EF4" w:rsidRPr="00DD6846">
        <w:rPr>
          <w:u w:val="single"/>
          <w:lang w:val="ru-RU"/>
        </w:rPr>
        <w:t>може</w:t>
      </w:r>
      <w:r w:rsidR="00BB0FFE">
        <w:rPr>
          <w:u w:val="single"/>
          <w:lang w:val="ru-RU"/>
        </w:rPr>
        <w:t>н</w:t>
      </w:r>
      <w:r w:rsidR="00F26EF4" w:rsidRPr="00DD6846">
        <w:rPr>
          <w:u w:val="single"/>
          <w:lang w:val="ru-RU"/>
        </w:rPr>
        <w:t xml:space="preserve"> ли </w:t>
      </w:r>
      <w:r w:rsidR="00BB0FFE">
        <w:rPr>
          <w:u w:val="single"/>
          <w:lang w:val="ru-RU"/>
        </w:rPr>
        <w:t xml:space="preserve">обмен одной </w:t>
      </w:r>
      <w:r w:rsidR="00F26EF4" w:rsidRPr="00DD6846">
        <w:rPr>
          <w:u w:val="single"/>
          <w:lang w:val="ru-RU"/>
        </w:rPr>
        <w:t>валют</w:t>
      </w:r>
      <w:r w:rsidR="00BB0FFE">
        <w:rPr>
          <w:u w:val="single"/>
          <w:lang w:val="ru-RU"/>
        </w:rPr>
        <w:t>ы</w:t>
      </w:r>
      <w:r w:rsidR="00F26EF4" w:rsidRPr="00DD6846">
        <w:rPr>
          <w:u w:val="single"/>
          <w:lang w:val="ru-RU"/>
        </w:rPr>
        <w:t xml:space="preserve"> на другую </w:t>
      </w:r>
      <w:r w:rsidR="00F26EF4" w:rsidRPr="00F8760C">
        <w:rPr>
          <w:u w:val="single"/>
          <w:lang w:val="ru-RU"/>
        </w:rPr>
        <w:t>валюту</w:t>
      </w:r>
      <w:r w:rsidR="00F26EF4" w:rsidRPr="00DD6846">
        <w:rPr>
          <w:u w:val="single"/>
          <w:lang w:val="ru-RU"/>
        </w:rPr>
        <w:t>:</w:t>
      </w:r>
    </w:p>
    <w:p w14:paraId="6CEB25A8" w14:textId="77777777" w:rsidR="00DE4801" w:rsidRPr="00F26EF4" w:rsidRDefault="006669CB">
      <w:pPr>
        <w:pStyle w:val="IASBNormalnparaL1"/>
        <w:rPr>
          <w:lang w:val="ru-RU"/>
        </w:rPr>
      </w:pPr>
      <w:r w:rsidRPr="00F26EF4">
        <w:rPr>
          <w:u w:val="single"/>
          <w:lang w:val="ru-RU"/>
        </w:rPr>
        <w:t>(</w:t>
      </w:r>
      <w:r>
        <w:rPr>
          <w:u w:val="single"/>
        </w:rPr>
        <w:t>a</w:t>
      </w:r>
      <w:r w:rsidRPr="00F26EF4">
        <w:rPr>
          <w:u w:val="single"/>
          <w:lang w:val="ru-RU"/>
        </w:rPr>
        <w:t>)</w:t>
      </w:r>
      <w:r w:rsidRPr="00F26EF4">
        <w:rPr>
          <w:lang w:val="ru-RU"/>
        </w:rPr>
        <w:tab/>
      </w:r>
      <w:r w:rsidR="00F26EF4" w:rsidRPr="00DD6846">
        <w:rPr>
          <w:u w:val="single"/>
          <w:lang w:val="ru-RU"/>
        </w:rPr>
        <w:t>на дату оценки; и</w:t>
      </w:r>
    </w:p>
    <w:p w14:paraId="141084C3" w14:textId="0344EFA3" w:rsidR="00DE4801" w:rsidRPr="00F26EF4" w:rsidRDefault="006669CB">
      <w:pPr>
        <w:pStyle w:val="IASBNormalnparaL1"/>
        <w:rPr>
          <w:lang w:val="ru-RU"/>
        </w:rPr>
      </w:pPr>
      <w:r w:rsidRPr="00F26EF4">
        <w:rPr>
          <w:u w:val="single"/>
          <w:lang w:val="ru-RU"/>
        </w:rPr>
        <w:t>(</w:t>
      </w:r>
      <w:r>
        <w:rPr>
          <w:u w:val="single"/>
        </w:rPr>
        <w:t>b</w:t>
      </w:r>
      <w:r w:rsidRPr="00F26EF4">
        <w:rPr>
          <w:u w:val="single"/>
          <w:lang w:val="ru-RU"/>
        </w:rPr>
        <w:t>)</w:t>
      </w:r>
      <w:r w:rsidRPr="00F26EF4">
        <w:rPr>
          <w:lang w:val="ru-RU"/>
        </w:rPr>
        <w:tab/>
      </w:r>
      <w:r w:rsidR="00F26EF4" w:rsidRPr="00DD6846">
        <w:rPr>
          <w:u w:val="single"/>
          <w:lang w:val="ru-RU"/>
        </w:rPr>
        <w:t xml:space="preserve">для </w:t>
      </w:r>
      <w:r w:rsidR="00BF1DE4">
        <w:rPr>
          <w:u w:val="single"/>
          <w:lang w:val="ru-RU"/>
        </w:rPr>
        <w:t>конкретной</w:t>
      </w:r>
      <w:r w:rsidR="00BF1DE4" w:rsidRPr="00DD6846">
        <w:rPr>
          <w:u w:val="single"/>
          <w:lang w:val="ru-RU"/>
        </w:rPr>
        <w:t xml:space="preserve"> </w:t>
      </w:r>
      <w:r w:rsidR="00F26EF4" w:rsidRPr="00DD6846">
        <w:rPr>
          <w:u w:val="single"/>
          <w:lang w:val="ru-RU"/>
        </w:rPr>
        <w:t>цели.</w:t>
      </w:r>
    </w:p>
    <w:p w14:paraId="58C1E183" w14:textId="332B8A99" w:rsidR="00DE4801" w:rsidRPr="00DB39C5" w:rsidRDefault="006669CB">
      <w:pPr>
        <w:pStyle w:val="IASBNormalnpara"/>
        <w:rPr>
          <w:lang w:val="ru-RU"/>
        </w:rPr>
      </w:pPr>
      <w:r w:rsidRPr="00F26EF4">
        <w:rPr>
          <w:u w:val="single"/>
          <w:lang w:val="ru-RU"/>
        </w:rPr>
        <w:t>8</w:t>
      </w:r>
      <w:r>
        <w:rPr>
          <w:u w:val="single"/>
        </w:rPr>
        <w:t>B</w:t>
      </w:r>
      <w:r w:rsidRPr="00F26EF4">
        <w:rPr>
          <w:lang w:val="ru-RU"/>
        </w:rPr>
        <w:tab/>
      </w:r>
      <w:r w:rsidR="00F26EF4" w:rsidRPr="00F26EF4">
        <w:rPr>
          <w:u w:val="single"/>
          <w:lang w:val="ru-RU"/>
        </w:rPr>
        <w:t xml:space="preserve">Если </w:t>
      </w:r>
      <w:r w:rsidR="00F92863" w:rsidRPr="00F26EF4">
        <w:rPr>
          <w:u w:val="single"/>
          <w:lang w:val="ru-RU"/>
        </w:rPr>
        <w:t xml:space="preserve">на дату оценки </w:t>
      </w:r>
      <w:r w:rsidR="00550451">
        <w:rPr>
          <w:u w:val="single"/>
          <w:lang w:val="ru-RU"/>
        </w:rPr>
        <w:t>для конкретной</w:t>
      </w:r>
      <w:r w:rsidR="00F92863" w:rsidRPr="00F26EF4">
        <w:rPr>
          <w:u w:val="single"/>
          <w:lang w:val="ru-RU"/>
        </w:rPr>
        <w:t xml:space="preserve"> цел</w:t>
      </w:r>
      <w:r w:rsidR="00550451">
        <w:rPr>
          <w:u w:val="single"/>
          <w:lang w:val="ru-RU"/>
        </w:rPr>
        <w:t>и</w:t>
      </w:r>
      <w:r w:rsidR="00F92863" w:rsidRPr="00F26EF4">
        <w:rPr>
          <w:u w:val="single"/>
          <w:lang w:val="ru-RU"/>
        </w:rPr>
        <w:t xml:space="preserve"> </w:t>
      </w:r>
      <w:r w:rsidR="00F26EF4" w:rsidRPr="004F7D4E">
        <w:rPr>
          <w:u w:val="single"/>
          <w:lang w:val="ru-RU"/>
        </w:rPr>
        <w:t xml:space="preserve">организация </w:t>
      </w:r>
      <w:r w:rsidR="004F7D4E" w:rsidRPr="004F7D4E">
        <w:rPr>
          <w:u w:val="single"/>
          <w:lang w:val="ru-RU"/>
        </w:rPr>
        <w:t>в состоянии</w:t>
      </w:r>
      <w:r w:rsidR="00F26EF4" w:rsidRPr="004F7D4E">
        <w:rPr>
          <w:u w:val="single"/>
          <w:lang w:val="ru-RU"/>
        </w:rPr>
        <w:t xml:space="preserve"> получить </w:t>
      </w:r>
      <w:r w:rsidR="00F26EF4" w:rsidRPr="00F26EF4">
        <w:rPr>
          <w:u w:val="single"/>
          <w:lang w:val="ru-RU"/>
        </w:rPr>
        <w:t xml:space="preserve">не более чем незначительную сумму другой валюты, </w:t>
      </w:r>
      <w:r w:rsidR="00550451">
        <w:rPr>
          <w:u w:val="single"/>
          <w:lang w:val="ru-RU"/>
        </w:rPr>
        <w:t>считается, что</w:t>
      </w:r>
      <w:r w:rsidR="002A3E34">
        <w:rPr>
          <w:u w:val="single"/>
          <w:lang w:val="ru-RU"/>
        </w:rPr>
        <w:t xml:space="preserve"> возможность</w:t>
      </w:r>
      <w:r w:rsidR="00550451">
        <w:rPr>
          <w:u w:val="single"/>
          <w:lang w:val="ru-RU"/>
        </w:rPr>
        <w:t xml:space="preserve"> </w:t>
      </w:r>
      <w:r w:rsidR="00F1081E">
        <w:rPr>
          <w:u w:val="single"/>
          <w:lang w:val="ru-RU"/>
        </w:rPr>
        <w:t>обмен</w:t>
      </w:r>
      <w:r w:rsidR="002A3E34">
        <w:rPr>
          <w:u w:val="single"/>
          <w:lang w:val="ru-RU"/>
        </w:rPr>
        <w:t>а</w:t>
      </w:r>
      <w:r w:rsidR="00F1081E">
        <w:rPr>
          <w:u w:val="single"/>
          <w:lang w:val="ru-RU"/>
        </w:rPr>
        <w:t xml:space="preserve"> </w:t>
      </w:r>
      <w:r w:rsidR="00F26EF4" w:rsidRPr="00F26EF4">
        <w:rPr>
          <w:u w:val="single"/>
          <w:lang w:val="ru-RU"/>
        </w:rPr>
        <w:t>валют</w:t>
      </w:r>
      <w:r w:rsidR="00F1081E">
        <w:rPr>
          <w:u w:val="single"/>
          <w:lang w:val="ru-RU"/>
        </w:rPr>
        <w:t>ы</w:t>
      </w:r>
      <w:r w:rsidR="00F26EF4" w:rsidRPr="00F26EF4">
        <w:rPr>
          <w:u w:val="single"/>
          <w:lang w:val="ru-RU"/>
        </w:rPr>
        <w:t xml:space="preserve"> </w:t>
      </w:r>
      <w:r w:rsidR="00F26EF4" w:rsidRPr="00DB39C5">
        <w:rPr>
          <w:u w:val="single"/>
          <w:lang w:val="ru-RU"/>
        </w:rPr>
        <w:t xml:space="preserve">на </w:t>
      </w:r>
      <w:r w:rsidR="00F1081E" w:rsidRPr="00DB39C5">
        <w:rPr>
          <w:u w:val="single"/>
          <w:lang w:val="ru-RU"/>
        </w:rPr>
        <w:t xml:space="preserve">указанную </w:t>
      </w:r>
      <w:r w:rsidR="00F26EF4" w:rsidRPr="00DB39C5">
        <w:rPr>
          <w:u w:val="single"/>
          <w:lang w:val="ru-RU"/>
        </w:rPr>
        <w:t>другую валюту</w:t>
      </w:r>
      <w:r w:rsidR="002A3E34" w:rsidRPr="00DB39C5">
        <w:rPr>
          <w:u w:val="single"/>
          <w:lang w:val="ru-RU"/>
        </w:rPr>
        <w:t xml:space="preserve"> отсутствует</w:t>
      </w:r>
      <w:r w:rsidR="00F26EF4" w:rsidRPr="00DB39C5">
        <w:rPr>
          <w:u w:val="single"/>
          <w:lang w:val="ru-RU"/>
        </w:rPr>
        <w:t>.</w:t>
      </w:r>
    </w:p>
    <w:p w14:paraId="20F55308" w14:textId="77777777" w:rsidR="00DE4801" w:rsidRPr="00496F62" w:rsidRDefault="006669CB">
      <w:pPr>
        <w:pStyle w:val="IASBNormalnpara"/>
        <w:rPr>
          <w:lang w:val="ru-RU"/>
        </w:rPr>
      </w:pPr>
      <w:r w:rsidRPr="00F26EF4">
        <w:rPr>
          <w:lang w:val="ru-RU"/>
        </w:rPr>
        <w:tab/>
      </w:r>
      <w:r w:rsidRPr="00496F62">
        <w:rPr>
          <w:lang w:val="ru-RU"/>
        </w:rPr>
        <w:t>...</w:t>
      </w:r>
    </w:p>
    <w:p w14:paraId="7E7F17B8" w14:textId="2622DE33" w:rsidR="00DE4801" w:rsidRPr="00F26EF4" w:rsidRDefault="00F26EF4">
      <w:pPr>
        <w:pStyle w:val="IASBSectionTitle1NonInd"/>
        <w:rPr>
          <w:lang w:val="ru-RU"/>
        </w:rPr>
      </w:pPr>
      <w:r w:rsidRPr="00F26EF4">
        <w:rPr>
          <w:lang w:val="ru-RU"/>
        </w:rPr>
        <w:t xml:space="preserve">Определение текущего обменного курса, когда </w:t>
      </w:r>
      <w:r w:rsidR="00F1081E">
        <w:rPr>
          <w:lang w:val="ru-RU"/>
        </w:rPr>
        <w:t xml:space="preserve">обмен </w:t>
      </w:r>
      <w:r w:rsidRPr="00F26EF4">
        <w:rPr>
          <w:lang w:val="ru-RU"/>
        </w:rPr>
        <w:t>валют</w:t>
      </w:r>
      <w:r w:rsidR="00F1081E">
        <w:rPr>
          <w:lang w:val="ru-RU"/>
        </w:rPr>
        <w:t>ы</w:t>
      </w:r>
      <w:r w:rsidRPr="00F26EF4">
        <w:rPr>
          <w:lang w:val="ru-RU"/>
        </w:rPr>
        <w:t xml:space="preserve"> не</w:t>
      </w:r>
      <w:r w:rsidR="00F1081E">
        <w:rPr>
          <w:lang w:val="ru-RU"/>
        </w:rPr>
        <w:t>возможен</w:t>
      </w:r>
      <w:r w:rsidRPr="00F26EF4">
        <w:rPr>
          <w:lang w:val="ru-RU"/>
        </w:rPr>
        <w:t xml:space="preserve"> (пункты </w:t>
      </w:r>
      <w:r w:rsidRPr="00F26EF4">
        <w:t>A</w:t>
      </w:r>
      <w:r w:rsidRPr="00F26EF4">
        <w:rPr>
          <w:lang w:val="ru-RU"/>
        </w:rPr>
        <w:t>11–</w:t>
      </w:r>
      <w:r w:rsidRPr="00F26EF4">
        <w:t>A</w:t>
      </w:r>
      <w:r w:rsidRPr="00F26EF4">
        <w:rPr>
          <w:lang w:val="ru-RU"/>
        </w:rPr>
        <w:t>17)</w:t>
      </w:r>
    </w:p>
    <w:p w14:paraId="6CBDE86D" w14:textId="34CA1A0B" w:rsidR="00DE4801" w:rsidRPr="00F26EF4" w:rsidRDefault="006669CB">
      <w:pPr>
        <w:pStyle w:val="IASBNormalnpara"/>
        <w:rPr>
          <w:lang w:val="ru-RU"/>
        </w:rPr>
      </w:pPr>
      <w:r w:rsidRPr="00F26EF4">
        <w:rPr>
          <w:u w:val="single"/>
          <w:lang w:val="ru-RU"/>
        </w:rPr>
        <w:t>19</w:t>
      </w:r>
      <w:r>
        <w:rPr>
          <w:u w:val="single"/>
        </w:rPr>
        <w:t>A</w:t>
      </w:r>
      <w:r w:rsidRPr="00F26EF4">
        <w:rPr>
          <w:lang w:val="ru-RU"/>
        </w:rPr>
        <w:tab/>
      </w:r>
      <w:r w:rsidR="00F26EF4" w:rsidRPr="00EE5B85">
        <w:rPr>
          <w:u w:val="single"/>
          <w:lang w:val="ru-RU"/>
        </w:rPr>
        <w:t xml:space="preserve">Организация </w:t>
      </w:r>
      <w:r w:rsidR="00F26EF4" w:rsidRPr="00257AB1">
        <w:rPr>
          <w:u w:val="single"/>
          <w:lang w:val="ru-RU"/>
        </w:rPr>
        <w:t>должна определить</w:t>
      </w:r>
      <w:r w:rsidR="002A3E34" w:rsidRPr="00257AB1">
        <w:rPr>
          <w:u w:val="single"/>
          <w:lang w:val="ru-RU"/>
        </w:rPr>
        <w:t xml:space="preserve"> </w:t>
      </w:r>
      <w:r w:rsidR="00F1081E" w:rsidRPr="00257AB1">
        <w:rPr>
          <w:u w:val="single"/>
          <w:lang w:val="ru-RU"/>
        </w:rPr>
        <w:t xml:space="preserve">расчетным путем </w:t>
      </w:r>
      <w:r w:rsidR="00F26EF4" w:rsidRPr="00257AB1">
        <w:rPr>
          <w:u w:val="single"/>
          <w:lang w:val="ru-RU"/>
        </w:rPr>
        <w:t>текущий обменный курс на дату оценки, когда</w:t>
      </w:r>
      <w:r w:rsidR="002A3E34" w:rsidRPr="00257AB1">
        <w:rPr>
          <w:u w:val="single"/>
          <w:lang w:val="ru-RU"/>
        </w:rPr>
        <w:t xml:space="preserve"> возможность</w:t>
      </w:r>
      <w:r w:rsidR="00F26EF4" w:rsidRPr="00257AB1">
        <w:rPr>
          <w:u w:val="single"/>
          <w:lang w:val="ru-RU"/>
        </w:rPr>
        <w:t xml:space="preserve"> </w:t>
      </w:r>
      <w:r w:rsidR="00F1081E" w:rsidRPr="000B0A7E">
        <w:rPr>
          <w:u w:val="single"/>
          <w:lang w:val="ru-RU"/>
        </w:rPr>
        <w:t>обмен</w:t>
      </w:r>
      <w:r w:rsidR="00580D5C" w:rsidRPr="000B0A7E">
        <w:rPr>
          <w:u w:val="single"/>
          <w:lang w:val="ru-RU"/>
        </w:rPr>
        <w:t>а</w:t>
      </w:r>
      <w:r w:rsidR="00D70935" w:rsidRPr="000B0A7E">
        <w:rPr>
          <w:u w:val="single"/>
          <w:lang w:val="ru-RU"/>
        </w:rPr>
        <w:t xml:space="preserve"> одной</w:t>
      </w:r>
      <w:r w:rsidR="00F1081E" w:rsidRPr="000B0A7E">
        <w:rPr>
          <w:u w:val="single"/>
          <w:lang w:val="ru-RU"/>
        </w:rPr>
        <w:t xml:space="preserve"> </w:t>
      </w:r>
      <w:r w:rsidR="00F26EF4" w:rsidRPr="00257AB1">
        <w:rPr>
          <w:u w:val="single"/>
          <w:lang w:val="ru-RU"/>
        </w:rPr>
        <w:t>валют</w:t>
      </w:r>
      <w:r w:rsidR="00F1081E" w:rsidRPr="00257AB1">
        <w:rPr>
          <w:u w:val="single"/>
          <w:lang w:val="ru-RU"/>
        </w:rPr>
        <w:t>ы</w:t>
      </w:r>
      <w:r w:rsidR="00F26EF4" w:rsidRPr="00257AB1">
        <w:rPr>
          <w:u w:val="single"/>
          <w:lang w:val="ru-RU"/>
        </w:rPr>
        <w:t xml:space="preserve"> на другую валюту</w:t>
      </w:r>
      <w:r w:rsidR="00F1081E">
        <w:rPr>
          <w:u w:val="single"/>
          <w:lang w:val="ru-RU"/>
        </w:rPr>
        <w:t xml:space="preserve"> </w:t>
      </w:r>
      <w:r w:rsidR="002A3E34">
        <w:rPr>
          <w:u w:val="single"/>
          <w:lang w:val="ru-RU"/>
        </w:rPr>
        <w:t>отсутствует</w:t>
      </w:r>
      <w:r w:rsidR="002A3E34" w:rsidRPr="00EE5B85">
        <w:rPr>
          <w:u w:val="single"/>
          <w:lang w:val="ru-RU"/>
        </w:rPr>
        <w:t xml:space="preserve"> </w:t>
      </w:r>
      <w:r w:rsidR="00F26EF4" w:rsidRPr="00EE5B85">
        <w:rPr>
          <w:u w:val="single"/>
          <w:lang w:val="ru-RU"/>
        </w:rPr>
        <w:t xml:space="preserve">(как описано в пунктах 8, 8A–8B и A2–A10) на эту дату. </w:t>
      </w:r>
      <w:r w:rsidR="00550451">
        <w:rPr>
          <w:u w:val="single"/>
          <w:lang w:val="ru-RU"/>
        </w:rPr>
        <w:t>Цель, которую преследует организация при</w:t>
      </w:r>
      <w:r w:rsidR="00836914">
        <w:rPr>
          <w:u w:val="single"/>
          <w:lang w:val="ru-RU"/>
        </w:rPr>
        <w:t xml:space="preserve"> </w:t>
      </w:r>
      <w:r w:rsidR="003C1687">
        <w:rPr>
          <w:u w:val="single"/>
          <w:lang w:val="ru-RU"/>
        </w:rPr>
        <w:t>таком определении</w:t>
      </w:r>
      <w:r w:rsidR="00550451">
        <w:rPr>
          <w:u w:val="single"/>
          <w:lang w:val="ru-RU"/>
        </w:rPr>
        <w:t xml:space="preserve"> </w:t>
      </w:r>
      <w:r w:rsidR="00F26EF4" w:rsidRPr="00EE5B85">
        <w:rPr>
          <w:u w:val="single"/>
          <w:lang w:val="ru-RU"/>
        </w:rPr>
        <w:t>текущего обменного курса</w:t>
      </w:r>
      <w:r w:rsidR="00550451">
        <w:rPr>
          <w:u w:val="single"/>
          <w:lang w:val="ru-RU"/>
        </w:rPr>
        <w:t>,</w:t>
      </w:r>
      <w:r w:rsidR="00F26EF4" w:rsidRPr="00EE5B85">
        <w:rPr>
          <w:u w:val="single"/>
          <w:lang w:val="ru-RU"/>
        </w:rPr>
        <w:t xml:space="preserve"> </w:t>
      </w:r>
      <w:r w:rsidR="00550451">
        <w:rPr>
          <w:u w:val="single"/>
          <w:lang w:val="ru-RU"/>
        </w:rPr>
        <w:t xml:space="preserve">– </w:t>
      </w:r>
      <w:r w:rsidR="00F26EF4" w:rsidRPr="00EE5B85">
        <w:rPr>
          <w:u w:val="single"/>
          <w:lang w:val="ru-RU"/>
        </w:rPr>
        <w:t>отра</w:t>
      </w:r>
      <w:r w:rsidR="00550451">
        <w:rPr>
          <w:u w:val="single"/>
          <w:lang w:val="ru-RU"/>
        </w:rPr>
        <w:t>зить</w:t>
      </w:r>
      <w:r w:rsidR="00F26EF4" w:rsidRPr="00EE5B85">
        <w:rPr>
          <w:u w:val="single"/>
          <w:lang w:val="ru-RU"/>
        </w:rPr>
        <w:t xml:space="preserve"> </w:t>
      </w:r>
      <w:r w:rsidR="00550451">
        <w:rPr>
          <w:u w:val="single"/>
          <w:lang w:val="ru-RU"/>
        </w:rPr>
        <w:t xml:space="preserve">тот </w:t>
      </w:r>
      <w:r w:rsidR="00F26EF4" w:rsidRPr="00EE5B85">
        <w:rPr>
          <w:u w:val="single"/>
          <w:lang w:val="ru-RU"/>
        </w:rPr>
        <w:t>курс, по которому была бы осуществлена обычная сделка обмена</w:t>
      </w:r>
      <w:r w:rsidR="00D70935">
        <w:rPr>
          <w:u w:val="single"/>
          <w:lang w:val="ru-RU"/>
        </w:rPr>
        <w:t xml:space="preserve"> валют</w:t>
      </w:r>
      <w:r w:rsidR="00F26EF4" w:rsidRPr="00EE5B85">
        <w:rPr>
          <w:u w:val="single"/>
          <w:lang w:val="ru-RU"/>
        </w:rPr>
        <w:t xml:space="preserve"> на дату оценки между участниками рынка в </w:t>
      </w:r>
      <w:r w:rsidR="00550451">
        <w:rPr>
          <w:u w:val="single"/>
          <w:lang w:val="ru-RU"/>
        </w:rPr>
        <w:t>превалирующих</w:t>
      </w:r>
      <w:r w:rsidR="00550451" w:rsidRPr="00EE5B85">
        <w:rPr>
          <w:u w:val="single"/>
          <w:lang w:val="ru-RU"/>
        </w:rPr>
        <w:t xml:space="preserve"> </w:t>
      </w:r>
      <w:r w:rsidR="00F26EF4" w:rsidRPr="00EE5B85">
        <w:rPr>
          <w:u w:val="single"/>
          <w:lang w:val="ru-RU"/>
        </w:rPr>
        <w:t>экономических условиях.</w:t>
      </w:r>
    </w:p>
    <w:p w14:paraId="4C8A7DBB" w14:textId="77777777" w:rsidR="00DE4801" w:rsidRPr="00F26EF4" w:rsidRDefault="00DE4801">
      <w:pPr>
        <w:rPr>
          <w:lang w:val="ru-RU"/>
        </w:rPr>
        <w:sectPr w:rsidR="00DE4801" w:rsidRPr="00F26EF4">
          <w:headerReference w:type="even" r:id="rId14"/>
          <w:headerReference w:type="default" r:id="rId15"/>
          <w:footerReference w:type="even" r:id="rId16"/>
          <w:footerReference w:type="default" r:id="rId17"/>
          <w:pgSz w:w="11880" w:h="16820"/>
          <w:pgMar w:top="1440" w:right="1440" w:bottom="1440" w:left="1440" w:header="720" w:footer="720" w:gutter="0"/>
          <w:cols w:space="720"/>
        </w:sectPr>
      </w:pPr>
    </w:p>
    <w:p w14:paraId="78064A91" w14:textId="77777777" w:rsidR="00DE4801" w:rsidRPr="00F26EF4" w:rsidRDefault="00F26EF4">
      <w:pPr>
        <w:pStyle w:val="IASBSectionTitle1NonInd"/>
        <w:rPr>
          <w:lang w:val="ru-RU"/>
        </w:rPr>
      </w:pPr>
      <w:r w:rsidRPr="00EF628F">
        <w:rPr>
          <w:szCs w:val="26"/>
          <w:lang w:val="ru-RU"/>
        </w:rPr>
        <w:lastRenderedPageBreak/>
        <w:t>Отражение операций в иностранных валютах в функциональной валюте</w:t>
      </w:r>
    </w:p>
    <w:p w14:paraId="2467A280" w14:textId="77777777" w:rsidR="00DE4801" w:rsidRPr="00496F62" w:rsidRDefault="006669CB">
      <w:pPr>
        <w:pStyle w:val="IASBNormalnpara"/>
        <w:rPr>
          <w:lang w:val="ru-RU"/>
        </w:rPr>
      </w:pPr>
      <w:r w:rsidRPr="00F26EF4">
        <w:rPr>
          <w:lang w:val="ru-RU"/>
        </w:rPr>
        <w:tab/>
      </w:r>
      <w:r w:rsidRPr="00496F62">
        <w:rPr>
          <w:lang w:val="ru-RU"/>
        </w:rPr>
        <w:t>...</w:t>
      </w:r>
    </w:p>
    <w:p w14:paraId="36D1CBDD" w14:textId="77777777" w:rsidR="00DE4801" w:rsidRPr="00F26EF4" w:rsidRDefault="007829FD">
      <w:pPr>
        <w:pStyle w:val="IASBSectionTitle2Ind"/>
        <w:rPr>
          <w:lang w:val="ru-RU"/>
        </w:rPr>
      </w:pPr>
      <w:r w:rsidRPr="007829FD">
        <w:rPr>
          <w:szCs w:val="26"/>
          <w:lang w:val="ru-RU"/>
        </w:rPr>
        <w:t>Отражение в отчетности на дату окончания последующих отчетных периодов</w:t>
      </w:r>
    </w:p>
    <w:p w14:paraId="29869C14" w14:textId="77777777" w:rsidR="00DE4801" w:rsidRPr="00496F62" w:rsidRDefault="006669CB">
      <w:pPr>
        <w:pStyle w:val="IASBNormalnpara"/>
        <w:rPr>
          <w:lang w:val="ru-RU"/>
        </w:rPr>
      </w:pPr>
      <w:r w:rsidRPr="00F26EF4">
        <w:rPr>
          <w:lang w:val="ru-RU"/>
        </w:rPr>
        <w:tab/>
      </w:r>
      <w:r w:rsidRPr="00496F62">
        <w:rPr>
          <w:lang w:val="ru-RU"/>
        </w:rPr>
        <w:t>...</w:t>
      </w:r>
    </w:p>
    <w:p w14:paraId="2C1E66FC" w14:textId="77777777" w:rsidR="00DE4801" w:rsidRPr="000C06C4" w:rsidRDefault="006669CB">
      <w:pPr>
        <w:pStyle w:val="IASBNormalnpara"/>
        <w:rPr>
          <w:lang w:val="ru-RU"/>
        </w:rPr>
      </w:pPr>
      <w:r w:rsidRPr="000C06C4">
        <w:rPr>
          <w:lang w:val="ru-RU"/>
        </w:rPr>
        <w:t>26</w:t>
      </w:r>
      <w:r w:rsidRPr="000C06C4">
        <w:rPr>
          <w:lang w:val="ru-RU"/>
        </w:rPr>
        <w:tab/>
      </w:r>
      <w:bookmarkStart w:id="0" w:name="F31712526"/>
      <w:r w:rsidR="000C06C4" w:rsidRPr="00E03A84">
        <w:rPr>
          <w:lang w:val="ru-RU"/>
        </w:rPr>
        <w:t>При наличии нескольких обменных курсов используется обменный курс, по которому могли бы производиться расчеты по будущим денежным потокам, связанным с данной операцией или остатком по такой операции, если бы такие денежные потоки возникли на дат</w:t>
      </w:r>
      <w:r w:rsidR="000C06C4">
        <w:rPr>
          <w:lang w:val="ru-RU"/>
        </w:rPr>
        <w:t>у оценки</w:t>
      </w:r>
      <w:r w:rsidR="000C06C4" w:rsidRPr="0002738D">
        <w:rPr>
          <w:lang w:val="ru-RU"/>
        </w:rPr>
        <w:t xml:space="preserve">. </w:t>
      </w:r>
      <w:bookmarkEnd w:id="0"/>
      <w:r w:rsidR="000C06C4" w:rsidRPr="00757378">
        <w:rPr>
          <w:strike/>
          <w:lang w:val="ru-RU"/>
        </w:rPr>
        <w:t>Если одну валюту временно невозможно обменять на другую, следует применять первый же курс, по которому можно будет выполнить обмен.</w:t>
      </w:r>
    </w:p>
    <w:p w14:paraId="2561A279" w14:textId="77777777" w:rsidR="00DE4801" w:rsidRPr="000C06C4" w:rsidRDefault="006669CB">
      <w:pPr>
        <w:pStyle w:val="IASBNormalnpara"/>
        <w:rPr>
          <w:lang w:val="ru-RU"/>
        </w:rPr>
      </w:pPr>
      <w:r w:rsidRPr="000C06C4">
        <w:rPr>
          <w:lang w:val="ru-RU"/>
        </w:rPr>
        <w:tab/>
        <w:t>...</w:t>
      </w:r>
    </w:p>
    <w:p w14:paraId="2DA2B607" w14:textId="77777777" w:rsidR="00DE4801" w:rsidRPr="000C06C4" w:rsidRDefault="000C06C4">
      <w:pPr>
        <w:pStyle w:val="IASBSectionTitle1NonInd"/>
        <w:rPr>
          <w:lang w:val="ru-RU"/>
        </w:rPr>
      </w:pPr>
      <w:r w:rsidRPr="00313FD9">
        <w:rPr>
          <w:szCs w:val="26"/>
          <w:lang w:val="ru-RU"/>
        </w:rPr>
        <w:t>Раскрытие информации</w:t>
      </w:r>
    </w:p>
    <w:p w14:paraId="562DFB9D" w14:textId="77777777" w:rsidR="00DE4801" w:rsidRPr="000C06C4" w:rsidRDefault="006669CB">
      <w:pPr>
        <w:pStyle w:val="IASBNormalnpara"/>
        <w:rPr>
          <w:lang w:val="ru-RU"/>
        </w:rPr>
      </w:pPr>
      <w:r w:rsidRPr="000C06C4">
        <w:rPr>
          <w:lang w:val="ru-RU"/>
        </w:rPr>
        <w:tab/>
        <w:t>...</w:t>
      </w:r>
    </w:p>
    <w:p w14:paraId="3D1AA468" w14:textId="4D2DB440" w:rsidR="00DE4801" w:rsidRPr="00496F62" w:rsidRDefault="006669CB">
      <w:pPr>
        <w:pStyle w:val="IASBNormalnpara"/>
        <w:rPr>
          <w:lang w:val="ru-RU"/>
        </w:rPr>
      </w:pPr>
      <w:r w:rsidRPr="000C06C4">
        <w:rPr>
          <w:u w:val="single"/>
          <w:lang w:val="ru-RU"/>
        </w:rPr>
        <w:t>57</w:t>
      </w:r>
      <w:r>
        <w:rPr>
          <w:u w:val="single"/>
        </w:rPr>
        <w:t>A</w:t>
      </w:r>
      <w:r w:rsidRPr="000C06C4">
        <w:rPr>
          <w:lang w:val="ru-RU"/>
        </w:rPr>
        <w:tab/>
      </w:r>
      <w:r w:rsidR="000C06C4" w:rsidRPr="00757378">
        <w:rPr>
          <w:u w:val="single"/>
          <w:lang w:val="ru-RU"/>
        </w:rPr>
        <w:t xml:space="preserve">Когда организация определяет </w:t>
      </w:r>
      <w:r w:rsidR="00E171A9">
        <w:rPr>
          <w:u w:val="single"/>
          <w:lang w:val="ru-RU"/>
        </w:rPr>
        <w:t xml:space="preserve">расчетным путем </w:t>
      </w:r>
      <w:r w:rsidR="000C06C4" w:rsidRPr="00757378">
        <w:rPr>
          <w:u w:val="single"/>
          <w:lang w:val="ru-RU"/>
        </w:rPr>
        <w:t>текущий обменный курс</w:t>
      </w:r>
      <w:r w:rsidR="00E171A9">
        <w:rPr>
          <w:u w:val="single"/>
          <w:lang w:val="ru-RU"/>
        </w:rPr>
        <w:t xml:space="preserve"> вследствие отсутствия возможности обмена одной </w:t>
      </w:r>
      <w:r w:rsidR="000C06C4" w:rsidRPr="00757378">
        <w:rPr>
          <w:u w:val="single"/>
          <w:lang w:val="ru-RU"/>
        </w:rPr>
        <w:t>валют</w:t>
      </w:r>
      <w:r w:rsidR="00E171A9">
        <w:rPr>
          <w:u w:val="single"/>
          <w:lang w:val="ru-RU"/>
        </w:rPr>
        <w:t>ы</w:t>
      </w:r>
      <w:r w:rsidR="000C06C4" w:rsidRPr="00757378">
        <w:rPr>
          <w:u w:val="single"/>
          <w:lang w:val="ru-RU"/>
        </w:rPr>
        <w:t xml:space="preserve"> на другую </w:t>
      </w:r>
      <w:r w:rsidR="000C06C4" w:rsidRPr="00203048">
        <w:rPr>
          <w:u w:val="single"/>
          <w:lang w:val="ru-RU"/>
        </w:rPr>
        <w:t>валюту</w:t>
      </w:r>
      <w:r w:rsidR="000C06C4" w:rsidRPr="00757378">
        <w:rPr>
          <w:u w:val="single"/>
          <w:lang w:val="ru-RU"/>
        </w:rPr>
        <w:t xml:space="preserve"> (см. пункт 19A), организация должна раскрыть информацию, </w:t>
      </w:r>
      <w:r w:rsidR="00E171A9">
        <w:rPr>
          <w:u w:val="single"/>
          <w:lang w:val="ru-RU"/>
        </w:rPr>
        <w:t xml:space="preserve">которая </w:t>
      </w:r>
      <w:r w:rsidR="000C06C4" w:rsidRPr="00757378">
        <w:rPr>
          <w:u w:val="single"/>
          <w:lang w:val="ru-RU"/>
        </w:rPr>
        <w:t>позвол</w:t>
      </w:r>
      <w:r w:rsidR="00E171A9">
        <w:rPr>
          <w:u w:val="single"/>
          <w:lang w:val="ru-RU"/>
        </w:rPr>
        <w:t>ит</w:t>
      </w:r>
      <w:r w:rsidR="000C06C4" w:rsidRPr="00757378">
        <w:rPr>
          <w:u w:val="single"/>
          <w:lang w:val="ru-RU"/>
        </w:rPr>
        <w:t xml:space="preserve"> пользователям </w:t>
      </w:r>
      <w:r w:rsidR="00E171A9">
        <w:rPr>
          <w:u w:val="single"/>
          <w:lang w:val="ru-RU"/>
        </w:rPr>
        <w:t xml:space="preserve">ее </w:t>
      </w:r>
      <w:r w:rsidR="000C06C4" w:rsidRPr="00757378">
        <w:rPr>
          <w:u w:val="single"/>
          <w:lang w:val="ru-RU"/>
        </w:rPr>
        <w:t xml:space="preserve">финансовой отчетности понять, каким образом </w:t>
      </w:r>
      <w:r w:rsidR="00257AB1">
        <w:rPr>
          <w:u w:val="single"/>
          <w:lang w:val="ru-RU"/>
        </w:rPr>
        <w:t>отсутствие возможности</w:t>
      </w:r>
      <w:r w:rsidR="00E171A9">
        <w:rPr>
          <w:u w:val="single"/>
          <w:lang w:val="ru-RU"/>
        </w:rPr>
        <w:t xml:space="preserve"> обмена данной </w:t>
      </w:r>
      <w:r w:rsidR="000C06C4" w:rsidRPr="00757378">
        <w:rPr>
          <w:u w:val="single"/>
          <w:lang w:val="ru-RU"/>
        </w:rPr>
        <w:t>валют</w:t>
      </w:r>
      <w:r w:rsidR="00E171A9">
        <w:rPr>
          <w:u w:val="single"/>
          <w:lang w:val="ru-RU"/>
        </w:rPr>
        <w:t xml:space="preserve">ы </w:t>
      </w:r>
      <w:r w:rsidR="000C06C4" w:rsidRPr="00757378">
        <w:rPr>
          <w:u w:val="single"/>
          <w:lang w:val="ru-RU"/>
        </w:rPr>
        <w:t xml:space="preserve">на другую валюту влияет или, как ожидается, </w:t>
      </w:r>
      <w:r w:rsidR="00E171A9">
        <w:rPr>
          <w:u w:val="single"/>
          <w:lang w:val="ru-RU"/>
        </w:rPr>
        <w:t>по</w:t>
      </w:r>
      <w:r w:rsidR="000C06C4" w:rsidRPr="00757378">
        <w:rPr>
          <w:u w:val="single"/>
          <w:lang w:val="ru-RU"/>
        </w:rPr>
        <w:t>влия</w:t>
      </w:r>
      <w:r w:rsidR="00E171A9">
        <w:rPr>
          <w:u w:val="single"/>
          <w:lang w:val="ru-RU"/>
        </w:rPr>
        <w:t>е</w:t>
      </w:r>
      <w:r w:rsidR="000C06C4" w:rsidRPr="00757378">
        <w:rPr>
          <w:u w:val="single"/>
          <w:lang w:val="ru-RU"/>
        </w:rPr>
        <w:t xml:space="preserve">т на финансовые результаты, финансовое положение и денежные потоки </w:t>
      </w:r>
      <w:r w:rsidR="00E171A9">
        <w:rPr>
          <w:u w:val="single"/>
          <w:lang w:val="ru-RU"/>
        </w:rPr>
        <w:t xml:space="preserve">этой </w:t>
      </w:r>
      <w:r w:rsidR="000C06C4" w:rsidRPr="00757378">
        <w:rPr>
          <w:u w:val="single"/>
          <w:lang w:val="ru-RU"/>
        </w:rPr>
        <w:t xml:space="preserve">организации. Для достижения </w:t>
      </w:r>
      <w:r w:rsidR="00E171A9">
        <w:rPr>
          <w:u w:val="single"/>
          <w:lang w:val="ru-RU"/>
        </w:rPr>
        <w:t>данной</w:t>
      </w:r>
      <w:r w:rsidR="00E171A9" w:rsidRPr="00757378">
        <w:rPr>
          <w:u w:val="single"/>
          <w:lang w:val="ru-RU"/>
        </w:rPr>
        <w:t xml:space="preserve"> </w:t>
      </w:r>
      <w:r w:rsidR="000C06C4" w:rsidRPr="00757378">
        <w:rPr>
          <w:u w:val="single"/>
          <w:lang w:val="ru-RU"/>
        </w:rPr>
        <w:t>цели организация должна раскрыть следующую информацию:</w:t>
      </w:r>
    </w:p>
    <w:p w14:paraId="4221F29D" w14:textId="3D4F5A2B" w:rsidR="00DE4801" w:rsidRPr="000C06C4" w:rsidRDefault="006669CB">
      <w:pPr>
        <w:pStyle w:val="IASBNormalnparaL1"/>
        <w:rPr>
          <w:lang w:val="ru-RU"/>
        </w:rPr>
      </w:pPr>
      <w:r w:rsidRPr="000C06C4">
        <w:rPr>
          <w:u w:val="single"/>
          <w:lang w:val="ru-RU"/>
        </w:rPr>
        <w:t>(</w:t>
      </w:r>
      <w:r>
        <w:rPr>
          <w:u w:val="single"/>
        </w:rPr>
        <w:t>a</w:t>
      </w:r>
      <w:r w:rsidRPr="000C06C4">
        <w:rPr>
          <w:u w:val="single"/>
          <w:lang w:val="ru-RU"/>
        </w:rPr>
        <w:t>)</w:t>
      </w:r>
      <w:r w:rsidRPr="000C06C4">
        <w:rPr>
          <w:lang w:val="ru-RU"/>
        </w:rPr>
        <w:tab/>
      </w:r>
      <w:r w:rsidR="000C06C4" w:rsidRPr="003A56C9">
        <w:rPr>
          <w:u w:val="single"/>
          <w:lang w:val="ru-RU"/>
        </w:rPr>
        <w:t xml:space="preserve">характер и </w:t>
      </w:r>
      <w:r w:rsidR="00074851">
        <w:rPr>
          <w:u w:val="single"/>
          <w:lang w:val="ru-RU"/>
        </w:rPr>
        <w:t xml:space="preserve">финансовые последствия </w:t>
      </w:r>
      <w:r w:rsidR="00257AB1">
        <w:rPr>
          <w:u w:val="single"/>
          <w:lang w:val="ru-RU"/>
        </w:rPr>
        <w:t>отсутствия возможности</w:t>
      </w:r>
      <w:r w:rsidR="00E171A9">
        <w:rPr>
          <w:u w:val="single"/>
          <w:lang w:val="ru-RU"/>
        </w:rPr>
        <w:t xml:space="preserve"> обмена данной валюты на </w:t>
      </w:r>
      <w:r w:rsidR="000C06C4" w:rsidRPr="003A56C9">
        <w:rPr>
          <w:u w:val="single"/>
          <w:lang w:val="ru-RU"/>
        </w:rPr>
        <w:t xml:space="preserve">другую </w:t>
      </w:r>
      <w:r w:rsidR="00257AB1">
        <w:rPr>
          <w:u w:val="single"/>
          <w:lang w:val="ru-RU"/>
        </w:rPr>
        <w:t xml:space="preserve">указанную </w:t>
      </w:r>
      <w:r w:rsidR="000C06C4" w:rsidRPr="003A56C9">
        <w:rPr>
          <w:u w:val="single"/>
          <w:lang w:val="ru-RU"/>
        </w:rPr>
        <w:t>валюту;</w:t>
      </w:r>
    </w:p>
    <w:p w14:paraId="2B6539CB" w14:textId="77777777" w:rsidR="00DE4801" w:rsidRPr="000C06C4" w:rsidRDefault="006669CB">
      <w:pPr>
        <w:pStyle w:val="IASBNormalnparaL1"/>
        <w:rPr>
          <w:lang w:val="ru-RU"/>
        </w:rPr>
      </w:pPr>
      <w:r w:rsidRPr="000C06C4">
        <w:rPr>
          <w:u w:val="single"/>
          <w:lang w:val="ru-RU"/>
        </w:rPr>
        <w:t>(</w:t>
      </w:r>
      <w:r>
        <w:rPr>
          <w:u w:val="single"/>
        </w:rPr>
        <w:t>b</w:t>
      </w:r>
      <w:r w:rsidRPr="000C06C4">
        <w:rPr>
          <w:u w:val="single"/>
          <w:lang w:val="ru-RU"/>
        </w:rPr>
        <w:t>)</w:t>
      </w:r>
      <w:r w:rsidRPr="000C06C4">
        <w:rPr>
          <w:lang w:val="ru-RU"/>
        </w:rPr>
        <w:tab/>
      </w:r>
      <w:r w:rsidR="000C06C4" w:rsidRPr="003A56C9">
        <w:rPr>
          <w:u w:val="single"/>
          <w:lang w:val="ru-RU"/>
        </w:rPr>
        <w:t>используемый текущий обменный курс (курсы);</w:t>
      </w:r>
    </w:p>
    <w:p w14:paraId="6566E288" w14:textId="5D8802DA" w:rsidR="00DE4801" w:rsidRPr="00257AB1" w:rsidRDefault="006669CB">
      <w:pPr>
        <w:pStyle w:val="IASBNormalnparaL1"/>
        <w:rPr>
          <w:lang w:val="ru-RU"/>
        </w:rPr>
      </w:pPr>
      <w:r w:rsidRPr="00496F62">
        <w:rPr>
          <w:u w:val="single"/>
          <w:lang w:val="ru-RU"/>
        </w:rPr>
        <w:t>(</w:t>
      </w:r>
      <w:r>
        <w:rPr>
          <w:u w:val="single"/>
        </w:rPr>
        <w:t>c</w:t>
      </w:r>
      <w:r w:rsidRPr="00496F62">
        <w:rPr>
          <w:u w:val="single"/>
          <w:lang w:val="ru-RU"/>
        </w:rPr>
        <w:t>)</w:t>
      </w:r>
      <w:r w:rsidRPr="00496F62">
        <w:rPr>
          <w:lang w:val="ru-RU"/>
        </w:rPr>
        <w:tab/>
      </w:r>
      <w:r w:rsidR="000C06C4" w:rsidRPr="003C1687">
        <w:rPr>
          <w:u w:val="single"/>
          <w:lang w:val="ru-RU"/>
        </w:rPr>
        <w:t xml:space="preserve">процесс </w:t>
      </w:r>
      <w:r w:rsidR="00257AB1" w:rsidRPr="003C1687">
        <w:rPr>
          <w:u w:val="single"/>
          <w:lang w:val="ru-RU"/>
        </w:rPr>
        <w:t xml:space="preserve">его </w:t>
      </w:r>
      <w:r w:rsidR="008E689B">
        <w:rPr>
          <w:u w:val="single"/>
          <w:lang w:val="ru-RU"/>
        </w:rPr>
        <w:t xml:space="preserve">(их) </w:t>
      </w:r>
      <w:r w:rsidR="00AD1534" w:rsidRPr="003C1687">
        <w:rPr>
          <w:u w:val="single"/>
          <w:lang w:val="ru-RU"/>
        </w:rPr>
        <w:t xml:space="preserve">расчетной </w:t>
      </w:r>
      <w:r w:rsidR="000C06C4" w:rsidRPr="00257AB1">
        <w:rPr>
          <w:u w:val="single"/>
          <w:lang w:val="ru-RU"/>
        </w:rPr>
        <w:t>оценки; и</w:t>
      </w:r>
    </w:p>
    <w:p w14:paraId="370D67AE" w14:textId="7DB707E4" w:rsidR="00DE4801" w:rsidRPr="000C06C4" w:rsidRDefault="006669CB">
      <w:pPr>
        <w:pStyle w:val="IASBNormalnparaL1"/>
        <w:rPr>
          <w:lang w:val="ru-RU"/>
        </w:rPr>
      </w:pPr>
      <w:r w:rsidRPr="000C06C4">
        <w:rPr>
          <w:u w:val="single"/>
          <w:lang w:val="ru-RU"/>
        </w:rPr>
        <w:t>(</w:t>
      </w:r>
      <w:r>
        <w:rPr>
          <w:u w:val="single"/>
        </w:rPr>
        <w:t>d</w:t>
      </w:r>
      <w:r w:rsidRPr="000C06C4">
        <w:rPr>
          <w:u w:val="single"/>
          <w:lang w:val="ru-RU"/>
        </w:rPr>
        <w:t>)</w:t>
      </w:r>
      <w:r w:rsidRPr="000C06C4">
        <w:rPr>
          <w:lang w:val="ru-RU"/>
        </w:rPr>
        <w:tab/>
      </w:r>
      <w:r w:rsidR="000C06C4" w:rsidRPr="003A56C9">
        <w:rPr>
          <w:u w:val="single"/>
          <w:lang w:val="ru-RU"/>
        </w:rPr>
        <w:t xml:space="preserve">риски, которым подвержена организация ввиду того, что </w:t>
      </w:r>
      <w:r w:rsidR="00AD1534">
        <w:rPr>
          <w:u w:val="single"/>
          <w:lang w:val="ru-RU"/>
        </w:rPr>
        <w:t xml:space="preserve">данная </w:t>
      </w:r>
      <w:r w:rsidR="000C06C4" w:rsidRPr="003A56C9">
        <w:rPr>
          <w:u w:val="single"/>
          <w:lang w:val="ru-RU"/>
        </w:rPr>
        <w:t>валюта не может быть обменена на другую валюту.</w:t>
      </w:r>
    </w:p>
    <w:p w14:paraId="184F43BF" w14:textId="77777777" w:rsidR="00DE4801" w:rsidRPr="000C06C4" w:rsidRDefault="006669CB">
      <w:pPr>
        <w:pStyle w:val="IASBNormalnpara"/>
        <w:rPr>
          <w:lang w:val="ru-RU"/>
        </w:rPr>
      </w:pPr>
      <w:r w:rsidRPr="000C06C4">
        <w:rPr>
          <w:u w:val="single"/>
          <w:lang w:val="ru-RU"/>
        </w:rPr>
        <w:t>57</w:t>
      </w:r>
      <w:r>
        <w:rPr>
          <w:u w:val="single"/>
        </w:rPr>
        <w:t>B</w:t>
      </w:r>
      <w:r w:rsidRPr="000C06C4">
        <w:rPr>
          <w:lang w:val="ru-RU"/>
        </w:rPr>
        <w:tab/>
      </w:r>
      <w:r w:rsidR="000C06C4" w:rsidRPr="003A56C9">
        <w:rPr>
          <w:u w:val="single"/>
          <w:lang w:val="ru-RU"/>
        </w:rPr>
        <w:t>Пункты A18–A20 описывают, каким образом организация должна применять пункт 57A</w:t>
      </w:r>
      <w:r w:rsidR="000C06C4">
        <w:rPr>
          <w:u w:val="single"/>
          <w:lang w:val="ru-RU"/>
        </w:rPr>
        <w:t>.</w:t>
      </w:r>
    </w:p>
    <w:p w14:paraId="33E6BF71" w14:textId="77777777" w:rsidR="00DE4801" w:rsidRPr="000C06C4" w:rsidRDefault="000C06C4">
      <w:pPr>
        <w:pStyle w:val="IASBSectionTitle1NonInd"/>
        <w:rPr>
          <w:lang w:val="ru-RU"/>
        </w:rPr>
      </w:pPr>
      <w:r w:rsidRPr="003A56C9">
        <w:rPr>
          <w:lang w:val="ru-RU"/>
        </w:rPr>
        <w:t>Дата вступления в силу и переходные положения</w:t>
      </w:r>
    </w:p>
    <w:p w14:paraId="364B2FB6" w14:textId="67338687" w:rsidR="00DE4801" w:rsidRPr="00496F62" w:rsidRDefault="006669CB">
      <w:pPr>
        <w:pStyle w:val="IASBNormalnpara"/>
        <w:rPr>
          <w:lang w:val="ru-RU"/>
        </w:rPr>
      </w:pPr>
      <w:r w:rsidRPr="000C06C4">
        <w:rPr>
          <w:lang w:val="ru-RU"/>
        </w:rPr>
        <w:tab/>
      </w:r>
      <w:r w:rsidR="00580D5C">
        <w:rPr>
          <w:lang w:val="ru-RU"/>
        </w:rPr>
        <w:t>…</w:t>
      </w:r>
    </w:p>
    <w:p w14:paraId="7D7234E7" w14:textId="3DA6787E" w:rsidR="00DE4801" w:rsidRPr="000C06C4" w:rsidRDefault="006669CB">
      <w:pPr>
        <w:pStyle w:val="IASBNormalnpara"/>
        <w:rPr>
          <w:lang w:val="ru-RU"/>
        </w:rPr>
      </w:pPr>
      <w:r w:rsidRPr="000C06C4">
        <w:rPr>
          <w:u w:val="single"/>
          <w:lang w:val="ru-RU"/>
        </w:rPr>
        <w:t>60</w:t>
      </w:r>
      <w:r>
        <w:rPr>
          <w:u w:val="single"/>
        </w:rPr>
        <w:t>L</w:t>
      </w:r>
      <w:r w:rsidRPr="000C06C4">
        <w:rPr>
          <w:lang w:val="ru-RU"/>
        </w:rPr>
        <w:tab/>
      </w:r>
      <w:r w:rsidR="000C06C4" w:rsidRPr="00D469C7">
        <w:rPr>
          <w:u w:val="single"/>
          <w:lang w:val="ru-RU"/>
        </w:rPr>
        <w:t xml:space="preserve">Документом </w:t>
      </w:r>
      <w:r w:rsidR="000C06C4" w:rsidRPr="00D469C7">
        <w:rPr>
          <w:i/>
          <w:u w:val="single"/>
          <w:lang w:val="ru-RU"/>
        </w:rPr>
        <w:t>«</w:t>
      </w:r>
      <w:r w:rsidR="00417F3B" w:rsidRPr="00D469C7">
        <w:rPr>
          <w:i/>
          <w:u w:val="single"/>
          <w:lang w:val="ru-RU"/>
        </w:rPr>
        <w:t xml:space="preserve">Отсутствие возможности </w:t>
      </w:r>
      <w:r w:rsidR="000C06C4" w:rsidRPr="00D469C7">
        <w:rPr>
          <w:i/>
          <w:u w:val="single"/>
          <w:lang w:val="ru-RU"/>
        </w:rPr>
        <w:t xml:space="preserve">обмена </w:t>
      </w:r>
      <w:r w:rsidR="00D70935" w:rsidRPr="00D469C7">
        <w:rPr>
          <w:i/>
          <w:u w:val="single"/>
          <w:lang w:val="ru-RU"/>
        </w:rPr>
        <w:t>валют</w:t>
      </w:r>
      <w:r w:rsidR="000C06C4" w:rsidRPr="00D469C7">
        <w:rPr>
          <w:i/>
          <w:u w:val="single"/>
          <w:lang w:val="ru-RU"/>
        </w:rPr>
        <w:t>»</w:t>
      </w:r>
      <w:r w:rsidR="000C06C4" w:rsidRPr="00D469C7">
        <w:rPr>
          <w:u w:val="single"/>
          <w:lang w:val="ru-RU"/>
        </w:rPr>
        <w:t xml:space="preserve">, выпущенным </w:t>
      </w:r>
      <w:r w:rsidR="000C06C4" w:rsidRPr="00AC6E33">
        <w:rPr>
          <w:u w:val="single"/>
          <w:lang w:val="ru-RU"/>
        </w:rPr>
        <w:t>в августе 2023 года, внесены поправки в пункты 8 и 26</w:t>
      </w:r>
      <w:r w:rsidR="009B08F3">
        <w:rPr>
          <w:u w:val="single"/>
          <w:lang w:val="ru-RU"/>
        </w:rPr>
        <w:t>, а также</w:t>
      </w:r>
      <w:r w:rsidR="000C06C4" w:rsidRPr="00AC6E33">
        <w:rPr>
          <w:u w:val="single"/>
          <w:lang w:val="ru-RU"/>
        </w:rPr>
        <w:t xml:space="preserve"> добавлены пункты 8A–8B, 19A, 57A–57B и Приложение</w:t>
      </w:r>
      <w:r w:rsidR="00AD1534">
        <w:rPr>
          <w:u w:val="single"/>
          <w:lang w:val="ru-RU"/>
        </w:rPr>
        <w:t> </w:t>
      </w:r>
      <w:r w:rsidR="000C06C4" w:rsidRPr="00AC6E33">
        <w:rPr>
          <w:u w:val="single"/>
          <w:lang w:val="ru-RU"/>
        </w:rPr>
        <w:t>A. Организация должна примен</w:t>
      </w:r>
      <w:r w:rsidR="00AD1534">
        <w:rPr>
          <w:u w:val="single"/>
          <w:lang w:val="ru-RU"/>
        </w:rPr>
        <w:t>и</w:t>
      </w:r>
      <w:r w:rsidR="000C06C4" w:rsidRPr="00AC6E33">
        <w:rPr>
          <w:u w:val="single"/>
          <w:lang w:val="ru-RU"/>
        </w:rPr>
        <w:t>ть данные поправки в отношении годовых отчетных периодов, начинающихся 1 января 2025 года или после этой даты.</w:t>
      </w:r>
      <w:r w:rsidR="000C06C4">
        <w:rPr>
          <w:u w:val="single"/>
          <w:lang w:val="ru-RU"/>
        </w:rPr>
        <w:t xml:space="preserve"> </w:t>
      </w:r>
      <w:r w:rsidR="000C06C4" w:rsidRPr="00AC6E33">
        <w:rPr>
          <w:u w:val="single"/>
          <w:lang w:val="ru-RU"/>
        </w:rPr>
        <w:t>Допускается досрочное применение.</w:t>
      </w:r>
      <w:r w:rsidR="000C06C4">
        <w:rPr>
          <w:u w:val="single"/>
          <w:lang w:val="ru-RU"/>
        </w:rPr>
        <w:t xml:space="preserve"> </w:t>
      </w:r>
      <w:r w:rsidR="000C06C4" w:rsidRPr="00AC6E33">
        <w:rPr>
          <w:u w:val="single"/>
          <w:lang w:val="ru-RU"/>
        </w:rPr>
        <w:t>Если организация применит поправки в отношении более раннего периода, она должна будет раскрыть этот факт.</w:t>
      </w:r>
      <w:r w:rsidR="000C06C4">
        <w:rPr>
          <w:u w:val="single"/>
          <w:lang w:val="ru-RU"/>
        </w:rPr>
        <w:t xml:space="preserve"> </w:t>
      </w:r>
      <w:r w:rsidR="000C06C4" w:rsidRPr="00AC6E33">
        <w:rPr>
          <w:u w:val="single"/>
          <w:lang w:val="ru-RU"/>
        </w:rPr>
        <w:t>Датой первоначального применения является дата начала годового отчетного периода, в котором организация впервые при</w:t>
      </w:r>
      <w:r w:rsidR="009B08F3">
        <w:rPr>
          <w:u w:val="single"/>
          <w:lang w:val="ru-RU"/>
        </w:rPr>
        <w:t>мен</w:t>
      </w:r>
      <w:r w:rsidR="00AD1534">
        <w:rPr>
          <w:u w:val="single"/>
          <w:lang w:val="ru-RU"/>
        </w:rPr>
        <w:t>и</w:t>
      </w:r>
      <w:r w:rsidR="009B08F3">
        <w:rPr>
          <w:u w:val="single"/>
          <w:lang w:val="ru-RU"/>
        </w:rPr>
        <w:t>т</w:t>
      </w:r>
      <w:r w:rsidR="000C06C4" w:rsidRPr="00AC6E33">
        <w:rPr>
          <w:u w:val="single"/>
          <w:lang w:val="ru-RU"/>
        </w:rPr>
        <w:t xml:space="preserve"> данные поправки.</w:t>
      </w:r>
    </w:p>
    <w:p w14:paraId="21646F51" w14:textId="36695C9B" w:rsidR="00DE4801" w:rsidRPr="00011941" w:rsidRDefault="006669CB">
      <w:pPr>
        <w:pStyle w:val="IASBNormalnpara"/>
        <w:rPr>
          <w:lang w:val="ru-RU"/>
        </w:rPr>
      </w:pPr>
      <w:r w:rsidRPr="00011941">
        <w:rPr>
          <w:u w:val="single"/>
          <w:lang w:val="ru-RU"/>
        </w:rPr>
        <w:t>60</w:t>
      </w:r>
      <w:r>
        <w:rPr>
          <w:u w:val="single"/>
        </w:rPr>
        <w:t>M</w:t>
      </w:r>
      <w:r w:rsidRPr="00011941">
        <w:rPr>
          <w:lang w:val="ru-RU"/>
        </w:rPr>
        <w:tab/>
      </w:r>
      <w:r w:rsidR="00467E88">
        <w:rPr>
          <w:u w:val="single"/>
          <w:lang w:val="ru-RU"/>
        </w:rPr>
        <w:t>При применении</w:t>
      </w:r>
      <w:r w:rsidR="00011941" w:rsidRPr="00AC6E33">
        <w:rPr>
          <w:u w:val="single"/>
          <w:lang w:val="ru-RU"/>
        </w:rPr>
        <w:t xml:space="preserve"> документа </w:t>
      </w:r>
      <w:r w:rsidR="00011941" w:rsidRPr="00963B42">
        <w:rPr>
          <w:i/>
          <w:u w:val="single"/>
          <w:lang w:val="ru-RU"/>
        </w:rPr>
        <w:t>«</w:t>
      </w:r>
      <w:r w:rsidR="00F8760C">
        <w:rPr>
          <w:i/>
          <w:u w:val="single"/>
          <w:lang w:val="ru-RU"/>
        </w:rPr>
        <w:t>Отсутствие возможности</w:t>
      </w:r>
      <w:r w:rsidR="00F8760C" w:rsidRPr="00AC6E33">
        <w:rPr>
          <w:i/>
          <w:u w:val="single"/>
          <w:lang w:val="ru-RU"/>
        </w:rPr>
        <w:t xml:space="preserve"> обмена </w:t>
      </w:r>
      <w:r w:rsidR="00D70935">
        <w:rPr>
          <w:i/>
          <w:u w:val="single"/>
          <w:lang w:val="ru-RU"/>
        </w:rPr>
        <w:t>валют</w:t>
      </w:r>
      <w:r w:rsidR="00011941" w:rsidRPr="00963B42">
        <w:rPr>
          <w:i/>
          <w:u w:val="single"/>
          <w:lang w:val="ru-RU"/>
        </w:rPr>
        <w:t>»</w:t>
      </w:r>
      <w:r w:rsidR="00011941" w:rsidRPr="00AC6E33">
        <w:rPr>
          <w:u w:val="single"/>
          <w:lang w:val="ru-RU"/>
        </w:rPr>
        <w:t xml:space="preserve"> организаци</w:t>
      </w:r>
      <w:r w:rsidR="005D200B">
        <w:rPr>
          <w:u w:val="single"/>
          <w:lang w:val="ru-RU"/>
        </w:rPr>
        <w:t>и</w:t>
      </w:r>
      <w:r w:rsidR="00011941" w:rsidRPr="00AC6E33">
        <w:rPr>
          <w:u w:val="single"/>
          <w:lang w:val="ru-RU"/>
        </w:rPr>
        <w:t xml:space="preserve"> не </w:t>
      </w:r>
      <w:r w:rsidR="005D200B">
        <w:rPr>
          <w:u w:val="single"/>
          <w:lang w:val="ru-RU"/>
        </w:rPr>
        <w:t>следует</w:t>
      </w:r>
      <w:r w:rsidR="005D200B" w:rsidRPr="00AC6E33">
        <w:rPr>
          <w:u w:val="single"/>
          <w:lang w:val="ru-RU"/>
        </w:rPr>
        <w:t xml:space="preserve"> </w:t>
      </w:r>
      <w:r w:rsidR="00011941" w:rsidRPr="00AC6E33">
        <w:rPr>
          <w:u w:val="single"/>
          <w:lang w:val="ru-RU"/>
        </w:rPr>
        <w:t>пересчитывать сравнительную информацию.</w:t>
      </w:r>
      <w:r w:rsidR="00011941">
        <w:rPr>
          <w:u w:val="single"/>
          <w:lang w:val="ru-RU"/>
        </w:rPr>
        <w:t xml:space="preserve"> Вместо этого:</w:t>
      </w:r>
    </w:p>
    <w:p w14:paraId="250F3165" w14:textId="754F073A" w:rsidR="00DE4801" w:rsidRPr="00011941" w:rsidRDefault="006669CB">
      <w:pPr>
        <w:pStyle w:val="IASBNormalnparaL1"/>
        <w:rPr>
          <w:lang w:val="ru-RU"/>
        </w:rPr>
      </w:pPr>
      <w:r w:rsidRPr="00011941">
        <w:rPr>
          <w:u w:val="single"/>
          <w:lang w:val="ru-RU"/>
        </w:rPr>
        <w:t>(</w:t>
      </w:r>
      <w:r>
        <w:rPr>
          <w:u w:val="single"/>
        </w:rPr>
        <w:t>a</w:t>
      </w:r>
      <w:r w:rsidRPr="00011941">
        <w:rPr>
          <w:u w:val="single"/>
          <w:lang w:val="ru-RU"/>
        </w:rPr>
        <w:t>)</w:t>
      </w:r>
      <w:r w:rsidRPr="00011941">
        <w:rPr>
          <w:lang w:val="ru-RU"/>
        </w:rPr>
        <w:tab/>
      </w:r>
      <w:r w:rsidR="00011941" w:rsidRPr="00C47FCF">
        <w:rPr>
          <w:u w:val="single"/>
          <w:lang w:val="ru-RU"/>
        </w:rPr>
        <w:t>когда организация отражает операции в иностранной валюте в своей функциональной валюте и на дату первоначального применения приходит к выводу, что ее функциональная валюта не может быть обменена на иностранную валюту, либо (если применимо) приходит к выводу, что иностранная валюта не может быть обменена на ее функциональную валюту, организация должна на дату первоначального применения:</w:t>
      </w:r>
    </w:p>
    <w:p w14:paraId="52E6C7A8" w14:textId="20C52111" w:rsidR="00DE4801" w:rsidRPr="00011941" w:rsidRDefault="006669CB">
      <w:pPr>
        <w:pStyle w:val="IASBNormalnparaL2"/>
        <w:rPr>
          <w:lang w:val="ru-RU"/>
        </w:rPr>
      </w:pPr>
      <w:r w:rsidRPr="00011941">
        <w:rPr>
          <w:u w:val="single"/>
          <w:lang w:val="ru-RU"/>
        </w:rPr>
        <w:lastRenderedPageBreak/>
        <w:t>(</w:t>
      </w:r>
      <w:r>
        <w:rPr>
          <w:u w:val="single"/>
        </w:rPr>
        <w:t>i</w:t>
      </w:r>
      <w:r w:rsidRPr="00011941">
        <w:rPr>
          <w:u w:val="single"/>
          <w:lang w:val="ru-RU"/>
        </w:rPr>
        <w:t>)</w:t>
      </w:r>
      <w:r w:rsidRPr="00011941">
        <w:rPr>
          <w:lang w:val="ru-RU"/>
        </w:rPr>
        <w:tab/>
      </w:r>
      <w:r w:rsidR="00011941" w:rsidRPr="00C47FCF">
        <w:rPr>
          <w:u w:val="single"/>
          <w:lang w:val="ru-RU"/>
        </w:rPr>
        <w:t xml:space="preserve">пересчитать </w:t>
      </w:r>
      <w:r w:rsidR="00011941" w:rsidRPr="008E689B">
        <w:rPr>
          <w:u w:val="single"/>
          <w:lang w:val="ru-RU"/>
        </w:rPr>
        <w:t>затронутые</w:t>
      </w:r>
      <w:r w:rsidR="00011941" w:rsidRPr="00C47FCF">
        <w:rPr>
          <w:u w:val="single"/>
          <w:lang w:val="ru-RU"/>
        </w:rPr>
        <w:t xml:space="preserve"> монетарные статьи в иностранной валюте и немонетарные </w:t>
      </w:r>
      <w:r w:rsidR="00011941" w:rsidRPr="00417F3B">
        <w:rPr>
          <w:u w:val="single"/>
          <w:lang w:val="ru-RU"/>
        </w:rPr>
        <w:t>статьи, оценива</w:t>
      </w:r>
      <w:r w:rsidR="00A4667C" w:rsidRPr="00417F3B">
        <w:rPr>
          <w:u w:val="single"/>
          <w:lang w:val="ru-RU"/>
        </w:rPr>
        <w:t>емые</w:t>
      </w:r>
      <w:r w:rsidR="00011941" w:rsidRPr="00417F3B">
        <w:rPr>
          <w:u w:val="single"/>
          <w:lang w:val="ru-RU"/>
        </w:rPr>
        <w:t xml:space="preserve"> по справедливой стоимости в иностранной валюте, с использованием расчетного текущего</w:t>
      </w:r>
      <w:r w:rsidR="00011941" w:rsidRPr="00C47FCF">
        <w:rPr>
          <w:u w:val="single"/>
          <w:lang w:val="ru-RU"/>
        </w:rPr>
        <w:t xml:space="preserve"> </w:t>
      </w:r>
      <w:r w:rsidR="00011941">
        <w:rPr>
          <w:u w:val="single"/>
          <w:lang w:val="ru-RU"/>
        </w:rPr>
        <w:t xml:space="preserve">обменного </w:t>
      </w:r>
      <w:r w:rsidR="00011941" w:rsidRPr="00C47FCF">
        <w:rPr>
          <w:u w:val="single"/>
          <w:lang w:val="ru-RU"/>
        </w:rPr>
        <w:t>курса на эту дату; и</w:t>
      </w:r>
    </w:p>
    <w:p w14:paraId="7A865B4F" w14:textId="13DCD62A" w:rsidR="00DE4801" w:rsidRPr="00011941" w:rsidRDefault="006669CB">
      <w:pPr>
        <w:pStyle w:val="IASBNormalnparaL2"/>
        <w:rPr>
          <w:lang w:val="ru-RU"/>
        </w:rPr>
      </w:pPr>
      <w:r w:rsidRPr="00011941">
        <w:rPr>
          <w:u w:val="single"/>
          <w:lang w:val="ru-RU"/>
        </w:rPr>
        <w:t>(</w:t>
      </w:r>
      <w:r>
        <w:rPr>
          <w:u w:val="single"/>
        </w:rPr>
        <w:t>ii</w:t>
      </w:r>
      <w:r w:rsidRPr="00011941">
        <w:rPr>
          <w:u w:val="single"/>
          <w:lang w:val="ru-RU"/>
        </w:rPr>
        <w:t>)</w:t>
      </w:r>
      <w:r w:rsidRPr="00011941">
        <w:rPr>
          <w:lang w:val="ru-RU"/>
        </w:rPr>
        <w:tab/>
      </w:r>
      <w:r w:rsidR="00011941" w:rsidRPr="00C47FCF">
        <w:rPr>
          <w:u w:val="single"/>
          <w:lang w:val="ru-RU"/>
        </w:rPr>
        <w:t xml:space="preserve">признать </w:t>
      </w:r>
      <w:r w:rsidR="00A4667C">
        <w:rPr>
          <w:u w:val="single"/>
          <w:lang w:val="ru-RU"/>
        </w:rPr>
        <w:t>эффект от</w:t>
      </w:r>
      <w:r w:rsidR="00A4667C" w:rsidRPr="00C47FCF">
        <w:rPr>
          <w:u w:val="single"/>
          <w:lang w:val="ru-RU"/>
        </w:rPr>
        <w:t xml:space="preserve"> </w:t>
      </w:r>
      <w:r w:rsidR="00011941" w:rsidRPr="00C47FCF">
        <w:rPr>
          <w:u w:val="single"/>
          <w:lang w:val="ru-RU"/>
        </w:rPr>
        <w:t xml:space="preserve">первоначального применения поправок </w:t>
      </w:r>
      <w:r w:rsidR="00A4667C">
        <w:rPr>
          <w:u w:val="single"/>
          <w:lang w:val="ru-RU"/>
        </w:rPr>
        <w:t>как</w:t>
      </w:r>
      <w:r w:rsidR="00011941" w:rsidRPr="00C47FCF">
        <w:rPr>
          <w:u w:val="single"/>
          <w:lang w:val="ru-RU"/>
        </w:rPr>
        <w:t xml:space="preserve"> корректировк</w:t>
      </w:r>
      <w:r w:rsidR="00A4667C">
        <w:rPr>
          <w:u w:val="single"/>
          <w:lang w:val="ru-RU"/>
        </w:rPr>
        <w:t>у</w:t>
      </w:r>
      <w:r w:rsidR="00011941" w:rsidRPr="00C47FCF">
        <w:rPr>
          <w:u w:val="single"/>
          <w:lang w:val="ru-RU"/>
        </w:rPr>
        <w:t xml:space="preserve"> остатка нераспределенной прибыли на начало периода</w:t>
      </w:r>
      <w:r w:rsidR="00580D5C">
        <w:rPr>
          <w:u w:val="single"/>
          <w:lang w:val="ru-RU"/>
        </w:rPr>
        <w:t>;</w:t>
      </w:r>
    </w:p>
    <w:p w14:paraId="0F69D964" w14:textId="19C26D0B" w:rsidR="00DE4801" w:rsidRPr="00011941" w:rsidRDefault="006669CB">
      <w:pPr>
        <w:pStyle w:val="IASBNormalnparaL1"/>
        <w:rPr>
          <w:lang w:val="ru-RU"/>
        </w:rPr>
      </w:pPr>
      <w:r w:rsidRPr="00011941">
        <w:rPr>
          <w:u w:val="single"/>
          <w:lang w:val="ru-RU"/>
        </w:rPr>
        <w:t>(</w:t>
      </w:r>
      <w:r>
        <w:rPr>
          <w:u w:val="single"/>
        </w:rPr>
        <w:t>b</w:t>
      </w:r>
      <w:r w:rsidRPr="00011941">
        <w:rPr>
          <w:u w:val="single"/>
          <w:lang w:val="ru-RU"/>
        </w:rPr>
        <w:t>)</w:t>
      </w:r>
      <w:r w:rsidRPr="00011941">
        <w:rPr>
          <w:lang w:val="ru-RU"/>
        </w:rPr>
        <w:tab/>
      </w:r>
      <w:r w:rsidR="00011941" w:rsidRPr="00C47FCF">
        <w:rPr>
          <w:u w:val="single"/>
          <w:lang w:val="ru-RU"/>
        </w:rPr>
        <w:t xml:space="preserve">когда организация использует валюту представления, отличную от своей функциональной валюты, либо пересчитывает результаты деятельности и финансовое положение иностранного подразделения и на дату первоначального применения приходит к выводу, что ее функциональная валюта (или функциональная валюта </w:t>
      </w:r>
      <w:r w:rsidR="007B4C8F">
        <w:rPr>
          <w:u w:val="single"/>
          <w:lang w:val="ru-RU"/>
        </w:rPr>
        <w:t>такого</w:t>
      </w:r>
      <w:r w:rsidR="00A4667C">
        <w:rPr>
          <w:u w:val="single"/>
          <w:lang w:val="ru-RU"/>
        </w:rPr>
        <w:t xml:space="preserve"> </w:t>
      </w:r>
      <w:r w:rsidR="00011941" w:rsidRPr="00C47FCF">
        <w:rPr>
          <w:u w:val="single"/>
          <w:lang w:val="ru-RU"/>
        </w:rPr>
        <w:t>иностранного подразделения) не может быть обменена на ее валюту представления, либо (если применимо) приходит к выводу, что ее валюта представления не может быть обменена на ее функциональную валюту (</w:t>
      </w:r>
      <w:r w:rsidR="00A4667C">
        <w:rPr>
          <w:u w:val="single"/>
          <w:lang w:val="ru-RU"/>
        </w:rPr>
        <w:t>или</w:t>
      </w:r>
      <w:r w:rsidR="00011941" w:rsidRPr="00C47FCF">
        <w:rPr>
          <w:u w:val="single"/>
          <w:lang w:val="ru-RU"/>
        </w:rPr>
        <w:t xml:space="preserve"> функциональную валюту иностранного подразделения), организация должна на дату первоначального применения:</w:t>
      </w:r>
    </w:p>
    <w:p w14:paraId="6AC5962F" w14:textId="17C8B1D9" w:rsidR="00DE4801" w:rsidRPr="00011941" w:rsidRDefault="006669CB">
      <w:pPr>
        <w:pStyle w:val="IASBNormalnparaL2"/>
        <w:rPr>
          <w:lang w:val="ru-RU"/>
        </w:rPr>
      </w:pPr>
      <w:r w:rsidRPr="00011941">
        <w:rPr>
          <w:u w:val="single"/>
          <w:lang w:val="ru-RU"/>
        </w:rPr>
        <w:t>(</w:t>
      </w:r>
      <w:r>
        <w:rPr>
          <w:u w:val="single"/>
        </w:rPr>
        <w:t>i</w:t>
      </w:r>
      <w:r w:rsidRPr="00011941">
        <w:rPr>
          <w:u w:val="single"/>
          <w:lang w:val="ru-RU"/>
        </w:rPr>
        <w:t>)</w:t>
      </w:r>
      <w:r w:rsidRPr="00011941">
        <w:rPr>
          <w:lang w:val="ru-RU"/>
        </w:rPr>
        <w:tab/>
      </w:r>
      <w:r w:rsidR="00011941" w:rsidRPr="00C47FCF">
        <w:rPr>
          <w:u w:val="single"/>
          <w:lang w:val="ru-RU"/>
        </w:rPr>
        <w:t>пересчитать затронутые активы и обязательства с использованием расчетного текущего</w:t>
      </w:r>
      <w:r w:rsidR="007107A5">
        <w:rPr>
          <w:u w:val="single"/>
          <w:lang w:val="ru-RU"/>
        </w:rPr>
        <w:t xml:space="preserve"> обменного</w:t>
      </w:r>
      <w:r w:rsidR="00011941" w:rsidRPr="00C47FCF">
        <w:rPr>
          <w:u w:val="single"/>
          <w:lang w:val="ru-RU"/>
        </w:rPr>
        <w:t xml:space="preserve"> курса на эту дату;</w:t>
      </w:r>
    </w:p>
    <w:p w14:paraId="391F8681" w14:textId="1AB0AFDC" w:rsidR="00DE4801" w:rsidRPr="00011941" w:rsidRDefault="006669CB">
      <w:pPr>
        <w:pStyle w:val="IASBNormalnparaL2"/>
        <w:rPr>
          <w:lang w:val="ru-RU"/>
        </w:rPr>
      </w:pPr>
      <w:r w:rsidRPr="00011941">
        <w:rPr>
          <w:u w:val="single"/>
          <w:lang w:val="ru-RU"/>
        </w:rPr>
        <w:t>(</w:t>
      </w:r>
      <w:r>
        <w:rPr>
          <w:u w:val="single"/>
        </w:rPr>
        <w:t>ii</w:t>
      </w:r>
      <w:r w:rsidRPr="00011941">
        <w:rPr>
          <w:u w:val="single"/>
          <w:lang w:val="ru-RU"/>
        </w:rPr>
        <w:t>)</w:t>
      </w:r>
      <w:r w:rsidRPr="00011941">
        <w:rPr>
          <w:lang w:val="ru-RU"/>
        </w:rPr>
        <w:tab/>
      </w:r>
      <w:r w:rsidR="00011941" w:rsidRPr="00417F3B">
        <w:rPr>
          <w:u w:val="single"/>
          <w:lang w:val="ru-RU"/>
        </w:rPr>
        <w:t>пересчитать затронутые статьи собственного капитала с использованием расчетного текущего</w:t>
      </w:r>
      <w:r w:rsidR="00011941" w:rsidRPr="00C47FCF">
        <w:rPr>
          <w:u w:val="single"/>
          <w:lang w:val="ru-RU"/>
        </w:rPr>
        <w:t xml:space="preserve"> </w:t>
      </w:r>
      <w:r w:rsidR="00011941">
        <w:rPr>
          <w:u w:val="single"/>
          <w:lang w:val="ru-RU"/>
        </w:rPr>
        <w:t xml:space="preserve">обменного </w:t>
      </w:r>
      <w:r w:rsidR="00011941" w:rsidRPr="00C47FCF">
        <w:rPr>
          <w:u w:val="single"/>
          <w:lang w:val="ru-RU"/>
        </w:rPr>
        <w:t>курса на эту дату, если функциональная валюта организации является валютой гиперинфляционной экономики; и</w:t>
      </w:r>
    </w:p>
    <w:p w14:paraId="0977DF67" w14:textId="69D6F377" w:rsidR="00DE4801" w:rsidRPr="00011941" w:rsidRDefault="006669CB">
      <w:pPr>
        <w:pStyle w:val="IASBNormalnparaL2"/>
        <w:rPr>
          <w:lang w:val="ru-RU"/>
        </w:rPr>
      </w:pPr>
      <w:r w:rsidRPr="00011941">
        <w:rPr>
          <w:u w:val="single"/>
          <w:lang w:val="ru-RU"/>
        </w:rPr>
        <w:t>(</w:t>
      </w:r>
      <w:r>
        <w:rPr>
          <w:u w:val="single"/>
        </w:rPr>
        <w:t>iii</w:t>
      </w:r>
      <w:r w:rsidRPr="00011941">
        <w:rPr>
          <w:u w:val="single"/>
          <w:lang w:val="ru-RU"/>
        </w:rPr>
        <w:t>)</w:t>
      </w:r>
      <w:r w:rsidRPr="00011941">
        <w:rPr>
          <w:lang w:val="ru-RU"/>
        </w:rPr>
        <w:tab/>
      </w:r>
      <w:r w:rsidR="00011941" w:rsidRPr="00C47FCF">
        <w:rPr>
          <w:u w:val="single"/>
          <w:lang w:val="ru-RU"/>
        </w:rPr>
        <w:t xml:space="preserve">признать </w:t>
      </w:r>
      <w:r w:rsidR="00BE4D0D">
        <w:rPr>
          <w:u w:val="single"/>
          <w:lang w:val="ru-RU"/>
        </w:rPr>
        <w:t>эффект от</w:t>
      </w:r>
      <w:r w:rsidR="00BE4D0D" w:rsidRPr="00C47FCF">
        <w:rPr>
          <w:u w:val="single"/>
          <w:lang w:val="ru-RU"/>
        </w:rPr>
        <w:t xml:space="preserve"> </w:t>
      </w:r>
      <w:r w:rsidR="00011941" w:rsidRPr="00C47FCF">
        <w:rPr>
          <w:u w:val="single"/>
          <w:lang w:val="ru-RU"/>
        </w:rPr>
        <w:t xml:space="preserve">первоначального применения поправок </w:t>
      </w:r>
      <w:r w:rsidR="00BE4D0D">
        <w:rPr>
          <w:u w:val="single"/>
          <w:lang w:val="ru-RU"/>
        </w:rPr>
        <w:t>как</w:t>
      </w:r>
      <w:r w:rsidR="00011941" w:rsidRPr="00C47FCF">
        <w:rPr>
          <w:u w:val="single"/>
          <w:lang w:val="ru-RU"/>
        </w:rPr>
        <w:t xml:space="preserve"> корректировк</w:t>
      </w:r>
      <w:r w:rsidR="00BE4D0D">
        <w:rPr>
          <w:u w:val="single"/>
          <w:lang w:val="ru-RU"/>
        </w:rPr>
        <w:t>у</w:t>
      </w:r>
      <w:r w:rsidR="00011941" w:rsidRPr="00C47FCF">
        <w:rPr>
          <w:u w:val="single"/>
          <w:lang w:val="ru-RU"/>
        </w:rPr>
        <w:t xml:space="preserve"> </w:t>
      </w:r>
      <w:r w:rsidR="00380B61">
        <w:rPr>
          <w:u w:val="single"/>
          <w:lang w:val="ru-RU"/>
        </w:rPr>
        <w:t xml:space="preserve">общей </w:t>
      </w:r>
      <w:r w:rsidR="00380B61" w:rsidRPr="00C47FCF">
        <w:rPr>
          <w:u w:val="single"/>
          <w:lang w:val="ru-RU"/>
        </w:rPr>
        <w:t>суммы курсовых разниц</w:t>
      </w:r>
      <w:r w:rsidR="00380B61">
        <w:rPr>
          <w:u w:val="single"/>
          <w:lang w:val="ru-RU"/>
        </w:rPr>
        <w:t>,</w:t>
      </w:r>
      <w:r w:rsidR="00380B61" w:rsidRPr="00C47FCF">
        <w:rPr>
          <w:u w:val="single"/>
          <w:lang w:val="ru-RU"/>
        </w:rPr>
        <w:t xml:space="preserve"> </w:t>
      </w:r>
      <w:r w:rsidR="00011941" w:rsidRPr="00C47FCF">
        <w:rPr>
          <w:u w:val="single"/>
          <w:lang w:val="ru-RU"/>
        </w:rPr>
        <w:t>накопленной в отдельном компоненте собственного капитала.</w:t>
      </w:r>
    </w:p>
    <w:p w14:paraId="56C23268" w14:textId="77777777" w:rsidR="00DE4801" w:rsidRPr="00496F62" w:rsidRDefault="006669CB">
      <w:pPr>
        <w:pStyle w:val="IASBNormalnpara"/>
        <w:rPr>
          <w:lang w:val="ru-RU"/>
        </w:rPr>
      </w:pPr>
      <w:r w:rsidRPr="00011941">
        <w:rPr>
          <w:lang w:val="ru-RU"/>
        </w:rPr>
        <w:tab/>
      </w:r>
      <w:r w:rsidRPr="00496F62">
        <w:rPr>
          <w:lang w:val="ru-RU"/>
        </w:rPr>
        <w:t>...</w:t>
      </w:r>
    </w:p>
    <w:p w14:paraId="73149E43" w14:textId="77777777" w:rsidR="00DE4801" w:rsidRPr="00496F62" w:rsidRDefault="00DE4801">
      <w:pPr>
        <w:rPr>
          <w:lang w:val="ru-RU"/>
        </w:rPr>
        <w:sectPr w:rsidR="00DE4801" w:rsidRPr="00496F62">
          <w:headerReference w:type="even" r:id="rId18"/>
          <w:headerReference w:type="default" r:id="rId19"/>
          <w:footerReference w:type="even" r:id="rId20"/>
          <w:footerReference w:type="default" r:id="rId21"/>
          <w:pgSz w:w="11880" w:h="16820"/>
          <w:pgMar w:top="1440" w:right="1440" w:bottom="1440" w:left="1440" w:header="720" w:footer="720" w:gutter="0"/>
          <w:cols w:space="720"/>
        </w:sectPr>
      </w:pPr>
    </w:p>
    <w:p w14:paraId="7908726A" w14:textId="77777777" w:rsidR="00DE4801" w:rsidRPr="00011941" w:rsidRDefault="00011941">
      <w:pPr>
        <w:pStyle w:val="IASBSectionTitle2NonInd"/>
        <w:rPr>
          <w:lang w:val="ru-RU"/>
        </w:rPr>
      </w:pPr>
      <w:r>
        <w:rPr>
          <w:lang w:val="ru-RU"/>
        </w:rPr>
        <w:t>Приложение</w:t>
      </w:r>
      <w:r w:rsidR="006669CB" w:rsidRPr="00011941">
        <w:rPr>
          <w:lang w:val="ru-RU"/>
        </w:rPr>
        <w:t xml:space="preserve"> </w:t>
      </w:r>
      <w:r w:rsidR="006669CB">
        <w:t>A</w:t>
      </w:r>
      <w:r w:rsidR="006669CB" w:rsidRPr="00011941">
        <w:rPr>
          <w:lang w:val="ru-RU"/>
        </w:rPr>
        <w:br/>
      </w:r>
      <w:r>
        <w:rPr>
          <w:lang w:val="ru-RU"/>
        </w:rPr>
        <w:t>Руководство по применению</w:t>
      </w:r>
    </w:p>
    <w:p w14:paraId="541A32EF" w14:textId="77777777" w:rsidR="00DE4801" w:rsidRPr="00011941" w:rsidRDefault="00011941">
      <w:pPr>
        <w:pStyle w:val="IASBNormal"/>
        <w:rPr>
          <w:lang w:val="ru-RU"/>
        </w:rPr>
      </w:pPr>
      <w:r w:rsidRPr="00011941">
        <w:rPr>
          <w:i/>
          <w:lang w:val="ru-RU"/>
        </w:rPr>
        <w:t>Данное приложение является неотъемлемой частью настоящего стандарта</w:t>
      </w:r>
      <w:r w:rsidR="006669CB" w:rsidRPr="00011941">
        <w:rPr>
          <w:i/>
          <w:lang w:val="ru-RU"/>
        </w:rPr>
        <w:t>.</w:t>
      </w:r>
    </w:p>
    <w:p w14:paraId="0C20E05B" w14:textId="77777777" w:rsidR="00DE4801" w:rsidRPr="00011941" w:rsidRDefault="00011941">
      <w:pPr>
        <w:pStyle w:val="IASBSectionTitle1NonInd"/>
        <w:rPr>
          <w:lang w:val="ru-RU"/>
        </w:rPr>
      </w:pPr>
      <w:r>
        <w:rPr>
          <w:lang w:val="ru-RU"/>
        </w:rPr>
        <w:t>Возможность обмена</w:t>
      </w:r>
    </w:p>
    <w:p w14:paraId="644BBB41" w14:textId="2F0D3449" w:rsidR="00DE4801" w:rsidRPr="00011941" w:rsidRDefault="00417F3B">
      <w:pPr>
        <w:pStyle w:val="IASBNormalnpara"/>
        <w:rPr>
          <w:lang w:val="ru-RU"/>
        </w:rPr>
      </w:pPr>
      <w:r w:rsidRPr="00F63F46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54E901" wp14:editId="6946D599">
                <wp:simplePos x="0" y="0"/>
                <wp:positionH relativeFrom="column">
                  <wp:posOffset>1029970</wp:posOffset>
                </wp:positionH>
                <wp:positionV relativeFrom="paragraph">
                  <wp:posOffset>605790</wp:posOffset>
                </wp:positionV>
                <wp:extent cx="4036060" cy="3220720"/>
                <wp:effectExtent l="0" t="0" r="21590" b="17780"/>
                <wp:wrapTopAndBottom/>
                <wp:docPr id="20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3E1FE3-81A5-282F-295E-D614AE116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060" cy="3220720"/>
                          <a:chOff x="0" y="6526"/>
                          <a:chExt cx="3666673" cy="2243400"/>
                        </a:xfrm>
                      </wpg:grpSpPr>
                      <wpg:grpSp>
                        <wpg:cNvPr id="1260904094" name="Group 1260904094">
                          <a:extLst>
                            <a:ext uri="{FF2B5EF4-FFF2-40B4-BE49-F238E27FC236}">
                              <a16:creationId xmlns:a16="http://schemas.microsoft.com/office/drawing/2014/main" id="{EE1CF079-C47A-3691-E956-9C260F0169CE}"/>
                            </a:ext>
                          </a:extLst>
                        </wpg:cNvPr>
                        <wpg:cNvGrpSpPr/>
                        <wpg:grpSpPr>
                          <a:xfrm>
                            <a:off x="45868" y="18706"/>
                            <a:ext cx="3620805" cy="2231220"/>
                            <a:chOff x="45868" y="18706"/>
                            <a:chExt cx="3620805" cy="2231220"/>
                          </a:xfrm>
                        </wpg:grpSpPr>
                        <wps:wsp>
                          <wps:cNvPr id="1147762090" name="object 4"/>
                          <wps:cNvSpPr txBox="1"/>
                          <wps:spPr>
                            <a:xfrm>
                              <a:off x="85020" y="124197"/>
                              <a:ext cx="1072427" cy="61623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EA3A169" w14:textId="35CB0AD6" w:rsidR="00A94E93" w:rsidRPr="006D213F" w:rsidRDefault="00A94E93" w:rsidP="00F63F46">
                                <w:pPr>
                                  <w:spacing w:before="19" w:line="244" w:lineRule="auto"/>
                                  <w:ind w:left="14" w:right="14"/>
                                  <w:jc w:val="center"/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Возм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оже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н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ли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обмен</w:t>
                                </w:r>
                                <w:r w:rsidR="00776C83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одной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валют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ы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на другую на дату оценки для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конкретной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цели (см. пункты 8, 8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–8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и 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2–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6D213F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6"/>
                                    <w:lang w:val="ru-RU"/>
                                  </w:rPr>
                                  <w:t>10)?</w:t>
                                </w:r>
                              </w:p>
                            </w:txbxContent>
                          </wps:txbx>
                          <wps:bodyPr vert="horz" wrap="square" lIns="0" tIns="12065" rIns="0" bIns="0" rtlCol="0">
                            <a:noAutofit/>
                          </wps:bodyPr>
                        </wps:wsp>
                        <wpg:grpSp>
                          <wpg:cNvPr id="316859867" name="Group 316859867">
                            <a:extLst>
                              <a:ext uri="{FF2B5EF4-FFF2-40B4-BE49-F238E27FC236}">
                                <a16:creationId xmlns:a16="http://schemas.microsoft.com/office/drawing/2014/main" id="{B6BE128C-7438-D7BD-CDB2-8957DCF713D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5868" y="18706"/>
                              <a:ext cx="3620805" cy="2231220"/>
                              <a:chOff x="45868" y="18706"/>
                              <a:chExt cx="3620805" cy="2231220"/>
                            </a:xfrm>
                          </wpg:grpSpPr>
                          <wps:wsp>
                            <wps:cNvPr id="606506221" name="object 2"/>
                            <wps:cNvSpPr txBox="1"/>
                            <wps:spPr>
                              <a:xfrm>
                                <a:off x="2646076" y="18706"/>
                                <a:ext cx="1020597" cy="1018314"/>
                              </a:xfrm>
                              <a:prstGeom prst="rect">
                                <a:avLst/>
                              </a:prstGeom>
                              <a:ln w="12953">
                                <a:solidFill>
                                  <a:srgbClr val="231F20"/>
                                </a:solidFill>
                              </a:ln>
                            </wps:spPr>
                            <wps:txbx>
                              <w:txbxContent>
                                <w:p w14:paraId="15302CD7" w14:textId="40932715" w:rsidR="00A94E93" w:rsidRPr="006D213F" w:rsidRDefault="00A94E93" w:rsidP="00F63F46">
                                  <w:pPr>
                                    <w:spacing w:line="244" w:lineRule="auto"/>
                                    <w:ind w:left="202" w:right="187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6D213F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Этап </w:t>
                                  </w:r>
                                  <w:r w:rsidRPr="006D213F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6D213F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: Оценка на предмет возможности </w:t>
                                  </w:r>
                                  <w:r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обмена </w:t>
                                  </w:r>
                                  <w:r w:rsidR="001B6E63"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>одной валюты на другую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 anchor="ctr" anchorCtr="0">
                              <a:noAutofit/>
                            </wps:bodyPr>
                          </wps:wsp>
                          <wps:wsp>
                            <wps:cNvPr id="1963211543" name="object 3"/>
                            <wps:cNvSpPr txBox="1"/>
                            <wps:spPr>
                              <a:xfrm>
                                <a:off x="2646076" y="1244631"/>
                                <a:ext cx="1019006" cy="1005295"/>
                              </a:xfrm>
                              <a:prstGeom prst="rect">
                                <a:avLst/>
                              </a:prstGeom>
                              <a:ln w="12953">
                                <a:solidFill>
                                  <a:srgbClr val="231F20"/>
                                </a:solidFill>
                              </a:ln>
                            </wps:spPr>
                            <wps:txbx>
                              <w:txbxContent>
                                <w:p w14:paraId="2FDE0BAF" w14:textId="6B2A2D63" w:rsidR="00A94E93" w:rsidRPr="006D213F" w:rsidRDefault="00A94E93" w:rsidP="00F63F46">
                                  <w:pPr>
                                    <w:spacing w:before="1" w:line="244" w:lineRule="auto"/>
                                    <w:ind w:left="158" w:right="144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Этап </w:t>
                                  </w:r>
                                  <w:r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II</w:t>
                                  </w:r>
                                  <w:r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: Расчетная оценка текущего обменного курса, когда возможность обмена </w:t>
                                  </w:r>
                                  <w:r w:rsidR="00776C83"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одной </w:t>
                                  </w:r>
                                  <w:r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>валюты</w:t>
                                  </w:r>
                                  <w:r w:rsidR="001B6E63"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н</w:t>
                                  </w:r>
                                  <w:r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а </w:t>
                                  </w:r>
                                  <w:r w:rsidR="001B6E63" w:rsidRPr="00776C8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>другую</w:t>
                                  </w:r>
                                  <w:r w:rsidR="001B6E63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отсутствует 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 anchor="ctr" anchorCtr="0">
                              <a:noAutofit/>
                            </wps:bodyPr>
                          </wps:wsp>
                          <wps:wsp>
                            <wps:cNvPr id="2011484842" name="object 5"/>
                            <wps:cNvSpPr/>
                            <wps:spPr>
                              <a:xfrm>
                                <a:off x="45868" y="93074"/>
                                <a:ext cx="1172627" cy="864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3475" h="987425">
                                    <a:moveTo>
                                      <a:pt x="0" y="986904"/>
                                    </a:moveTo>
                                    <a:lnTo>
                                      <a:pt x="1133017" y="986904"/>
                                    </a:lnTo>
                                    <a:lnTo>
                                      <a:pt x="11330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86904"/>
                                    </a:lnTo>
                                    <a:close/>
                                  </a:path>
                                </a:pathLst>
                              </a:custGeom>
                              <a:ln w="12954">
                                <a:solidFill>
                                  <a:srgbClr val="231F20"/>
                                </a:solidFill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49812060" name="object 6"/>
                            <wps:cNvSpPr txBox="1"/>
                            <wps:spPr>
                              <a:xfrm>
                                <a:off x="85020" y="1317127"/>
                                <a:ext cx="2380222" cy="751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DDDE"/>
                              </a:solidFill>
                            </wps:spPr>
                            <wps:txbx>
                              <w:txbxContent>
                                <w:p w14:paraId="7E81F392" w14:textId="1E8EB4B1" w:rsidR="00A94E93" w:rsidRPr="006D213F" w:rsidRDefault="00A94E93" w:rsidP="006D213F">
                                  <w:pPr>
                                    <w:tabs>
                                      <w:tab w:val="left" w:pos="404"/>
                                    </w:tabs>
                                    <w:spacing w:line="244" w:lineRule="auto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6D213F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На дату оценки </w:t>
                                  </w:r>
                                  <w:r w:rsidRPr="006D213F" w:rsidDel="00380B61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определить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расчетным путем </w:t>
                                  </w:r>
                                  <w:r w:rsidRPr="006D213F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>текущий обменный курс, который соответствует цели в пункте 19А</w:t>
                                  </w:r>
                                  <w:r w:rsidR="004F67E1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>,</w:t>
                                  </w:r>
                                  <w:r w:rsidRPr="006D213F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с использованием</w:t>
                                  </w:r>
                                  <w:r w:rsidRPr="001803CA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  <w:t>:</w:t>
                                  </w:r>
                                </w:p>
                                <w:p w14:paraId="5A6A2F22" w14:textId="3963E63B" w:rsidR="00A94E93" w:rsidRPr="006D213F" w:rsidRDefault="00A94E93" w:rsidP="006D213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04"/>
                                    </w:tabs>
                                    <w:spacing w:line="244" w:lineRule="auto"/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 xml:space="preserve">либо 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наблюдаем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ого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 xml:space="preserve"> обменн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ого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 xml:space="preserve"> курс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а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 xml:space="preserve"> без корректировки (см. пункты 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11–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eastAsia="en-US"/>
                                    </w:rPr>
                                    <w:t>A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16);</w:t>
                                  </w:r>
                                </w:p>
                                <w:p w14:paraId="369F1860" w14:textId="2853BD9A" w:rsidR="00A94E93" w:rsidRPr="006D213F" w:rsidRDefault="00A94E93" w:rsidP="006D213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04"/>
                                    </w:tabs>
                                    <w:spacing w:line="244" w:lineRule="auto"/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 xml:space="preserve">либо 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друго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го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 xml:space="preserve"> метод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>а</w:t>
                                  </w:r>
                                  <w:r w:rsidRPr="006D213F">
                                    <w:rPr>
                                      <w:rFonts w:ascii="Arial" w:eastAsia="Times New Roman" w:hAnsi="Arial" w:cs="Arial"/>
                                      <w:color w:val="231F20"/>
                                      <w:sz w:val="16"/>
                                      <w:szCs w:val="16"/>
                                      <w:lang w:val="ru-RU" w:eastAsia="en-US"/>
                                    </w:rPr>
                                    <w:t xml:space="preserve"> расчетной оценки (см. пункт А17).</w:t>
                                  </w:r>
                                </w:p>
                              </w:txbxContent>
                            </wps:txbx>
                            <wps:bodyPr vert="horz" wrap="square" lIns="0" tIns="66675" rIns="0" bIns="0" rtlCol="0">
                              <a:noAutofit/>
                            </wps:bodyPr>
                          </wps:wsp>
                          <wps:wsp>
                            <wps:cNvPr id="1656357639" name="object 7"/>
                            <wps:cNvSpPr txBox="1"/>
                            <wps:spPr>
                              <a:xfrm>
                                <a:off x="1564595" y="385558"/>
                                <a:ext cx="960623" cy="397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DDDE"/>
                              </a:solidFill>
                            </wps:spPr>
                            <wps:txbx>
                              <w:txbxContent>
                                <w:p w14:paraId="3A7DB15B" w14:textId="6C59E1D5" w:rsidR="00A94E93" w:rsidRPr="002268BB" w:rsidRDefault="00A94E93" w:rsidP="00F63F46">
                                  <w:pPr>
                                    <w:spacing w:line="244" w:lineRule="auto"/>
                                    <w:ind w:left="144" w:right="130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268BB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>Примен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>ить</w:t>
                                  </w:r>
                                  <w:r w:rsidRPr="002268BB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соответствующи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>е</w:t>
                                  </w:r>
                                  <w:r w:rsidRPr="002268BB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требовани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>я</w:t>
                                  </w:r>
                                  <w:r w:rsidRPr="002268BB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МСФО (</w:t>
                                  </w:r>
                                  <w:r w:rsidRPr="002268BB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IAS</w:t>
                                  </w:r>
                                  <w:r w:rsidRPr="002268BB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>) 21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  <wps:wsp>
                            <wps:cNvPr id="501611792" name="object 9"/>
                            <wps:cNvSpPr/>
                            <wps:spPr>
                              <a:xfrm flipH="1">
                                <a:off x="643136" y="957249"/>
                                <a:ext cx="41529" cy="4829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356234">
                                    <a:moveTo>
                                      <a:pt x="0" y="0"/>
                                    </a:moveTo>
                                    <a:lnTo>
                                      <a:pt x="0" y="355803"/>
                                    </a:lnTo>
                                  </a:path>
                                </a:pathLst>
                              </a:custGeom>
                              <a:ln w="12954">
                                <a:solidFill>
                                  <a:srgbClr val="231F20"/>
                                </a:solidFill>
                                <a:tailEnd type="triangle"/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1841848470" name="object 11"/>
                            <wps:cNvSpPr txBox="1"/>
                            <wps:spPr>
                              <a:xfrm>
                                <a:off x="724038" y="1074570"/>
                                <a:ext cx="261295" cy="1221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5A12B" w14:textId="77777777" w:rsidR="00A94E93" w:rsidRPr="00011941" w:rsidRDefault="00A94E93" w:rsidP="00F63F46">
                                  <w:pPr>
                                    <w:spacing w:before="23"/>
                                    <w:ind w:left="14"/>
                                    <w:rPr>
                                      <w:rFonts w:ascii="Arial" w:hAnsi="Arial" w:cs="Arial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vert="horz" wrap="square" lIns="0" tIns="14604" rIns="0" bIns="0" rtlCol="0">
                              <a:noAutofit/>
                            </wps:bodyPr>
                          </wps:wsp>
                          <wps:wsp>
                            <wps:cNvPr id="1836266710" name="object 13"/>
                            <wps:cNvSpPr/>
                            <wps:spPr>
                              <a:xfrm flipV="1">
                                <a:off x="1211556" y="433599"/>
                                <a:ext cx="353039" cy="15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5444">
                                    <a:moveTo>
                                      <a:pt x="0" y="0"/>
                                    </a:moveTo>
                                    <a:lnTo>
                                      <a:pt x="384975" y="0"/>
                                    </a:lnTo>
                                  </a:path>
                                </a:pathLst>
                              </a:custGeom>
                              <a:ln w="12954">
                                <a:solidFill>
                                  <a:srgbClr val="231F20"/>
                                </a:solidFill>
                                <a:round/>
                                <a:tailEnd type="triangle"/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103947664" name="object 15"/>
                            <wps:cNvSpPr txBox="1"/>
                            <wps:spPr>
                              <a:xfrm>
                                <a:off x="1323389" y="385558"/>
                                <a:ext cx="188064" cy="12218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79894" w14:textId="77777777" w:rsidR="00A94E93" w:rsidRPr="00011941" w:rsidRDefault="00A94E93" w:rsidP="00F63F46">
                                  <w:pPr>
                                    <w:spacing w:before="23"/>
                                    <w:ind w:left="14"/>
                                    <w:rPr>
                                      <w:rFonts w:ascii="Arial" w:hAnsi="Arial" w:cs="Arial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vert="horz" wrap="square" lIns="0" tIns="14604" rIns="0" bIns="0" rtlCol="0">
                              <a:noAutofit/>
                            </wps:bodyPr>
                          </wps:wsp>
                        </wpg:grpSp>
                      </wpg:grpSp>
                      <wps:wsp>
                        <wps:cNvPr id="1052302526" name="Rectangle 1052302526">
                          <a:extLst>
                            <a:ext uri="{FF2B5EF4-FFF2-40B4-BE49-F238E27FC236}">
                              <a16:creationId xmlns:a16="http://schemas.microsoft.com/office/drawing/2014/main" id="{022FECEB-F783-FBFF-74BC-9C069BCBBDDD}"/>
                            </a:ext>
                          </a:extLst>
                        </wps:cNvPr>
                        <wps:cNvSpPr/>
                        <wps:spPr>
                          <a:xfrm>
                            <a:off x="4477" y="6526"/>
                            <a:ext cx="2559011" cy="1030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00236350" name="Rectangle 200236350">
                          <a:extLst>
                            <a:ext uri="{FF2B5EF4-FFF2-40B4-BE49-F238E27FC236}">
                              <a16:creationId xmlns:a16="http://schemas.microsoft.com/office/drawing/2014/main" id="{F3F72863-2960-AFBF-96E8-028DE3E0070C}"/>
                            </a:ext>
                          </a:extLst>
                        </wps:cNvPr>
                        <wps:cNvSpPr/>
                        <wps:spPr>
                          <a:xfrm>
                            <a:off x="0" y="1260839"/>
                            <a:ext cx="2563488" cy="9890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4E901" id="Group 20" o:spid="_x0000_s1026" style="position:absolute;left:0;text-align:left;margin-left:81.1pt;margin-top:47.7pt;width:317.8pt;height:253.6pt;z-index:251659264;mso-width-relative:margin;mso-height-relative:margin" coordorigin=",65" coordsize="36666,2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">
                <v:group id="Group 1260904094" o:spid="_x0000_s1027" style="position:absolute;left:458;top:187;width:36208;height:22312" coordorigin="458,187" coordsize="36208,2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object 4" o:spid="_x0000_s1028" type="#_x0000_t202" style="position:absolute;left:850;top:1241;width:10724;height:6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" filled="f" stroked="f">
                    <v:textbox inset="0,.95pt,0,0">
                      <w:txbxContent>
                        <w:p w14:paraId="7EA3A169" w14:textId="35CB0AD6" w:rsidR="00A94E93" w:rsidRPr="006D213F" w:rsidRDefault="00A94E93" w:rsidP="00F63F46">
                          <w:pPr>
                            <w:spacing w:before="19" w:line="244" w:lineRule="auto"/>
                            <w:ind w:left="14" w:right="14"/>
                            <w:jc w:val="center"/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Возм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оже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 xml:space="preserve"> ли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обмен</w:t>
                          </w:r>
                          <w:r w:rsidR="00776C83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 xml:space="preserve"> одной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валют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ы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 xml:space="preserve"> на другую на дату оценки для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конкретной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 xml:space="preserve"> цели (см. пункты 8, 8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A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–8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B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 xml:space="preserve"> и 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A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2–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A</w:t>
                          </w:r>
                          <w:r w:rsidRPr="006D213F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  <w:lang w:val="ru-RU"/>
                            </w:rPr>
                            <w:t>10)?</w:t>
                          </w:r>
                        </w:p>
                      </w:txbxContent>
                    </v:textbox>
                  </v:shape>
                  <v:group id="Group 316859867" o:spid="_x0000_s1029" style="position:absolute;left:458;top:187;width:36208;height:22312" coordorigin="458,187" coordsize="36208,2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">
                    <v:shape id="object 2" o:spid="_x0000_s1030" type="#_x0000_t202" style="position:absolute;left:26460;top:187;width:10206;height:10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" filled="f" strokecolor="#231f20" strokeweight=".35981mm">
                      <v:textbox inset="0,0,0,0">
                        <w:txbxContent>
                          <w:p w14:paraId="15302CD7" w14:textId="40932715" w:rsidR="00A94E93" w:rsidRPr="006D213F" w:rsidRDefault="00A94E93" w:rsidP="00F63F46">
                            <w:pPr>
                              <w:spacing w:line="244" w:lineRule="auto"/>
                              <w:ind w:left="202" w:right="187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D213F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Этап </w:t>
                            </w:r>
                            <w:r w:rsidRPr="006D213F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I</w:t>
                            </w:r>
                            <w:r w:rsidRPr="006D213F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: Оценка на предмет возможности </w:t>
                            </w:r>
                            <w:r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обмена </w:t>
                            </w:r>
                            <w:r w:rsidR="001B6E63"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>одной валюты на другую</w:t>
                            </w:r>
                          </w:p>
                        </w:txbxContent>
                      </v:textbox>
                    </v:shape>
                    <v:shape id="object 3" o:spid="_x0000_s1031" type="#_x0000_t202" style="position:absolute;left:26460;top:12446;width:10190;height:10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" filled="f" strokecolor="#231f20" strokeweight=".35981mm">
                      <v:textbox inset="0,0,0,0">
                        <w:txbxContent>
                          <w:p w14:paraId="2FDE0BAF" w14:textId="6B2A2D63" w:rsidR="00A94E93" w:rsidRPr="006D213F" w:rsidRDefault="00A94E93" w:rsidP="00F63F46">
                            <w:pPr>
                              <w:spacing w:before="1" w:line="244" w:lineRule="auto"/>
                              <w:ind w:left="158" w:right="144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Этап </w:t>
                            </w:r>
                            <w:r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II</w:t>
                            </w:r>
                            <w:r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: Расчетная оценка текущего обменного курса, когда возможность обмена </w:t>
                            </w:r>
                            <w:r w:rsidR="00776C83"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одной </w:t>
                            </w:r>
                            <w:r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>валюты</w:t>
                            </w:r>
                            <w:r w:rsidR="001B6E63"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 н</w:t>
                            </w:r>
                            <w:r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а </w:t>
                            </w:r>
                            <w:r w:rsidR="001B6E63" w:rsidRPr="00776C8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>другую</w:t>
                            </w:r>
                            <w:r w:rsidR="001B6E63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отсутствует </w:t>
                            </w:r>
                          </w:p>
                        </w:txbxContent>
                      </v:textbox>
                    </v:shape>
                    <v:shape id="object 5" o:spid="_x0000_s1032" style="position:absolute;left:458;top:930;width:11726;height:8642;visibility:visible;mso-wrap-style:square;v-text-anchor:top" coordsize="1133475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" path="m,986904r1133017,l1133017,,,,,986904xe" filled="f" strokecolor="#231f20" strokeweight="1.02pt">
                      <v:path arrowok="t"/>
                    </v:shape>
                    <v:shape id="object 6" o:spid="_x0000_s1033" type="#_x0000_t202" style="position:absolute;left:850;top:13171;width:23802;height:7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" fillcolor="#dcddde" stroked="f">
                      <v:textbox inset="0,5.25pt,0,0">
                        <w:txbxContent>
                          <w:p w14:paraId="7E81F392" w14:textId="1E8EB4B1" w:rsidR="00A94E93" w:rsidRPr="006D213F" w:rsidRDefault="00A94E93" w:rsidP="006D213F">
                            <w:pPr>
                              <w:tabs>
                                <w:tab w:val="left" w:pos="404"/>
                              </w:tabs>
                              <w:spacing w:line="244" w:lineRule="auto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D213F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На дату оценки </w:t>
                            </w:r>
                            <w:r w:rsidRPr="006D213F" w:rsidDel="00380B61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определить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расчетным путем </w:t>
                            </w:r>
                            <w:r w:rsidRPr="006D213F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>текущий обменный курс, который соответствует цели в пункте 19А</w:t>
                            </w:r>
                            <w:r w:rsidR="004F67E1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>,</w:t>
                            </w:r>
                            <w:r w:rsidRPr="006D213F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 xml:space="preserve"> с использованием</w:t>
                            </w:r>
                            <w:r w:rsidRPr="001803CA"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  <w:t>:</w:t>
                            </w:r>
                          </w:p>
                          <w:p w14:paraId="5A6A2F22" w14:textId="3963E63B" w:rsidR="00A94E93" w:rsidRPr="006D213F" w:rsidRDefault="00A94E93" w:rsidP="006D213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4"/>
                              </w:tabs>
                              <w:spacing w:line="244" w:lineRule="auto"/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 xml:space="preserve">либо 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наблюдаем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ого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 xml:space="preserve"> обменн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ого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 xml:space="preserve"> курс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а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 xml:space="preserve"> без корректировки (см. пункты 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11–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16);</w:t>
                            </w:r>
                          </w:p>
                          <w:p w14:paraId="369F1860" w14:textId="2853BD9A" w:rsidR="00A94E93" w:rsidRPr="006D213F" w:rsidRDefault="00A94E93" w:rsidP="006D213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04"/>
                              </w:tabs>
                              <w:spacing w:line="244" w:lineRule="auto"/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 xml:space="preserve">либо 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друго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го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 xml:space="preserve"> метод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>а</w:t>
                            </w:r>
                            <w:r w:rsidRPr="006D213F">
                              <w:rPr>
                                <w:rFonts w:ascii="Arial" w:eastAsia="Times New Roman" w:hAnsi="Arial" w:cs="Arial"/>
                                <w:color w:val="231F20"/>
                                <w:sz w:val="16"/>
                                <w:szCs w:val="16"/>
                                <w:lang w:val="ru-RU" w:eastAsia="en-US"/>
                              </w:rPr>
                              <w:t xml:space="preserve"> расчетной оценки (см. пункт А17).</w:t>
                            </w:r>
                          </w:p>
                        </w:txbxContent>
                      </v:textbox>
                    </v:shape>
                    <v:shape id="object 7" o:spid="_x0000_s1034" type="#_x0000_t202" style="position:absolute;left:15645;top:3855;width:9607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" fillcolor="#dcddde" stroked="f">
                      <v:textbox inset="0,0,0,0">
                        <w:txbxContent>
                          <w:p w14:paraId="3A7DB15B" w14:textId="6C59E1D5" w:rsidR="00A94E93" w:rsidRPr="002268BB" w:rsidRDefault="00A94E93" w:rsidP="00F63F46">
                            <w:pPr>
                              <w:spacing w:line="244" w:lineRule="auto"/>
                              <w:ind w:left="144" w:right="130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268BB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>Примен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>ить</w:t>
                            </w:r>
                            <w:r w:rsidRPr="002268BB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соответствующи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>е</w:t>
                            </w:r>
                            <w:r w:rsidRPr="002268BB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требовани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>я</w:t>
                            </w:r>
                            <w:r w:rsidRPr="002268BB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МСФО (</w:t>
                            </w:r>
                            <w:r w:rsidRPr="002268BB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IAS</w:t>
                            </w:r>
                            <w:r w:rsidRPr="002268BB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>) 21</w:t>
                            </w:r>
                          </w:p>
                        </w:txbxContent>
                      </v:textbox>
                    </v:shape>
                    <v:shape id="object 9" o:spid="_x0000_s1035" style="position:absolute;left:6431;top:9572;width:415;height:4830;flip:x;visibility:visible;mso-wrap-style:square;v-text-anchor:top" coordsize="41529,35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" path="m,l,355803e" filled="f" strokecolor="#231f20" strokeweight="1.02pt">
                      <v:stroke endarrow="block"/>
                      <v:path arrowok="t"/>
                    </v:shape>
                    <v:shape id="object 11" o:spid="_x0000_s1036" type="#_x0000_t202" style="position:absolute;left:7240;top:10745;width:2613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" filled="f" stroked="f">
                      <v:textbox inset="0,.40567mm,0,0">
                        <w:txbxContent>
                          <w:p w14:paraId="2AB5A12B" w14:textId="77777777" w:rsidR="00A94E93" w:rsidRPr="00011941" w:rsidRDefault="00A94E93" w:rsidP="00F63F46">
                            <w:pPr>
                              <w:spacing w:before="23"/>
                              <w:ind w:left="14"/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  <v:shape id="object 13" o:spid="_x0000_s1037" style="position:absolute;left:12115;top:4335;width:3530;height:1530;flip:y;visibility:visible;mso-wrap-style:square;v-text-anchor:top" coordsize="385444,15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" path="m,l384975,e" filled="f" strokecolor="#231f20" strokeweight="1.02pt">
                      <v:stroke endarrow="block"/>
                      <v:path arrowok="t"/>
                    </v:shape>
                    <v:shape id="object 15" o:spid="_x0000_s1038" type="#_x0000_t202" style="position:absolute;left:13233;top:3855;width:1881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" filled="f" stroked="f">
                      <v:textbox inset="0,.40567mm,0,0">
                        <w:txbxContent>
                          <w:p w14:paraId="08C79894" w14:textId="77777777" w:rsidR="00A94E93" w:rsidRPr="00011941" w:rsidRDefault="00A94E93" w:rsidP="00F63F46">
                            <w:pPr>
                              <w:spacing w:before="23"/>
                              <w:ind w:left="14"/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v:group>
                </v:group>
                <v:rect id="Rectangle 1052302526" o:spid="_x0000_s1039" style="position:absolute;left:44;top:65;width:25590;height:10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" filled="f" strokecolor="#09101d [484]" strokeweight="1pt">
                  <v:stroke dashstyle="dashDot"/>
                </v:rect>
                <v:rect id="Rectangle 200236350" o:spid="_x0000_s1040" style="position:absolute;top:12608;width:25634;height:9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" filled="f" strokecolor="#09101d [484]" strokeweight="1pt">
                  <v:stroke dashstyle="dashDot"/>
                </v:rect>
                <w10:wrap type="topAndBottom"/>
              </v:group>
            </w:pict>
          </mc:Fallback>
        </mc:AlternateContent>
      </w:r>
      <w:r w:rsidR="006669CB">
        <w:t>A</w:t>
      </w:r>
      <w:r w:rsidR="006669CB" w:rsidRPr="00011941">
        <w:rPr>
          <w:lang w:val="ru-RU"/>
        </w:rPr>
        <w:t>1</w:t>
      </w:r>
      <w:r w:rsidR="006669CB" w:rsidRPr="00011941">
        <w:rPr>
          <w:lang w:val="ru-RU"/>
        </w:rPr>
        <w:tab/>
      </w:r>
      <w:r w:rsidR="00011941" w:rsidRPr="00A2121D">
        <w:rPr>
          <w:lang w:val="ru-RU"/>
        </w:rPr>
        <w:t xml:space="preserve">Ниже представлена схема, с помощью которой организации смогут оценить, </w:t>
      </w:r>
      <w:r w:rsidR="00380B61">
        <w:rPr>
          <w:lang w:val="ru-RU"/>
        </w:rPr>
        <w:t xml:space="preserve">возможен ли обмен </w:t>
      </w:r>
      <w:r w:rsidR="00011941" w:rsidRPr="001B6E63">
        <w:rPr>
          <w:lang w:val="ru-RU"/>
        </w:rPr>
        <w:t>валют</w:t>
      </w:r>
      <w:r w:rsidR="00380B61" w:rsidRPr="001B6E63">
        <w:rPr>
          <w:lang w:val="ru-RU"/>
        </w:rPr>
        <w:t>ы</w:t>
      </w:r>
      <w:r w:rsidR="00011941" w:rsidRPr="001B6E63">
        <w:rPr>
          <w:lang w:val="ru-RU"/>
        </w:rPr>
        <w:t>, и определить</w:t>
      </w:r>
      <w:r w:rsidRPr="001B6E63">
        <w:rPr>
          <w:lang w:val="ru-RU"/>
        </w:rPr>
        <w:t xml:space="preserve"> </w:t>
      </w:r>
      <w:r w:rsidR="00380B61" w:rsidRPr="001B6E63">
        <w:rPr>
          <w:lang w:val="ru-RU"/>
        </w:rPr>
        <w:t>расчетным</w:t>
      </w:r>
      <w:r w:rsidR="00380B61">
        <w:rPr>
          <w:lang w:val="ru-RU"/>
        </w:rPr>
        <w:t xml:space="preserve"> путем </w:t>
      </w:r>
      <w:r w:rsidR="00011941" w:rsidRPr="00A2121D">
        <w:rPr>
          <w:lang w:val="ru-RU"/>
        </w:rPr>
        <w:t xml:space="preserve">текущий обменный курс, когда </w:t>
      </w:r>
      <w:r w:rsidR="00380B61">
        <w:rPr>
          <w:lang w:val="ru-RU"/>
        </w:rPr>
        <w:t xml:space="preserve">возможность обмена </w:t>
      </w:r>
      <w:r w:rsidR="00011941" w:rsidRPr="00A2121D">
        <w:rPr>
          <w:lang w:val="ru-RU"/>
        </w:rPr>
        <w:t>валют</w:t>
      </w:r>
      <w:r w:rsidR="00380B61">
        <w:rPr>
          <w:lang w:val="ru-RU"/>
        </w:rPr>
        <w:t>ы отсутствует</w:t>
      </w:r>
      <w:r w:rsidR="006669CB" w:rsidRPr="00011941">
        <w:rPr>
          <w:lang w:val="ru-RU"/>
        </w:rPr>
        <w:t>.</w:t>
      </w:r>
    </w:p>
    <w:p w14:paraId="7B95128C" w14:textId="69B9FDFF" w:rsidR="00DE4801" w:rsidRPr="006D213F" w:rsidRDefault="006D213F" w:rsidP="00417F3B">
      <w:pPr>
        <w:pStyle w:val="IASBSectionTitle2Ind"/>
        <w:rPr>
          <w:lang w:val="ru-RU"/>
        </w:rPr>
      </w:pPr>
      <w:r>
        <w:rPr>
          <w:lang w:val="ru-RU"/>
        </w:rPr>
        <w:lastRenderedPageBreak/>
        <w:t xml:space="preserve">Этап </w:t>
      </w:r>
      <w:r>
        <w:t>I</w:t>
      </w:r>
      <w:r w:rsidRPr="00B07BB7">
        <w:rPr>
          <w:lang w:val="ru-RU"/>
        </w:rPr>
        <w:t xml:space="preserve">: Оценка на предмет возможности обмена </w:t>
      </w:r>
      <w:r w:rsidR="008975E9">
        <w:rPr>
          <w:lang w:val="ru-RU"/>
        </w:rPr>
        <w:t xml:space="preserve">одной </w:t>
      </w:r>
      <w:r w:rsidRPr="00B07BB7">
        <w:rPr>
          <w:lang w:val="ru-RU"/>
        </w:rPr>
        <w:t xml:space="preserve">валюты </w:t>
      </w:r>
      <w:r w:rsidR="008975E9">
        <w:rPr>
          <w:lang w:val="ru-RU"/>
        </w:rPr>
        <w:t xml:space="preserve">на другую </w:t>
      </w:r>
      <w:r w:rsidRPr="00B07BB7">
        <w:rPr>
          <w:lang w:val="ru-RU"/>
        </w:rPr>
        <w:t>(пункты 8 и 8А–8В)</w:t>
      </w:r>
    </w:p>
    <w:p w14:paraId="20F5910D" w14:textId="771B347D" w:rsidR="00DE4801" w:rsidRPr="006D213F" w:rsidRDefault="006669CB">
      <w:pPr>
        <w:pStyle w:val="IASBNormalnpara"/>
        <w:rPr>
          <w:lang w:val="ru-RU"/>
        </w:rPr>
      </w:pPr>
      <w:r>
        <w:t>A</w:t>
      </w:r>
      <w:r w:rsidRPr="006D213F">
        <w:rPr>
          <w:lang w:val="ru-RU"/>
        </w:rPr>
        <w:t>2</w:t>
      </w:r>
      <w:r w:rsidRPr="006D213F">
        <w:rPr>
          <w:lang w:val="ru-RU"/>
        </w:rPr>
        <w:tab/>
      </w:r>
      <w:r w:rsidR="006D213F" w:rsidRPr="00B07BB7">
        <w:rPr>
          <w:lang w:val="ru-RU"/>
        </w:rPr>
        <w:t>В пунктах A3–A10 представлено руководство по применению, помогающее организаци</w:t>
      </w:r>
      <w:r w:rsidR="00F65423">
        <w:rPr>
          <w:lang w:val="ru-RU"/>
        </w:rPr>
        <w:t>и</w:t>
      </w:r>
      <w:r w:rsidR="006D213F" w:rsidRPr="00B07BB7">
        <w:rPr>
          <w:lang w:val="ru-RU"/>
        </w:rPr>
        <w:t xml:space="preserve"> оценить</w:t>
      </w:r>
      <w:r w:rsidR="00676BBD">
        <w:rPr>
          <w:lang w:val="ru-RU"/>
        </w:rPr>
        <w:t>,</w:t>
      </w:r>
      <w:r w:rsidR="006D213F" w:rsidRPr="00B07BB7">
        <w:rPr>
          <w:lang w:val="ru-RU"/>
        </w:rPr>
        <w:t xml:space="preserve"> </w:t>
      </w:r>
      <w:r w:rsidR="00A94E93">
        <w:rPr>
          <w:lang w:val="ru-RU"/>
        </w:rPr>
        <w:t>воз</w:t>
      </w:r>
      <w:r w:rsidR="00676BBD" w:rsidRPr="00676BBD">
        <w:rPr>
          <w:lang w:val="ru-RU"/>
        </w:rPr>
        <w:t>може</w:t>
      </w:r>
      <w:r w:rsidR="00A94E93">
        <w:rPr>
          <w:lang w:val="ru-RU"/>
        </w:rPr>
        <w:t>н</w:t>
      </w:r>
      <w:r w:rsidR="00676BBD" w:rsidRPr="00676BBD">
        <w:rPr>
          <w:lang w:val="ru-RU"/>
        </w:rPr>
        <w:t xml:space="preserve"> </w:t>
      </w:r>
      <w:r w:rsidR="00676BBD">
        <w:rPr>
          <w:lang w:val="ru-RU"/>
        </w:rPr>
        <w:t xml:space="preserve">ли </w:t>
      </w:r>
      <w:r w:rsidR="00A94E93">
        <w:rPr>
          <w:lang w:val="ru-RU"/>
        </w:rPr>
        <w:t xml:space="preserve">обмен </w:t>
      </w:r>
      <w:r w:rsidR="00676BBD">
        <w:rPr>
          <w:lang w:val="ru-RU"/>
        </w:rPr>
        <w:t>одн</w:t>
      </w:r>
      <w:r w:rsidR="00A94E93">
        <w:rPr>
          <w:lang w:val="ru-RU"/>
        </w:rPr>
        <w:t>ой</w:t>
      </w:r>
      <w:r w:rsidR="00676BBD">
        <w:rPr>
          <w:lang w:val="ru-RU"/>
        </w:rPr>
        <w:t xml:space="preserve"> валют</w:t>
      </w:r>
      <w:r w:rsidR="00A94E93">
        <w:rPr>
          <w:lang w:val="ru-RU"/>
        </w:rPr>
        <w:t>ы</w:t>
      </w:r>
      <w:r w:rsidR="00676BBD">
        <w:rPr>
          <w:lang w:val="ru-RU"/>
        </w:rPr>
        <w:t xml:space="preserve"> </w:t>
      </w:r>
      <w:r w:rsidR="00676BBD" w:rsidRPr="00676BBD">
        <w:rPr>
          <w:lang w:val="ru-RU"/>
        </w:rPr>
        <w:t>на другую валюту</w:t>
      </w:r>
      <w:r w:rsidR="006D213F" w:rsidRPr="00B07BB7">
        <w:rPr>
          <w:lang w:val="ru-RU"/>
        </w:rPr>
        <w:t xml:space="preserve">. </w:t>
      </w:r>
      <w:r w:rsidR="00A94E93">
        <w:rPr>
          <w:lang w:val="ru-RU"/>
        </w:rPr>
        <w:t>Возможна ситуация, когда о</w:t>
      </w:r>
      <w:r w:rsidR="006D213F" w:rsidRPr="00B07BB7">
        <w:rPr>
          <w:lang w:val="ru-RU"/>
        </w:rPr>
        <w:t xml:space="preserve">рганизация установит, что </w:t>
      </w:r>
      <w:r w:rsidR="00A94E93">
        <w:rPr>
          <w:lang w:val="ru-RU"/>
        </w:rPr>
        <w:t xml:space="preserve">одну </w:t>
      </w:r>
      <w:r w:rsidR="006D213F" w:rsidRPr="00B07BB7">
        <w:rPr>
          <w:lang w:val="ru-RU"/>
        </w:rPr>
        <w:t>валют</w:t>
      </w:r>
      <w:r w:rsidR="00A94E93">
        <w:rPr>
          <w:lang w:val="ru-RU"/>
        </w:rPr>
        <w:t>у</w:t>
      </w:r>
      <w:r w:rsidR="006D213F" w:rsidRPr="00B07BB7">
        <w:rPr>
          <w:lang w:val="ru-RU"/>
        </w:rPr>
        <w:t xml:space="preserve"> не</w:t>
      </w:r>
      <w:r w:rsidR="00A94E93">
        <w:rPr>
          <w:lang w:val="ru-RU"/>
        </w:rPr>
        <w:t xml:space="preserve">возможно </w:t>
      </w:r>
      <w:r w:rsidR="006D213F" w:rsidRPr="00B07BB7">
        <w:rPr>
          <w:lang w:val="ru-RU"/>
        </w:rPr>
        <w:t>обмен</w:t>
      </w:r>
      <w:r w:rsidR="00A94E93">
        <w:rPr>
          <w:lang w:val="ru-RU"/>
        </w:rPr>
        <w:t>ять</w:t>
      </w:r>
      <w:r w:rsidR="006D213F" w:rsidRPr="00B07BB7">
        <w:rPr>
          <w:lang w:val="ru-RU"/>
        </w:rPr>
        <w:t xml:space="preserve"> на другую валюту, </w:t>
      </w:r>
      <w:r w:rsidR="00A94E93">
        <w:rPr>
          <w:lang w:val="ru-RU"/>
        </w:rPr>
        <w:t>хотя существует</w:t>
      </w:r>
      <w:r w:rsidR="006D213F" w:rsidRPr="00B07BB7">
        <w:rPr>
          <w:lang w:val="ru-RU"/>
        </w:rPr>
        <w:t xml:space="preserve"> </w:t>
      </w:r>
      <w:r w:rsidR="00A94E93">
        <w:rPr>
          <w:lang w:val="ru-RU"/>
        </w:rPr>
        <w:t>возможность обмена указанной</w:t>
      </w:r>
      <w:r w:rsidR="006D213F" w:rsidRPr="00B07BB7">
        <w:rPr>
          <w:lang w:val="ru-RU"/>
        </w:rPr>
        <w:t xml:space="preserve"> друг</w:t>
      </w:r>
      <w:r w:rsidR="00A94E93">
        <w:rPr>
          <w:lang w:val="ru-RU"/>
        </w:rPr>
        <w:t>ой</w:t>
      </w:r>
      <w:r w:rsidR="006D213F" w:rsidRPr="00B07BB7">
        <w:rPr>
          <w:lang w:val="ru-RU"/>
        </w:rPr>
        <w:t xml:space="preserve"> валют</w:t>
      </w:r>
      <w:r w:rsidR="00A94E93">
        <w:rPr>
          <w:lang w:val="ru-RU"/>
        </w:rPr>
        <w:t>ы</w:t>
      </w:r>
      <w:r w:rsidR="006D213F" w:rsidRPr="00B07BB7">
        <w:rPr>
          <w:lang w:val="ru-RU"/>
        </w:rPr>
        <w:t xml:space="preserve"> в обратном направлении. Например, </w:t>
      </w:r>
      <w:r w:rsidR="00D21689">
        <w:rPr>
          <w:lang w:val="ru-RU"/>
        </w:rPr>
        <w:t xml:space="preserve">возможно, что </w:t>
      </w:r>
      <w:r w:rsidR="006D213F" w:rsidRPr="00B07BB7">
        <w:rPr>
          <w:lang w:val="ru-RU"/>
        </w:rPr>
        <w:t>организация установит, что</w:t>
      </w:r>
      <w:r w:rsidR="006A7DBA">
        <w:rPr>
          <w:lang w:val="ru-RU"/>
        </w:rPr>
        <w:t xml:space="preserve"> валюта</w:t>
      </w:r>
      <w:r w:rsidR="006D213F" w:rsidRPr="00B07BB7">
        <w:rPr>
          <w:lang w:val="ru-RU"/>
        </w:rPr>
        <w:t xml:space="preserve"> </w:t>
      </w:r>
      <w:r w:rsidR="00096520">
        <w:t>PC</w:t>
      </w:r>
      <w:r w:rsidR="006D213F" w:rsidRPr="00B07BB7">
        <w:rPr>
          <w:lang w:val="ru-RU"/>
        </w:rPr>
        <w:t xml:space="preserve"> не может быть обменена на </w:t>
      </w:r>
      <w:r w:rsidR="006A7DBA">
        <w:rPr>
          <w:lang w:val="ru-RU"/>
        </w:rPr>
        <w:t xml:space="preserve">валюту </w:t>
      </w:r>
      <w:r w:rsidR="00096520">
        <w:t>LC</w:t>
      </w:r>
      <w:r w:rsidR="006D213F" w:rsidRPr="00AF694E">
        <w:rPr>
          <w:lang w:val="ru-RU"/>
        </w:rPr>
        <w:t>,</w:t>
      </w:r>
      <w:r w:rsidR="006D213F" w:rsidRPr="00B07BB7">
        <w:rPr>
          <w:lang w:val="ru-RU"/>
        </w:rPr>
        <w:t xml:space="preserve"> даже если </w:t>
      </w:r>
      <w:r w:rsidR="006A7DBA">
        <w:rPr>
          <w:lang w:val="ru-RU"/>
        </w:rPr>
        <w:t xml:space="preserve">валюта </w:t>
      </w:r>
      <w:r w:rsidR="00096520">
        <w:t>LC</w:t>
      </w:r>
      <w:r w:rsidR="006D213F" w:rsidRPr="00B07BB7">
        <w:rPr>
          <w:lang w:val="ru-RU"/>
        </w:rPr>
        <w:t xml:space="preserve"> может быть обменена на </w:t>
      </w:r>
      <w:r w:rsidR="006A7DBA">
        <w:rPr>
          <w:lang w:val="ru-RU"/>
        </w:rPr>
        <w:t xml:space="preserve">валюту </w:t>
      </w:r>
      <w:r w:rsidR="00096520">
        <w:t>PC</w:t>
      </w:r>
      <w:r w:rsidR="006D213F" w:rsidRPr="00B07BB7">
        <w:rPr>
          <w:lang w:val="ru-RU"/>
        </w:rPr>
        <w:t>.</w:t>
      </w:r>
    </w:p>
    <w:p w14:paraId="07CA73DF" w14:textId="77777777" w:rsidR="00DE4801" w:rsidRPr="006D213F" w:rsidRDefault="00DE4801">
      <w:pPr>
        <w:rPr>
          <w:lang w:val="ru-RU"/>
        </w:rPr>
        <w:sectPr w:rsidR="00DE4801" w:rsidRPr="006D213F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7CCBE4CF" w14:textId="20F2F7E6" w:rsidR="00DE4801" w:rsidRPr="006D213F" w:rsidRDefault="00AC48E2">
      <w:pPr>
        <w:pStyle w:val="IASBSectionTitle3Ind"/>
        <w:rPr>
          <w:lang w:val="ru-RU"/>
        </w:rPr>
      </w:pPr>
      <w:r>
        <w:rPr>
          <w:lang w:val="ru-RU"/>
        </w:rPr>
        <w:t>Период</w:t>
      </w:r>
      <w:r w:rsidR="00833AC7">
        <w:rPr>
          <w:lang w:val="ru-RU"/>
        </w:rPr>
        <w:t xml:space="preserve"> времени</w:t>
      </w:r>
    </w:p>
    <w:p w14:paraId="3515DF3F" w14:textId="04B63DC4" w:rsidR="00DE4801" w:rsidRPr="006D213F" w:rsidRDefault="006669CB">
      <w:pPr>
        <w:pStyle w:val="IASBNormalnpara"/>
        <w:rPr>
          <w:lang w:val="ru-RU"/>
        </w:rPr>
      </w:pPr>
      <w:r>
        <w:t>A</w:t>
      </w:r>
      <w:r w:rsidRPr="006D213F">
        <w:rPr>
          <w:lang w:val="ru-RU"/>
        </w:rPr>
        <w:t>3</w:t>
      </w:r>
      <w:r w:rsidRPr="006D213F">
        <w:rPr>
          <w:lang w:val="ru-RU"/>
        </w:rPr>
        <w:tab/>
      </w:r>
      <w:r w:rsidR="006D213F" w:rsidRPr="006D213F">
        <w:rPr>
          <w:lang w:val="ru-RU"/>
        </w:rPr>
        <w:t xml:space="preserve">В пункте 8 текущий обменный курс определяется как обменный курс валют при немедленной поставке. Однако операция обмена не всегда может совершаться мгновенно ввиду требований законов или регулирующих органов либо </w:t>
      </w:r>
      <w:r w:rsidR="009A1E65">
        <w:rPr>
          <w:lang w:val="ru-RU"/>
        </w:rPr>
        <w:t xml:space="preserve">причин </w:t>
      </w:r>
      <w:r w:rsidR="006D213F" w:rsidRPr="006D213F">
        <w:rPr>
          <w:lang w:val="ru-RU"/>
        </w:rPr>
        <w:t>практическ</w:t>
      </w:r>
      <w:r w:rsidR="009A1E65">
        <w:rPr>
          <w:lang w:val="ru-RU"/>
        </w:rPr>
        <w:t>ого характера</w:t>
      </w:r>
      <w:r w:rsidR="006D213F" w:rsidRPr="006D213F">
        <w:rPr>
          <w:lang w:val="ru-RU"/>
        </w:rPr>
        <w:t xml:space="preserve">, например из-за праздничных дней. Обычная административная задержка при получении другой валюты не </w:t>
      </w:r>
      <w:r w:rsidR="009A1E65">
        <w:rPr>
          <w:lang w:val="ru-RU"/>
        </w:rPr>
        <w:t>препятствует тому, чтобы считать</w:t>
      </w:r>
      <w:r w:rsidR="009A1E65" w:rsidRPr="006D213F">
        <w:rPr>
          <w:lang w:val="ru-RU"/>
        </w:rPr>
        <w:t xml:space="preserve"> </w:t>
      </w:r>
      <w:r w:rsidR="006D213F" w:rsidRPr="006D213F">
        <w:rPr>
          <w:lang w:val="ru-RU"/>
        </w:rPr>
        <w:t>обмен валюты на такую другую валюту</w:t>
      </w:r>
      <w:r w:rsidR="00AC48E2">
        <w:rPr>
          <w:lang w:val="ru-RU"/>
        </w:rPr>
        <w:t xml:space="preserve"> возможным</w:t>
      </w:r>
      <w:r w:rsidR="006D213F" w:rsidRPr="006D213F">
        <w:rPr>
          <w:lang w:val="ru-RU"/>
        </w:rPr>
        <w:t xml:space="preserve">. </w:t>
      </w:r>
      <w:r w:rsidR="00F65423">
        <w:rPr>
          <w:lang w:val="ru-RU"/>
        </w:rPr>
        <w:t xml:space="preserve">Определение того, что </w:t>
      </w:r>
      <w:r w:rsidR="006578F6">
        <w:rPr>
          <w:lang w:val="ru-RU"/>
        </w:rPr>
        <w:t xml:space="preserve">является </w:t>
      </w:r>
      <w:r w:rsidR="00AF694E">
        <w:rPr>
          <w:lang w:val="ru-RU"/>
        </w:rPr>
        <w:t>о</w:t>
      </w:r>
      <w:r w:rsidR="006D213F" w:rsidRPr="006D213F">
        <w:rPr>
          <w:lang w:val="ru-RU"/>
        </w:rPr>
        <w:t>бычн</w:t>
      </w:r>
      <w:r w:rsidR="00F65423">
        <w:rPr>
          <w:lang w:val="ru-RU"/>
        </w:rPr>
        <w:t>ой</w:t>
      </w:r>
      <w:r w:rsidR="006D213F" w:rsidRPr="006D213F">
        <w:rPr>
          <w:lang w:val="ru-RU"/>
        </w:rPr>
        <w:t xml:space="preserve"> административн</w:t>
      </w:r>
      <w:r w:rsidR="00F65423">
        <w:rPr>
          <w:lang w:val="ru-RU"/>
        </w:rPr>
        <w:t>ой</w:t>
      </w:r>
      <w:r w:rsidR="006D213F" w:rsidRPr="006D213F">
        <w:rPr>
          <w:lang w:val="ru-RU"/>
        </w:rPr>
        <w:t xml:space="preserve"> задержк</w:t>
      </w:r>
      <w:r w:rsidR="006578F6">
        <w:rPr>
          <w:lang w:val="ru-RU"/>
        </w:rPr>
        <w:t>ой</w:t>
      </w:r>
      <w:r w:rsidR="00F65423">
        <w:rPr>
          <w:lang w:val="ru-RU"/>
        </w:rPr>
        <w:t>,</w:t>
      </w:r>
      <w:r w:rsidR="006D213F" w:rsidRPr="006D213F">
        <w:rPr>
          <w:lang w:val="ru-RU"/>
        </w:rPr>
        <w:t xml:space="preserve"> зависит от фактов и обстоятельств.</w:t>
      </w:r>
    </w:p>
    <w:p w14:paraId="23224C14" w14:textId="77777777" w:rsidR="00DE4801" w:rsidRPr="006D213F" w:rsidRDefault="00DE4801">
      <w:pPr>
        <w:rPr>
          <w:lang w:val="ru-RU"/>
        </w:rPr>
        <w:sectPr w:rsidR="00DE4801" w:rsidRPr="006D213F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75CD6D16" w14:textId="77777777" w:rsidR="00DE4801" w:rsidRPr="00DA5B1A" w:rsidRDefault="006D213F">
      <w:pPr>
        <w:pStyle w:val="IASBSectionTitle3Ind"/>
        <w:rPr>
          <w:lang w:val="ru-RU"/>
        </w:rPr>
      </w:pPr>
      <w:r w:rsidRPr="00B03272">
        <w:rPr>
          <w:lang w:val="ru-RU"/>
        </w:rPr>
        <w:t>Возможность получить другую валюту</w:t>
      </w:r>
    </w:p>
    <w:p w14:paraId="64DECC51" w14:textId="16E0D3A7" w:rsidR="00DE4801" w:rsidRPr="001D53CE" w:rsidRDefault="006669CB">
      <w:pPr>
        <w:pStyle w:val="IASBNormalnpara"/>
        <w:rPr>
          <w:lang w:val="ru-RU"/>
        </w:rPr>
      </w:pPr>
      <w:r>
        <w:t>A</w:t>
      </w:r>
      <w:r w:rsidRPr="00DA5B1A">
        <w:rPr>
          <w:lang w:val="ru-RU"/>
        </w:rPr>
        <w:t>4</w:t>
      </w:r>
      <w:r w:rsidRPr="00DA5B1A">
        <w:rPr>
          <w:lang w:val="ru-RU"/>
        </w:rPr>
        <w:tab/>
      </w:r>
      <w:r w:rsidR="009A1E65">
        <w:rPr>
          <w:lang w:val="ru-RU"/>
        </w:rPr>
        <w:t>При</w:t>
      </w:r>
      <w:r w:rsidR="0012198B">
        <w:rPr>
          <w:lang w:val="ru-RU"/>
        </w:rPr>
        <w:t xml:space="preserve"> проведении оценки на предмет возможности обмена одной валюты </w:t>
      </w:r>
      <w:r w:rsidR="00DA5B1A" w:rsidRPr="00B03272">
        <w:rPr>
          <w:lang w:val="ru-RU"/>
        </w:rPr>
        <w:t>на другую</w:t>
      </w:r>
      <w:r w:rsidR="004A0D17">
        <w:rPr>
          <w:lang w:val="ru-RU"/>
        </w:rPr>
        <w:t xml:space="preserve"> валюту</w:t>
      </w:r>
      <w:r w:rsidR="00DA5B1A" w:rsidRPr="00B03272">
        <w:rPr>
          <w:lang w:val="ru-RU"/>
        </w:rPr>
        <w:t xml:space="preserve"> организация должна учитывать свою способность получить </w:t>
      </w:r>
      <w:r w:rsidR="0012198B">
        <w:rPr>
          <w:lang w:val="ru-RU"/>
        </w:rPr>
        <w:t xml:space="preserve">эту </w:t>
      </w:r>
      <w:r w:rsidR="00DA5B1A" w:rsidRPr="00B03272">
        <w:rPr>
          <w:lang w:val="ru-RU"/>
        </w:rPr>
        <w:t>другую валюту, а не свое намерение или решение сделать это.</w:t>
      </w:r>
      <w:r w:rsidR="00DA5B1A">
        <w:rPr>
          <w:lang w:val="ru-RU"/>
        </w:rPr>
        <w:t xml:space="preserve"> </w:t>
      </w:r>
      <w:r w:rsidR="00DA5B1A" w:rsidRPr="00B03272">
        <w:rPr>
          <w:lang w:val="ru-RU"/>
        </w:rPr>
        <w:t xml:space="preserve">С учетом прочих требований в пунктах A2–A10 </w:t>
      </w:r>
      <w:r w:rsidR="0012198B">
        <w:rPr>
          <w:lang w:val="ru-RU"/>
        </w:rPr>
        <w:t xml:space="preserve">обмен одной </w:t>
      </w:r>
      <w:r w:rsidR="00DA5B1A" w:rsidRPr="00B03272">
        <w:rPr>
          <w:lang w:val="ru-RU"/>
        </w:rPr>
        <w:t>валют</w:t>
      </w:r>
      <w:r w:rsidR="0012198B">
        <w:rPr>
          <w:lang w:val="ru-RU"/>
        </w:rPr>
        <w:t>ы</w:t>
      </w:r>
      <w:r w:rsidR="00DA5B1A" w:rsidRPr="00B03272">
        <w:rPr>
          <w:lang w:val="ru-RU"/>
        </w:rPr>
        <w:t xml:space="preserve"> на другую валюту</w:t>
      </w:r>
      <w:r w:rsidR="0012198B">
        <w:rPr>
          <w:lang w:val="ru-RU"/>
        </w:rPr>
        <w:t xml:space="preserve"> является возможным</w:t>
      </w:r>
      <w:r w:rsidR="00DA5B1A" w:rsidRPr="00B03272">
        <w:rPr>
          <w:lang w:val="ru-RU"/>
        </w:rPr>
        <w:t xml:space="preserve">, если </w:t>
      </w:r>
      <w:r w:rsidR="00DA5B1A" w:rsidRPr="00C12FC1">
        <w:rPr>
          <w:lang w:val="ru-RU"/>
        </w:rPr>
        <w:t xml:space="preserve">организация </w:t>
      </w:r>
      <w:r w:rsidR="00C12FC1" w:rsidRPr="00C12FC1">
        <w:rPr>
          <w:lang w:val="ru-RU"/>
        </w:rPr>
        <w:t>в состоянии</w:t>
      </w:r>
      <w:r w:rsidR="00DA5B1A" w:rsidRPr="00C12FC1">
        <w:rPr>
          <w:lang w:val="ru-RU"/>
        </w:rPr>
        <w:t xml:space="preserve"> получить </w:t>
      </w:r>
      <w:r w:rsidR="00AC48E2">
        <w:rPr>
          <w:lang w:val="ru-RU"/>
        </w:rPr>
        <w:t xml:space="preserve">такую </w:t>
      </w:r>
      <w:r w:rsidR="00DA5B1A" w:rsidRPr="00B03272">
        <w:rPr>
          <w:lang w:val="ru-RU"/>
        </w:rPr>
        <w:t>другую валюту (прямо или косвенно), даже если она намеревается или решает не делать этого.</w:t>
      </w:r>
      <w:r w:rsidR="00DA5B1A">
        <w:rPr>
          <w:lang w:val="ru-RU"/>
        </w:rPr>
        <w:t xml:space="preserve"> </w:t>
      </w:r>
      <w:r w:rsidR="00DA5B1A" w:rsidRPr="00B03272">
        <w:rPr>
          <w:lang w:val="ru-RU"/>
        </w:rPr>
        <w:t xml:space="preserve">Например, с учетом прочих требований в пунктах A2–A10, вне зависимости от того, намерена ли организация либо решает ли она получить </w:t>
      </w:r>
      <w:r w:rsidR="006A7DBA">
        <w:rPr>
          <w:lang w:val="ru-RU"/>
        </w:rPr>
        <w:t xml:space="preserve">валюту </w:t>
      </w:r>
      <w:r w:rsidR="00FC7C2D">
        <w:rPr>
          <w:lang w:val="ru-RU"/>
        </w:rPr>
        <w:t>РС</w:t>
      </w:r>
      <w:r w:rsidR="00DA5B1A" w:rsidRPr="00B03272">
        <w:rPr>
          <w:lang w:val="ru-RU"/>
        </w:rPr>
        <w:t xml:space="preserve">, </w:t>
      </w:r>
      <w:r w:rsidR="0012198B">
        <w:rPr>
          <w:lang w:val="ru-RU"/>
        </w:rPr>
        <w:t xml:space="preserve">обмен </w:t>
      </w:r>
      <w:r w:rsidR="006A7DBA">
        <w:rPr>
          <w:lang w:val="ru-RU"/>
        </w:rPr>
        <w:t>валют</w:t>
      </w:r>
      <w:r w:rsidR="0012198B">
        <w:rPr>
          <w:lang w:val="ru-RU"/>
        </w:rPr>
        <w:t>ы</w:t>
      </w:r>
      <w:r w:rsidR="006A7DBA">
        <w:rPr>
          <w:lang w:val="ru-RU"/>
        </w:rPr>
        <w:t xml:space="preserve"> </w:t>
      </w:r>
      <w:r w:rsidR="00FC7C2D">
        <w:t>LC</w:t>
      </w:r>
      <w:r w:rsidR="00DA5B1A" w:rsidRPr="00B03272">
        <w:rPr>
          <w:lang w:val="ru-RU"/>
        </w:rPr>
        <w:t xml:space="preserve"> на </w:t>
      </w:r>
      <w:r w:rsidR="006A7DBA">
        <w:rPr>
          <w:lang w:val="ru-RU"/>
        </w:rPr>
        <w:t xml:space="preserve">валюту </w:t>
      </w:r>
      <w:r w:rsidR="00FC7C2D">
        <w:t>PC</w:t>
      </w:r>
      <w:r w:rsidR="0012198B">
        <w:rPr>
          <w:lang w:val="ru-RU"/>
        </w:rPr>
        <w:t xml:space="preserve"> является возможным</w:t>
      </w:r>
      <w:r w:rsidR="00DA5B1A" w:rsidRPr="00B03272">
        <w:rPr>
          <w:lang w:val="ru-RU"/>
        </w:rPr>
        <w:t xml:space="preserve">, если организация в состоянии либо обменять </w:t>
      </w:r>
      <w:r w:rsidR="00FC7C2D">
        <w:t>LC</w:t>
      </w:r>
      <w:r w:rsidR="00DA5B1A" w:rsidRPr="00B03272">
        <w:rPr>
          <w:lang w:val="ru-RU"/>
        </w:rPr>
        <w:t xml:space="preserve"> на </w:t>
      </w:r>
      <w:r w:rsidR="00FC7C2D">
        <w:t>PC</w:t>
      </w:r>
      <w:r w:rsidR="00DA5B1A" w:rsidRPr="00B03272">
        <w:rPr>
          <w:lang w:val="ru-RU"/>
        </w:rPr>
        <w:t xml:space="preserve">, либо обменять </w:t>
      </w:r>
      <w:r w:rsidR="00FC7C2D">
        <w:t>LC</w:t>
      </w:r>
      <w:r w:rsidR="00DA5B1A" w:rsidRPr="00B03272">
        <w:rPr>
          <w:lang w:val="ru-RU"/>
        </w:rPr>
        <w:t xml:space="preserve"> на другую </w:t>
      </w:r>
      <w:r w:rsidR="00DA5B1A" w:rsidRPr="00FC7C2D">
        <w:rPr>
          <w:lang w:val="ru-RU"/>
        </w:rPr>
        <w:t>валюту</w:t>
      </w:r>
      <w:r w:rsidR="00AF694E" w:rsidRPr="00FC7C2D">
        <w:rPr>
          <w:lang w:val="ru-RU"/>
        </w:rPr>
        <w:t xml:space="preserve"> </w:t>
      </w:r>
      <w:r w:rsidR="00FC7C2D" w:rsidRPr="00FC7C2D">
        <w:rPr>
          <w:lang w:val="ru-RU"/>
        </w:rPr>
        <w:t>(</w:t>
      </w:r>
      <w:r w:rsidR="00096520" w:rsidRPr="00FC7C2D">
        <w:t>FC</w:t>
      </w:r>
      <w:r w:rsidR="00DA5B1A" w:rsidRPr="00FC7C2D">
        <w:rPr>
          <w:lang w:val="ru-RU"/>
        </w:rPr>
        <w:t xml:space="preserve">), а </w:t>
      </w:r>
      <w:r w:rsidR="00DA5B1A" w:rsidRPr="00B03272">
        <w:rPr>
          <w:lang w:val="ru-RU"/>
        </w:rPr>
        <w:t xml:space="preserve">затем обменять </w:t>
      </w:r>
      <w:r w:rsidR="00FC7C2D">
        <w:t>FC</w:t>
      </w:r>
      <w:r w:rsidR="00DA5B1A" w:rsidRPr="00B03272">
        <w:rPr>
          <w:lang w:val="ru-RU"/>
        </w:rPr>
        <w:t xml:space="preserve"> на </w:t>
      </w:r>
      <w:r w:rsidR="00FC7C2D">
        <w:t>PC</w:t>
      </w:r>
      <w:r w:rsidR="00DA5B1A" w:rsidRPr="00B03272">
        <w:rPr>
          <w:lang w:val="ru-RU"/>
        </w:rPr>
        <w:t>.</w:t>
      </w:r>
    </w:p>
    <w:p w14:paraId="52512BD9" w14:textId="77777777" w:rsidR="00DE4801" w:rsidRPr="00DA5B1A" w:rsidRDefault="00DE4801">
      <w:pPr>
        <w:rPr>
          <w:lang w:val="ru-RU"/>
        </w:rPr>
        <w:sectPr w:rsidR="00DE4801" w:rsidRPr="00DA5B1A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0F0BF74E" w14:textId="77777777" w:rsidR="00DE4801" w:rsidRPr="0010535C" w:rsidRDefault="00DA5B1A">
      <w:pPr>
        <w:pStyle w:val="IASBSectionTitle3Ind"/>
        <w:rPr>
          <w:lang w:val="ru-RU"/>
        </w:rPr>
      </w:pPr>
      <w:r w:rsidRPr="00B03272">
        <w:rPr>
          <w:lang w:val="ru-RU"/>
        </w:rPr>
        <w:t>Рынки или механизмы обмена валют</w:t>
      </w:r>
    </w:p>
    <w:p w14:paraId="591B2C26" w14:textId="5E6C3755" w:rsidR="00DE4801" w:rsidRPr="00DA5B1A" w:rsidRDefault="006669CB">
      <w:pPr>
        <w:pStyle w:val="IASBNormalnpara"/>
        <w:rPr>
          <w:lang w:val="ru-RU"/>
        </w:rPr>
      </w:pPr>
      <w:r>
        <w:t>A</w:t>
      </w:r>
      <w:r w:rsidRPr="00DA5B1A">
        <w:rPr>
          <w:lang w:val="ru-RU"/>
        </w:rPr>
        <w:t>5</w:t>
      </w:r>
      <w:r w:rsidRPr="00DA5B1A">
        <w:rPr>
          <w:lang w:val="ru-RU"/>
        </w:rPr>
        <w:tab/>
      </w:r>
      <w:r w:rsidR="00267278">
        <w:rPr>
          <w:lang w:val="ru-RU"/>
        </w:rPr>
        <w:t xml:space="preserve">При проведении оценки на предмет возможности обмена одной валюты </w:t>
      </w:r>
      <w:r w:rsidR="00DA5B1A" w:rsidRPr="00B03272">
        <w:rPr>
          <w:lang w:val="ru-RU"/>
        </w:rPr>
        <w:t xml:space="preserve">на другую </w:t>
      </w:r>
      <w:r w:rsidR="004A0D17">
        <w:rPr>
          <w:lang w:val="ru-RU"/>
        </w:rPr>
        <w:t xml:space="preserve">валюту </w:t>
      </w:r>
      <w:r w:rsidR="00DA5B1A" w:rsidRPr="00B03272">
        <w:rPr>
          <w:lang w:val="ru-RU"/>
        </w:rPr>
        <w:t xml:space="preserve">организация должна рассматривать исключительно </w:t>
      </w:r>
      <w:r w:rsidR="00441F66">
        <w:rPr>
          <w:lang w:val="ru-RU"/>
        </w:rPr>
        <w:t xml:space="preserve">те </w:t>
      </w:r>
      <w:r w:rsidR="00DA5B1A" w:rsidRPr="00B03272">
        <w:rPr>
          <w:lang w:val="ru-RU"/>
        </w:rPr>
        <w:t xml:space="preserve">рынки или механизмы обмена валют, </w:t>
      </w:r>
      <w:r w:rsidR="00441F66">
        <w:rPr>
          <w:lang w:val="ru-RU"/>
        </w:rPr>
        <w:t>где</w:t>
      </w:r>
      <w:r w:rsidR="00DA5B1A" w:rsidRPr="00B03272">
        <w:rPr>
          <w:lang w:val="ru-RU"/>
        </w:rPr>
        <w:t xml:space="preserve"> </w:t>
      </w:r>
      <w:r w:rsidR="00441F66">
        <w:rPr>
          <w:lang w:val="ru-RU"/>
        </w:rPr>
        <w:t xml:space="preserve">в результате </w:t>
      </w:r>
      <w:r w:rsidR="00DA5B1A" w:rsidRPr="00B03272">
        <w:rPr>
          <w:lang w:val="ru-RU"/>
        </w:rPr>
        <w:t>операци</w:t>
      </w:r>
      <w:r w:rsidR="00441F66">
        <w:rPr>
          <w:lang w:val="ru-RU"/>
        </w:rPr>
        <w:t>и</w:t>
      </w:r>
      <w:r w:rsidR="00DA5B1A" w:rsidRPr="00B03272">
        <w:rPr>
          <w:lang w:val="ru-RU"/>
        </w:rPr>
        <w:t xml:space="preserve"> обмена </w:t>
      </w:r>
      <w:r w:rsidR="00441F66">
        <w:rPr>
          <w:lang w:val="ru-RU"/>
        </w:rPr>
        <w:t xml:space="preserve">возникли бы </w:t>
      </w:r>
      <w:r w:rsidR="00DA5B1A" w:rsidRPr="00B03272">
        <w:rPr>
          <w:lang w:val="ru-RU"/>
        </w:rPr>
        <w:t xml:space="preserve">юридически </w:t>
      </w:r>
      <w:r w:rsidR="00676BBD" w:rsidRPr="00B03272">
        <w:rPr>
          <w:lang w:val="ru-RU"/>
        </w:rPr>
        <w:t>защищенны</w:t>
      </w:r>
      <w:r w:rsidR="00441F66">
        <w:rPr>
          <w:lang w:val="ru-RU"/>
        </w:rPr>
        <w:t>е</w:t>
      </w:r>
      <w:r w:rsidR="00676BBD" w:rsidRPr="00B03272">
        <w:rPr>
          <w:lang w:val="ru-RU"/>
        </w:rPr>
        <w:t xml:space="preserve"> </w:t>
      </w:r>
      <w:r w:rsidR="00DA5B1A" w:rsidRPr="00B03272">
        <w:rPr>
          <w:lang w:val="ru-RU"/>
        </w:rPr>
        <w:t>прав</w:t>
      </w:r>
      <w:r w:rsidR="00441F66">
        <w:rPr>
          <w:lang w:val="ru-RU"/>
        </w:rPr>
        <w:t>а</w:t>
      </w:r>
      <w:r w:rsidR="00DA5B1A" w:rsidRPr="00B03272">
        <w:rPr>
          <w:lang w:val="ru-RU"/>
        </w:rPr>
        <w:t xml:space="preserve"> и обяза</w:t>
      </w:r>
      <w:r w:rsidR="001D53CE">
        <w:rPr>
          <w:lang w:val="ru-RU"/>
        </w:rPr>
        <w:t>тельства</w:t>
      </w:r>
      <w:r w:rsidR="00DA5B1A" w:rsidRPr="00B03272">
        <w:rPr>
          <w:lang w:val="ru-RU"/>
        </w:rPr>
        <w:t>.</w:t>
      </w:r>
      <w:r w:rsidR="00DA5B1A">
        <w:rPr>
          <w:lang w:val="ru-RU"/>
        </w:rPr>
        <w:t xml:space="preserve"> </w:t>
      </w:r>
      <w:r w:rsidR="00DA5B1A" w:rsidRPr="00B03272">
        <w:rPr>
          <w:lang w:val="ru-RU"/>
        </w:rPr>
        <w:t>Юридическая защищенность обеспечивается законодательством.</w:t>
      </w:r>
      <w:r w:rsidR="00DA5B1A">
        <w:rPr>
          <w:lang w:val="ru-RU"/>
        </w:rPr>
        <w:t xml:space="preserve"> </w:t>
      </w:r>
      <w:r w:rsidR="00C751AD">
        <w:rPr>
          <w:lang w:val="ru-RU"/>
        </w:rPr>
        <w:t>Б</w:t>
      </w:r>
      <w:r w:rsidR="00DA5B1A" w:rsidRPr="00B03272">
        <w:rPr>
          <w:lang w:val="ru-RU"/>
        </w:rPr>
        <w:t xml:space="preserve">удет ли операция обмена </w:t>
      </w:r>
      <w:r w:rsidR="00441F66">
        <w:rPr>
          <w:lang w:val="ru-RU"/>
        </w:rPr>
        <w:t xml:space="preserve">на </w:t>
      </w:r>
      <w:r w:rsidR="00DA5B1A" w:rsidRPr="00B03272">
        <w:rPr>
          <w:lang w:val="ru-RU"/>
        </w:rPr>
        <w:t>рынк</w:t>
      </w:r>
      <w:r w:rsidR="00441F66">
        <w:rPr>
          <w:lang w:val="ru-RU"/>
        </w:rPr>
        <w:t>е</w:t>
      </w:r>
      <w:r w:rsidR="00DA5B1A" w:rsidRPr="00B03272">
        <w:rPr>
          <w:lang w:val="ru-RU"/>
        </w:rPr>
        <w:t xml:space="preserve"> или </w:t>
      </w:r>
      <w:r w:rsidR="00441F66">
        <w:rPr>
          <w:lang w:val="ru-RU"/>
        </w:rPr>
        <w:t xml:space="preserve">через </w:t>
      </w:r>
      <w:r w:rsidR="00DA5B1A" w:rsidRPr="00B03272">
        <w:rPr>
          <w:lang w:val="ru-RU"/>
        </w:rPr>
        <w:t xml:space="preserve">механизм обмена валют </w:t>
      </w:r>
      <w:r w:rsidR="00441F66">
        <w:rPr>
          <w:lang w:val="ru-RU"/>
        </w:rPr>
        <w:t xml:space="preserve">приводить к </w:t>
      </w:r>
      <w:r w:rsidR="00C751AD">
        <w:rPr>
          <w:lang w:val="ru-RU"/>
        </w:rPr>
        <w:t>возникновени</w:t>
      </w:r>
      <w:r w:rsidR="00441F66">
        <w:rPr>
          <w:lang w:val="ru-RU"/>
        </w:rPr>
        <w:t>ю</w:t>
      </w:r>
      <w:r w:rsidR="00DA5B1A" w:rsidRPr="00B03272">
        <w:rPr>
          <w:lang w:val="ru-RU"/>
        </w:rPr>
        <w:t xml:space="preserve"> юридически </w:t>
      </w:r>
      <w:r w:rsidR="00C751AD" w:rsidRPr="00B03272">
        <w:rPr>
          <w:lang w:val="ru-RU"/>
        </w:rPr>
        <w:t>защищенны</w:t>
      </w:r>
      <w:r w:rsidR="00C751AD">
        <w:rPr>
          <w:lang w:val="ru-RU"/>
        </w:rPr>
        <w:t>х</w:t>
      </w:r>
      <w:r w:rsidR="00C751AD" w:rsidRPr="00B03272">
        <w:rPr>
          <w:lang w:val="ru-RU"/>
        </w:rPr>
        <w:t xml:space="preserve"> </w:t>
      </w:r>
      <w:r w:rsidR="00DA5B1A" w:rsidRPr="00B03272">
        <w:rPr>
          <w:lang w:val="ru-RU"/>
        </w:rPr>
        <w:t>прав и обяза</w:t>
      </w:r>
      <w:r w:rsidR="00B2122C">
        <w:rPr>
          <w:lang w:val="ru-RU"/>
        </w:rPr>
        <w:t>тельств</w:t>
      </w:r>
      <w:r w:rsidR="00DA5B1A" w:rsidRPr="00B03272">
        <w:rPr>
          <w:lang w:val="ru-RU"/>
        </w:rPr>
        <w:t>, зависит от фактов и обстоятельств.</w:t>
      </w:r>
    </w:p>
    <w:p w14:paraId="02798C38" w14:textId="77777777" w:rsidR="00DE4801" w:rsidRPr="00DA5B1A" w:rsidRDefault="00DE4801">
      <w:pPr>
        <w:rPr>
          <w:lang w:val="ru-RU"/>
        </w:rPr>
        <w:sectPr w:rsidR="00DE4801" w:rsidRPr="00DA5B1A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0C04EEBA" w14:textId="77777777" w:rsidR="00DE4801" w:rsidRPr="00496F62" w:rsidRDefault="00DA5B1A">
      <w:pPr>
        <w:pStyle w:val="IASBSectionTitle3Ind"/>
        <w:rPr>
          <w:lang w:val="ru-RU"/>
        </w:rPr>
      </w:pPr>
      <w:r w:rsidRPr="00B03272">
        <w:rPr>
          <w:lang w:val="ru-RU"/>
        </w:rPr>
        <w:t>Цель получения другой валюты</w:t>
      </w:r>
    </w:p>
    <w:p w14:paraId="344719C2" w14:textId="78939B61" w:rsidR="00DE4801" w:rsidRPr="00DA5B1A" w:rsidRDefault="006669CB">
      <w:pPr>
        <w:pStyle w:val="IASBNormalnpara"/>
        <w:rPr>
          <w:lang w:val="ru-RU"/>
        </w:rPr>
      </w:pPr>
      <w:r>
        <w:t>A</w:t>
      </w:r>
      <w:r w:rsidRPr="00DA5B1A">
        <w:rPr>
          <w:lang w:val="ru-RU"/>
        </w:rPr>
        <w:t>6</w:t>
      </w:r>
      <w:r w:rsidRPr="00DA5B1A">
        <w:rPr>
          <w:lang w:val="ru-RU"/>
        </w:rPr>
        <w:tab/>
      </w:r>
      <w:r w:rsidR="00DA5B1A" w:rsidRPr="00B03272">
        <w:rPr>
          <w:lang w:val="ru-RU"/>
        </w:rPr>
        <w:t xml:space="preserve">Для различных </w:t>
      </w:r>
      <w:r w:rsidR="00AE643E">
        <w:rPr>
          <w:lang w:val="ru-RU"/>
        </w:rPr>
        <w:t>целей</w:t>
      </w:r>
      <w:r w:rsidR="00AE643E" w:rsidRPr="00B03272">
        <w:rPr>
          <w:lang w:val="ru-RU"/>
        </w:rPr>
        <w:t xml:space="preserve"> </w:t>
      </w:r>
      <w:r w:rsidR="00DA5B1A" w:rsidRPr="00B03272">
        <w:rPr>
          <w:lang w:val="ru-RU"/>
        </w:rPr>
        <w:t>использования валюты могут применяться различные обменные курсы.</w:t>
      </w:r>
      <w:r w:rsidR="00DA5B1A">
        <w:rPr>
          <w:lang w:val="ru-RU"/>
        </w:rPr>
        <w:t xml:space="preserve"> </w:t>
      </w:r>
      <w:r w:rsidR="00DA5B1A" w:rsidRPr="00F62C04">
        <w:rPr>
          <w:lang w:val="ru-RU"/>
        </w:rPr>
        <w:t xml:space="preserve">Например, юрисдикция, испытывающая давление на свой платежный баланс, может препятствовать переводу капитала (например, </w:t>
      </w:r>
      <w:r w:rsidR="00C751AD" w:rsidRPr="00F62C04">
        <w:rPr>
          <w:lang w:val="ru-RU"/>
        </w:rPr>
        <w:t>выплат</w:t>
      </w:r>
      <w:r w:rsidR="00C751AD">
        <w:rPr>
          <w:lang w:val="ru-RU"/>
        </w:rPr>
        <w:t>е</w:t>
      </w:r>
      <w:r w:rsidR="00C751AD" w:rsidRPr="00F62C04">
        <w:rPr>
          <w:lang w:val="ru-RU"/>
        </w:rPr>
        <w:t xml:space="preserve"> </w:t>
      </w:r>
      <w:r w:rsidR="00DA5B1A" w:rsidRPr="00F62C04">
        <w:rPr>
          <w:lang w:val="ru-RU"/>
        </w:rPr>
        <w:t xml:space="preserve">дивидендов) в другие юрисдикции, но при этом </w:t>
      </w:r>
      <w:r w:rsidR="002C5B2B">
        <w:rPr>
          <w:lang w:val="ru-RU"/>
        </w:rPr>
        <w:t>стимулировать</w:t>
      </w:r>
      <w:r w:rsidR="00DA5B1A" w:rsidRPr="00F62C04">
        <w:rPr>
          <w:lang w:val="ru-RU"/>
        </w:rPr>
        <w:t xml:space="preserve"> импорт определенных товаров из </w:t>
      </w:r>
      <w:r w:rsidR="00AE643E">
        <w:rPr>
          <w:lang w:val="ru-RU"/>
        </w:rPr>
        <w:t>указанных</w:t>
      </w:r>
      <w:r w:rsidR="00AE643E" w:rsidRPr="00F62C04">
        <w:rPr>
          <w:lang w:val="ru-RU"/>
        </w:rPr>
        <w:t xml:space="preserve"> </w:t>
      </w:r>
      <w:r w:rsidR="00DA5B1A" w:rsidRPr="00F62C04">
        <w:rPr>
          <w:lang w:val="ru-RU"/>
        </w:rPr>
        <w:t>юрисдикций.</w:t>
      </w:r>
      <w:r w:rsidR="00DA5B1A">
        <w:rPr>
          <w:lang w:val="ru-RU"/>
        </w:rPr>
        <w:t xml:space="preserve"> </w:t>
      </w:r>
      <w:r w:rsidR="00DA5B1A" w:rsidRPr="00F62C04">
        <w:rPr>
          <w:lang w:val="ru-RU"/>
        </w:rPr>
        <w:t xml:space="preserve">В таких </w:t>
      </w:r>
      <w:r w:rsidR="00980699">
        <w:rPr>
          <w:lang w:val="ru-RU"/>
        </w:rPr>
        <w:t xml:space="preserve">обстоятельствах следующие меры со стороны </w:t>
      </w:r>
      <w:r w:rsidR="00DA5B1A" w:rsidRPr="00F62C04">
        <w:rPr>
          <w:lang w:val="ru-RU"/>
        </w:rPr>
        <w:t>соответствующи</w:t>
      </w:r>
      <w:r w:rsidR="00980699">
        <w:rPr>
          <w:lang w:val="ru-RU"/>
        </w:rPr>
        <w:t>х</w:t>
      </w:r>
      <w:r w:rsidR="00DA5B1A" w:rsidRPr="00F62C04">
        <w:rPr>
          <w:lang w:val="ru-RU"/>
        </w:rPr>
        <w:t xml:space="preserve"> орган</w:t>
      </w:r>
      <w:r w:rsidR="00980699">
        <w:rPr>
          <w:lang w:val="ru-RU"/>
        </w:rPr>
        <w:t>ов</w:t>
      </w:r>
      <w:r w:rsidR="00DA5B1A" w:rsidRPr="00F62C04">
        <w:rPr>
          <w:lang w:val="ru-RU"/>
        </w:rPr>
        <w:t xml:space="preserve"> власти</w:t>
      </w:r>
      <w:r w:rsidR="00DB39C5" w:rsidRPr="00DB39C5">
        <w:rPr>
          <w:lang w:val="ru-RU"/>
        </w:rPr>
        <w:t xml:space="preserve"> </w:t>
      </w:r>
      <w:r w:rsidR="00DB39C5">
        <w:rPr>
          <w:lang w:val="ru-RU"/>
        </w:rPr>
        <w:t>были бы возможны</w:t>
      </w:r>
      <w:r w:rsidR="00DA5B1A" w:rsidRPr="00F62C04">
        <w:rPr>
          <w:lang w:val="ru-RU"/>
        </w:rPr>
        <w:t>:</w:t>
      </w:r>
    </w:p>
    <w:p w14:paraId="26B3FD30" w14:textId="297DC10E" w:rsidR="00DE4801" w:rsidRPr="00DA5B1A" w:rsidRDefault="006669CB">
      <w:pPr>
        <w:pStyle w:val="IASBNormalnparaL1"/>
        <w:rPr>
          <w:lang w:val="ru-RU"/>
        </w:rPr>
      </w:pPr>
      <w:r w:rsidRPr="00DA5B1A">
        <w:rPr>
          <w:lang w:val="ru-RU"/>
        </w:rPr>
        <w:t>(</w:t>
      </w:r>
      <w:r>
        <w:t>a</w:t>
      </w:r>
      <w:r w:rsidRPr="00DA5B1A">
        <w:rPr>
          <w:lang w:val="ru-RU"/>
        </w:rPr>
        <w:t>)</w:t>
      </w:r>
      <w:r w:rsidRPr="00DA5B1A">
        <w:rPr>
          <w:lang w:val="ru-RU"/>
        </w:rPr>
        <w:tab/>
      </w:r>
      <w:r w:rsidR="00DA5B1A" w:rsidRPr="00F62C04">
        <w:rPr>
          <w:lang w:val="ru-RU"/>
        </w:rPr>
        <w:t xml:space="preserve">установить льготный обменный курс для импорта таких товаров и «штрафной» обменный курс для перевода капитала в другие юрисдикции, и в результате для различных </w:t>
      </w:r>
      <w:r w:rsidR="00836914">
        <w:rPr>
          <w:lang w:val="ru-RU"/>
        </w:rPr>
        <w:t xml:space="preserve">обменных </w:t>
      </w:r>
      <w:r w:rsidR="00DA5B1A" w:rsidRPr="009768BE">
        <w:rPr>
          <w:lang w:val="ru-RU"/>
        </w:rPr>
        <w:t xml:space="preserve">операций </w:t>
      </w:r>
      <w:r w:rsidR="00DA5B1A" w:rsidRPr="00F62C04">
        <w:rPr>
          <w:lang w:val="ru-RU"/>
        </w:rPr>
        <w:t>будут применяться различные обменные курсы;</w:t>
      </w:r>
      <w:r w:rsidR="00074221">
        <w:rPr>
          <w:lang w:val="ru-RU"/>
        </w:rPr>
        <w:t xml:space="preserve"> или</w:t>
      </w:r>
    </w:p>
    <w:p w14:paraId="6204DD3C" w14:textId="0AA68C85" w:rsidR="00DE4801" w:rsidRPr="00DA5B1A" w:rsidRDefault="006669CB">
      <w:pPr>
        <w:pStyle w:val="IASBNormalnparaL1"/>
        <w:rPr>
          <w:lang w:val="ru-RU"/>
        </w:rPr>
      </w:pPr>
      <w:r w:rsidRPr="00DA5B1A">
        <w:rPr>
          <w:lang w:val="ru-RU"/>
        </w:rPr>
        <w:t>(</w:t>
      </w:r>
      <w:r>
        <w:t>b</w:t>
      </w:r>
      <w:r w:rsidRPr="00DA5B1A">
        <w:rPr>
          <w:lang w:val="ru-RU"/>
        </w:rPr>
        <w:t>)</w:t>
      </w:r>
      <w:r w:rsidRPr="00DA5B1A">
        <w:rPr>
          <w:lang w:val="ru-RU"/>
        </w:rPr>
        <w:tab/>
      </w:r>
      <w:r w:rsidR="00CA7653">
        <w:rPr>
          <w:lang w:val="ru-RU"/>
        </w:rPr>
        <w:t>сделать другую валюту доступной</w:t>
      </w:r>
      <w:r w:rsidR="00DA5B1A" w:rsidRPr="00F62C04">
        <w:rPr>
          <w:lang w:val="ru-RU"/>
        </w:rPr>
        <w:t xml:space="preserve"> исключительно для оплаты импорта таких товаров, но не для перевода капитала в другие юрисдикции.</w:t>
      </w:r>
    </w:p>
    <w:p w14:paraId="6FA8313B" w14:textId="4194DD99" w:rsidR="00DE4801" w:rsidRPr="00DA5B1A" w:rsidRDefault="00DE4801" w:rsidP="009768BE">
      <w:pPr>
        <w:pStyle w:val="IASBNormalnparaL1"/>
        <w:rPr>
          <w:lang w:val="ru-RU"/>
        </w:rPr>
        <w:sectPr w:rsidR="00DE4801" w:rsidRPr="00DA5B1A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22759248" w14:textId="163F94B7" w:rsidR="00DE4801" w:rsidRPr="00DA5B1A" w:rsidRDefault="006669CB">
      <w:pPr>
        <w:pStyle w:val="IASBNormalnpara"/>
        <w:rPr>
          <w:lang w:val="ru-RU"/>
        </w:rPr>
      </w:pPr>
      <w:r>
        <w:t>A</w:t>
      </w:r>
      <w:r w:rsidRPr="00DA5B1A">
        <w:rPr>
          <w:lang w:val="ru-RU"/>
        </w:rPr>
        <w:t>7</w:t>
      </w:r>
      <w:r w:rsidRPr="00DA5B1A">
        <w:rPr>
          <w:lang w:val="ru-RU"/>
        </w:rPr>
        <w:tab/>
      </w:r>
      <w:r w:rsidR="00DA5B1A" w:rsidRPr="00F62C04">
        <w:rPr>
          <w:lang w:val="ru-RU"/>
        </w:rPr>
        <w:t xml:space="preserve">Соответственно, </w:t>
      </w:r>
      <w:r w:rsidR="008C76A3">
        <w:rPr>
          <w:lang w:val="ru-RU"/>
        </w:rPr>
        <w:t>вывод</w:t>
      </w:r>
      <w:r w:rsidR="001F24F0">
        <w:rPr>
          <w:lang w:val="ru-RU"/>
        </w:rPr>
        <w:t xml:space="preserve"> о том, </w:t>
      </w:r>
      <w:r w:rsidR="00DA5B1A" w:rsidRPr="00F62C04">
        <w:rPr>
          <w:lang w:val="ru-RU"/>
        </w:rPr>
        <w:t>возмож</w:t>
      </w:r>
      <w:r w:rsidR="001F24F0">
        <w:rPr>
          <w:lang w:val="ru-RU"/>
        </w:rPr>
        <w:t>е</w:t>
      </w:r>
      <w:r w:rsidR="00DA5B1A" w:rsidRPr="00F62C04">
        <w:rPr>
          <w:lang w:val="ru-RU"/>
        </w:rPr>
        <w:t>н</w:t>
      </w:r>
      <w:r w:rsidR="001F24F0">
        <w:rPr>
          <w:lang w:val="ru-RU"/>
        </w:rPr>
        <w:t xml:space="preserve"> ли</w:t>
      </w:r>
      <w:r w:rsidR="00DA5B1A" w:rsidRPr="00F62C04">
        <w:rPr>
          <w:lang w:val="ru-RU"/>
        </w:rPr>
        <w:t xml:space="preserve"> обмен </w:t>
      </w:r>
      <w:r w:rsidR="001F24F0">
        <w:rPr>
          <w:lang w:val="ru-RU"/>
        </w:rPr>
        <w:t xml:space="preserve">одной </w:t>
      </w:r>
      <w:r w:rsidR="00DA5B1A" w:rsidRPr="00F62C04">
        <w:rPr>
          <w:lang w:val="ru-RU"/>
        </w:rPr>
        <w:t>валюты на другую валюту</w:t>
      </w:r>
      <w:r w:rsidR="004F67E1">
        <w:rPr>
          <w:lang w:val="ru-RU"/>
        </w:rPr>
        <w:t>,</w:t>
      </w:r>
      <w:r w:rsidR="00DA5B1A" w:rsidRPr="00F62C04">
        <w:rPr>
          <w:lang w:val="ru-RU"/>
        </w:rPr>
        <w:t xml:space="preserve"> может зависеть от цели, для которой организация получает (или гипотетически </w:t>
      </w:r>
      <w:r w:rsidR="001F24F0">
        <w:rPr>
          <w:lang w:val="ru-RU"/>
        </w:rPr>
        <w:t>ей понадобится</w:t>
      </w:r>
      <w:r w:rsidR="00DA5B1A" w:rsidRPr="00F62C04">
        <w:rPr>
          <w:lang w:val="ru-RU"/>
        </w:rPr>
        <w:t xml:space="preserve"> получить) </w:t>
      </w:r>
      <w:r w:rsidR="004F67E1">
        <w:rPr>
          <w:lang w:val="ru-RU"/>
        </w:rPr>
        <w:t xml:space="preserve">эту </w:t>
      </w:r>
      <w:r w:rsidR="00DA5B1A" w:rsidRPr="00F62C04">
        <w:rPr>
          <w:lang w:val="ru-RU"/>
        </w:rPr>
        <w:t>другую валюту.</w:t>
      </w:r>
      <w:r w:rsidR="00DA5B1A">
        <w:rPr>
          <w:lang w:val="ru-RU"/>
        </w:rPr>
        <w:t xml:space="preserve"> </w:t>
      </w:r>
      <w:r w:rsidR="00DA5B1A" w:rsidRPr="00F62C04">
        <w:rPr>
          <w:lang w:val="ru-RU"/>
        </w:rPr>
        <w:t>В рамках оценки возможности обмена валюты</w:t>
      </w:r>
      <w:r w:rsidR="00CA7653">
        <w:rPr>
          <w:lang w:val="ru-RU"/>
        </w:rPr>
        <w:t>:</w:t>
      </w:r>
    </w:p>
    <w:p w14:paraId="137992B9" w14:textId="28491CBC" w:rsidR="00DE4801" w:rsidRPr="00872B38" w:rsidRDefault="006669CB">
      <w:pPr>
        <w:pStyle w:val="IASBNormalnparaL1"/>
        <w:rPr>
          <w:lang w:val="ru-RU"/>
        </w:rPr>
      </w:pPr>
      <w:r w:rsidRPr="00872B38">
        <w:rPr>
          <w:lang w:val="ru-RU"/>
        </w:rPr>
        <w:t>(</w:t>
      </w:r>
      <w:r>
        <w:t>a</w:t>
      </w:r>
      <w:r w:rsidRPr="00872B38">
        <w:rPr>
          <w:lang w:val="ru-RU"/>
        </w:rPr>
        <w:t>)</w:t>
      </w:r>
      <w:r w:rsidRPr="00872B38">
        <w:rPr>
          <w:lang w:val="ru-RU"/>
        </w:rPr>
        <w:tab/>
      </w:r>
      <w:r w:rsidR="00CA7653">
        <w:rPr>
          <w:lang w:val="ru-RU"/>
        </w:rPr>
        <w:t xml:space="preserve">в ситуации, </w:t>
      </w:r>
      <w:r w:rsidR="00872B38" w:rsidRPr="00F62C04">
        <w:rPr>
          <w:lang w:val="ru-RU"/>
        </w:rPr>
        <w:t xml:space="preserve">когда организация отражает операции в иностранной валюте в своей функциональной валюте (см. пункты 20–37), организация должна исходить из того, что цель, для которой она получает другую валюту, заключается в реализации или урегулировании отдельных операций </w:t>
      </w:r>
      <w:r w:rsidR="00013865" w:rsidRPr="00F62C04">
        <w:rPr>
          <w:lang w:val="ru-RU"/>
        </w:rPr>
        <w:t xml:space="preserve">активов или обязательств </w:t>
      </w:r>
      <w:r w:rsidR="00872B38" w:rsidRPr="00F62C04">
        <w:rPr>
          <w:lang w:val="ru-RU"/>
        </w:rPr>
        <w:t>в иностранной валюте;</w:t>
      </w:r>
    </w:p>
    <w:p w14:paraId="39FE9062" w14:textId="7C22BE75" w:rsidR="00DE4801" w:rsidRPr="00BE441D" w:rsidRDefault="006669CB">
      <w:pPr>
        <w:pStyle w:val="IASBNormalnparaL1"/>
        <w:rPr>
          <w:lang w:val="ru-RU"/>
        </w:rPr>
      </w:pPr>
      <w:r w:rsidRPr="00BE441D">
        <w:rPr>
          <w:lang w:val="ru-RU"/>
        </w:rPr>
        <w:lastRenderedPageBreak/>
        <w:t>(</w:t>
      </w:r>
      <w:r>
        <w:t>b</w:t>
      </w:r>
      <w:r w:rsidRPr="00BE441D">
        <w:rPr>
          <w:lang w:val="ru-RU"/>
        </w:rPr>
        <w:t>)</w:t>
      </w:r>
      <w:r w:rsidRPr="00BE441D">
        <w:rPr>
          <w:lang w:val="ru-RU"/>
        </w:rPr>
        <w:tab/>
      </w:r>
      <w:r w:rsidR="00CA7653">
        <w:rPr>
          <w:lang w:val="ru-RU"/>
        </w:rPr>
        <w:t xml:space="preserve">в ситуации, </w:t>
      </w:r>
      <w:r w:rsidR="00BE441D" w:rsidRPr="00F62C04">
        <w:rPr>
          <w:lang w:val="ru-RU"/>
        </w:rPr>
        <w:t xml:space="preserve">когда организация использует валюту представления, отличную от </w:t>
      </w:r>
      <w:r w:rsidR="00FB37D1">
        <w:rPr>
          <w:lang w:val="ru-RU"/>
        </w:rPr>
        <w:t>своей</w:t>
      </w:r>
      <w:r w:rsidR="00FB37D1" w:rsidRPr="00F62C04">
        <w:rPr>
          <w:lang w:val="ru-RU"/>
        </w:rPr>
        <w:t xml:space="preserve"> </w:t>
      </w:r>
      <w:r w:rsidR="00BE441D" w:rsidRPr="00F62C04">
        <w:rPr>
          <w:lang w:val="ru-RU"/>
        </w:rPr>
        <w:t>функциональной валюты (см. пункты 38–43), организация должна исходить из того, что цель, для которой она получает другую валюту, заключается в реализации или урегулировании своих чистых активов или чистых обязательств;</w:t>
      </w:r>
    </w:p>
    <w:p w14:paraId="75F5DCE2" w14:textId="12CC4AD5" w:rsidR="00DE4801" w:rsidRPr="00BE441D" w:rsidRDefault="006669CB">
      <w:pPr>
        <w:pStyle w:val="IASBNormalnparaL1"/>
        <w:rPr>
          <w:lang w:val="ru-RU"/>
        </w:rPr>
      </w:pPr>
      <w:r w:rsidRPr="00BE441D">
        <w:rPr>
          <w:lang w:val="ru-RU"/>
        </w:rPr>
        <w:t>(</w:t>
      </w:r>
      <w:r>
        <w:t>c</w:t>
      </w:r>
      <w:r w:rsidRPr="00BE441D">
        <w:rPr>
          <w:lang w:val="ru-RU"/>
        </w:rPr>
        <w:t>)</w:t>
      </w:r>
      <w:r w:rsidRPr="00BE441D">
        <w:rPr>
          <w:lang w:val="ru-RU"/>
        </w:rPr>
        <w:tab/>
      </w:r>
      <w:r w:rsidR="00CA7653">
        <w:rPr>
          <w:lang w:val="ru-RU"/>
        </w:rPr>
        <w:t xml:space="preserve">в ситуации, </w:t>
      </w:r>
      <w:r w:rsidR="00BE441D" w:rsidRPr="00F62C04">
        <w:rPr>
          <w:lang w:val="ru-RU"/>
        </w:rPr>
        <w:t xml:space="preserve">когда организация пересчитывает результаты и финансовое положение иностранного подразделения в валюту представления (см. пункты 44–47), организация должна исходить из того, что цель, для которой она получает другую валюту, заключается в реализации или урегулировании своей чистой инвестиции в </w:t>
      </w:r>
      <w:r w:rsidR="00013865">
        <w:rPr>
          <w:lang w:val="ru-RU"/>
        </w:rPr>
        <w:t xml:space="preserve">это </w:t>
      </w:r>
      <w:r w:rsidR="00BE441D" w:rsidRPr="00F62C04">
        <w:rPr>
          <w:lang w:val="ru-RU"/>
        </w:rPr>
        <w:t>иностранное подразделение.</w:t>
      </w:r>
    </w:p>
    <w:p w14:paraId="7427CFC5" w14:textId="77777777" w:rsidR="00DE4801" w:rsidRPr="00BE441D" w:rsidRDefault="00DE4801">
      <w:pPr>
        <w:rPr>
          <w:lang w:val="ru-RU"/>
        </w:rPr>
        <w:sectPr w:rsidR="00DE4801" w:rsidRPr="00BE441D">
          <w:headerReference w:type="even" r:id="rId42"/>
          <w:headerReference w:type="default" r:id="rId43"/>
          <w:footerReference w:type="even" r:id="rId44"/>
          <w:footerReference w:type="default" r:id="rId45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365ABA91" w14:textId="4A435691" w:rsidR="00DE4801" w:rsidRPr="00BE441D" w:rsidRDefault="006669CB">
      <w:pPr>
        <w:pStyle w:val="IASBNormalnpara"/>
        <w:rPr>
          <w:lang w:val="ru-RU"/>
        </w:rPr>
      </w:pPr>
      <w:r>
        <w:t>A</w:t>
      </w:r>
      <w:r w:rsidRPr="00BE441D">
        <w:rPr>
          <w:lang w:val="ru-RU"/>
        </w:rPr>
        <w:t>8</w:t>
      </w:r>
      <w:r w:rsidRPr="00BE441D">
        <w:rPr>
          <w:lang w:val="ru-RU"/>
        </w:rPr>
        <w:tab/>
      </w:r>
      <w:r w:rsidR="00BE441D" w:rsidRPr="00852176">
        <w:rPr>
          <w:lang w:val="ru-RU"/>
        </w:rPr>
        <w:t xml:space="preserve">Чистые активы </w:t>
      </w:r>
      <w:r w:rsidR="00B2122C">
        <w:rPr>
          <w:lang w:val="ru-RU"/>
        </w:rPr>
        <w:t xml:space="preserve">организации </w:t>
      </w:r>
      <w:r w:rsidR="00BE441D" w:rsidRPr="00852176">
        <w:rPr>
          <w:lang w:val="ru-RU"/>
        </w:rPr>
        <w:t xml:space="preserve">или </w:t>
      </w:r>
      <w:r w:rsidR="00B2122C">
        <w:rPr>
          <w:lang w:val="ru-RU"/>
        </w:rPr>
        <w:t>ее</w:t>
      </w:r>
      <w:r w:rsidR="00BE441D" w:rsidRPr="00852176">
        <w:rPr>
          <w:lang w:val="ru-RU"/>
        </w:rPr>
        <w:t xml:space="preserve"> чистая инвестиция в иностранное подразделение могут быть реализованы, например, </w:t>
      </w:r>
      <w:r w:rsidR="008C76A3">
        <w:rPr>
          <w:lang w:val="ru-RU"/>
        </w:rPr>
        <w:t>посредством</w:t>
      </w:r>
      <w:r w:rsidR="00BE441D" w:rsidRPr="00852176">
        <w:rPr>
          <w:lang w:val="ru-RU"/>
        </w:rPr>
        <w:t>:</w:t>
      </w:r>
    </w:p>
    <w:p w14:paraId="51B42C35" w14:textId="46E8506E" w:rsidR="00DE4801" w:rsidRPr="00BE441D" w:rsidRDefault="006669CB">
      <w:pPr>
        <w:pStyle w:val="IASBNormalnparaL1"/>
        <w:rPr>
          <w:lang w:val="ru-RU"/>
        </w:rPr>
      </w:pPr>
      <w:r w:rsidRPr="00BE441D">
        <w:rPr>
          <w:lang w:val="ru-RU"/>
        </w:rPr>
        <w:t>(</w:t>
      </w:r>
      <w:r>
        <w:t>a</w:t>
      </w:r>
      <w:r w:rsidRPr="00BE441D">
        <w:rPr>
          <w:lang w:val="ru-RU"/>
        </w:rPr>
        <w:t>)</w:t>
      </w:r>
      <w:r w:rsidRPr="00BE441D">
        <w:rPr>
          <w:lang w:val="ru-RU"/>
        </w:rPr>
        <w:tab/>
      </w:r>
      <w:r w:rsidR="00BE441D" w:rsidRPr="00852176">
        <w:rPr>
          <w:lang w:val="ru-RU"/>
        </w:rPr>
        <w:t>распределени</w:t>
      </w:r>
      <w:r w:rsidR="00013865">
        <w:rPr>
          <w:lang w:val="ru-RU"/>
        </w:rPr>
        <w:t>я</w:t>
      </w:r>
      <w:r w:rsidR="00BE441D" w:rsidRPr="00852176">
        <w:rPr>
          <w:lang w:val="ru-RU"/>
        </w:rPr>
        <w:t xml:space="preserve"> финансового дохода между собственниками организации;</w:t>
      </w:r>
    </w:p>
    <w:p w14:paraId="0810DDCD" w14:textId="2CBD741B" w:rsidR="00DE4801" w:rsidRPr="00BE441D" w:rsidRDefault="006669CB">
      <w:pPr>
        <w:pStyle w:val="IASBNormalnparaL1"/>
        <w:rPr>
          <w:lang w:val="ru-RU"/>
        </w:rPr>
      </w:pPr>
      <w:r w:rsidRPr="00BE441D">
        <w:rPr>
          <w:lang w:val="ru-RU"/>
        </w:rPr>
        <w:t>(</w:t>
      </w:r>
      <w:r>
        <w:t>b</w:t>
      </w:r>
      <w:r w:rsidRPr="00BE441D">
        <w:rPr>
          <w:lang w:val="ru-RU"/>
        </w:rPr>
        <w:t>)</w:t>
      </w:r>
      <w:r w:rsidRPr="00BE441D">
        <w:rPr>
          <w:lang w:val="ru-RU"/>
        </w:rPr>
        <w:tab/>
      </w:r>
      <w:r w:rsidR="00BE441D" w:rsidRPr="00852176">
        <w:rPr>
          <w:lang w:val="ru-RU"/>
        </w:rPr>
        <w:t>получени</w:t>
      </w:r>
      <w:r w:rsidR="00013865">
        <w:rPr>
          <w:lang w:val="ru-RU"/>
        </w:rPr>
        <w:t>я</w:t>
      </w:r>
      <w:r w:rsidR="00BE441D" w:rsidRPr="00852176">
        <w:rPr>
          <w:lang w:val="ru-RU"/>
        </w:rPr>
        <w:t xml:space="preserve"> финансового дохода от иностранного подразделения организации; или</w:t>
      </w:r>
    </w:p>
    <w:p w14:paraId="0A19AE35" w14:textId="6B68D7F7" w:rsidR="00DE4801" w:rsidRPr="00BE441D" w:rsidRDefault="006669CB">
      <w:pPr>
        <w:pStyle w:val="IASBNormalnparaL1"/>
        <w:rPr>
          <w:lang w:val="ru-RU"/>
        </w:rPr>
      </w:pPr>
      <w:r w:rsidRPr="00BE441D">
        <w:rPr>
          <w:lang w:val="ru-RU"/>
        </w:rPr>
        <w:t>(</w:t>
      </w:r>
      <w:r>
        <w:t>c</w:t>
      </w:r>
      <w:r w:rsidRPr="00BE441D">
        <w:rPr>
          <w:lang w:val="ru-RU"/>
        </w:rPr>
        <w:t>)</w:t>
      </w:r>
      <w:r w:rsidRPr="00BE441D">
        <w:rPr>
          <w:lang w:val="ru-RU"/>
        </w:rPr>
        <w:tab/>
      </w:r>
      <w:r w:rsidR="00BE441D" w:rsidRPr="00852176">
        <w:rPr>
          <w:lang w:val="ru-RU"/>
        </w:rPr>
        <w:t>возмещени</w:t>
      </w:r>
      <w:r w:rsidR="00013865">
        <w:rPr>
          <w:lang w:val="ru-RU"/>
        </w:rPr>
        <w:t>я</w:t>
      </w:r>
      <w:r w:rsidR="00BE441D" w:rsidRPr="00852176">
        <w:rPr>
          <w:lang w:val="ru-RU"/>
        </w:rPr>
        <w:t xml:space="preserve"> инвестиции</w:t>
      </w:r>
      <w:r w:rsidR="00013865">
        <w:rPr>
          <w:lang w:val="ru-RU"/>
        </w:rPr>
        <w:t xml:space="preserve">, </w:t>
      </w:r>
      <w:r w:rsidR="000A67A1">
        <w:rPr>
          <w:lang w:val="ru-RU"/>
        </w:rPr>
        <w:t xml:space="preserve">которое </w:t>
      </w:r>
      <w:r w:rsidR="00013865">
        <w:rPr>
          <w:lang w:val="ru-RU"/>
        </w:rPr>
        <w:t>получен</w:t>
      </w:r>
      <w:r w:rsidR="000A67A1">
        <w:rPr>
          <w:lang w:val="ru-RU"/>
        </w:rPr>
        <w:t>о</w:t>
      </w:r>
      <w:r w:rsidR="00BE441D" w:rsidRPr="00852176">
        <w:rPr>
          <w:lang w:val="ru-RU"/>
        </w:rPr>
        <w:t xml:space="preserve"> организацией или собственниками организации, например, в результате выбытия инвестиции.</w:t>
      </w:r>
    </w:p>
    <w:p w14:paraId="163CEB97" w14:textId="77777777" w:rsidR="00DE4801" w:rsidRPr="00BE441D" w:rsidRDefault="00DE4801">
      <w:pPr>
        <w:rPr>
          <w:lang w:val="ru-RU"/>
        </w:rPr>
        <w:sectPr w:rsidR="00DE4801" w:rsidRPr="00BE441D">
          <w:headerReference w:type="even" r:id="rId46"/>
          <w:headerReference w:type="default" r:id="rId47"/>
          <w:footerReference w:type="even" r:id="rId48"/>
          <w:footerReference w:type="default" r:id="rId49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3A26CC82" w14:textId="20847098" w:rsidR="00DE4801" w:rsidRPr="00BE441D" w:rsidRDefault="006669CB">
      <w:pPr>
        <w:pStyle w:val="IASBNormalnpara"/>
        <w:rPr>
          <w:lang w:val="ru-RU"/>
        </w:rPr>
      </w:pPr>
      <w:r>
        <w:t>A</w:t>
      </w:r>
      <w:r w:rsidRPr="00BE441D">
        <w:rPr>
          <w:lang w:val="ru-RU"/>
        </w:rPr>
        <w:t>9</w:t>
      </w:r>
      <w:r w:rsidRPr="00BE441D">
        <w:rPr>
          <w:lang w:val="ru-RU"/>
        </w:rPr>
        <w:tab/>
      </w:r>
      <w:r w:rsidR="00BE441D" w:rsidRPr="00852176">
        <w:rPr>
          <w:lang w:val="ru-RU"/>
        </w:rPr>
        <w:t>Организация должна оценить</w:t>
      </w:r>
      <w:r w:rsidR="00001140">
        <w:rPr>
          <w:lang w:val="ru-RU"/>
        </w:rPr>
        <w:t xml:space="preserve"> возможность обмена одной </w:t>
      </w:r>
      <w:r w:rsidR="00BE441D" w:rsidRPr="00852176">
        <w:rPr>
          <w:lang w:val="ru-RU"/>
        </w:rPr>
        <w:t>валют</w:t>
      </w:r>
      <w:r w:rsidR="00001140">
        <w:rPr>
          <w:lang w:val="ru-RU"/>
        </w:rPr>
        <w:t>ы</w:t>
      </w:r>
      <w:r w:rsidR="00BE441D" w:rsidRPr="00852176">
        <w:rPr>
          <w:lang w:val="ru-RU"/>
        </w:rPr>
        <w:t xml:space="preserve"> на другую валюту отдельно для каждой цели, указанной в пункте А7.</w:t>
      </w:r>
      <w:r w:rsidR="00BE441D">
        <w:rPr>
          <w:lang w:val="ru-RU"/>
        </w:rPr>
        <w:t xml:space="preserve"> </w:t>
      </w:r>
      <w:r w:rsidR="00BE441D" w:rsidRPr="00852176">
        <w:rPr>
          <w:lang w:val="ru-RU"/>
        </w:rPr>
        <w:t>Например, возможность обмена для цели отражения операций в иностранной валюте в своей функциональной валюте (см. пункт A7(a))</w:t>
      </w:r>
      <w:r w:rsidR="00001140">
        <w:rPr>
          <w:lang w:val="ru-RU"/>
        </w:rPr>
        <w:t xml:space="preserve"> организация должна оценивать</w:t>
      </w:r>
      <w:r w:rsidR="00BE441D" w:rsidRPr="00852176">
        <w:rPr>
          <w:lang w:val="ru-RU"/>
        </w:rPr>
        <w:t xml:space="preserve"> отдельно от </w:t>
      </w:r>
      <w:r w:rsidR="00001140">
        <w:rPr>
          <w:lang w:val="ru-RU"/>
        </w:rPr>
        <w:t xml:space="preserve">оценки </w:t>
      </w:r>
      <w:r w:rsidR="00BE441D" w:rsidRPr="00852176">
        <w:rPr>
          <w:lang w:val="ru-RU"/>
        </w:rPr>
        <w:t>возможности обмена для цели пересчета результатов и финансового положения иностранного подразделения (см. пункт A7(c)).</w:t>
      </w:r>
    </w:p>
    <w:p w14:paraId="7D806A18" w14:textId="77777777" w:rsidR="00DE4801" w:rsidRPr="00BE441D" w:rsidRDefault="00DE4801">
      <w:pPr>
        <w:rPr>
          <w:lang w:val="ru-RU"/>
        </w:rPr>
        <w:sectPr w:rsidR="00DE4801" w:rsidRPr="00BE441D">
          <w:headerReference w:type="even" r:id="rId50"/>
          <w:headerReference w:type="default" r:id="rId51"/>
          <w:footerReference w:type="even" r:id="rId52"/>
          <w:footerReference w:type="default" r:id="rId53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427316E0" w14:textId="77777777" w:rsidR="00DE4801" w:rsidRPr="00BE441D" w:rsidRDefault="00BE441D">
      <w:pPr>
        <w:pStyle w:val="IASBSectionTitle3Ind"/>
        <w:rPr>
          <w:lang w:val="ru-RU"/>
        </w:rPr>
      </w:pPr>
      <w:r w:rsidRPr="00165595">
        <w:rPr>
          <w:szCs w:val="22"/>
          <w:lang w:val="ru-RU"/>
        </w:rPr>
        <w:t>Возможность получить лишь ограниченные суммы другой валюты</w:t>
      </w:r>
    </w:p>
    <w:p w14:paraId="54416877" w14:textId="5318FADB" w:rsidR="00DE4801" w:rsidRPr="00BE441D" w:rsidRDefault="006669CB">
      <w:pPr>
        <w:pStyle w:val="IASBNormalnpara"/>
        <w:rPr>
          <w:lang w:val="ru-RU"/>
        </w:rPr>
      </w:pPr>
      <w:r>
        <w:t>A</w:t>
      </w:r>
      <w:r w:rsidRPr="00BE441D">
        <w:rPr>
          <w:lang w:val="ru-RU"/>
        </w:rPr>
        <w:t>10</w:t>
      </w:r>
      <w:r w:rsidRPr="00BE441D">
        <w:rPr>
          <w:lang w:val="ru-RU"/>
        </w:rPr>
        <w:tab/>
      </w:r>
      <w:r w:rsidR="00BE441D" w:rsidRPr="00D0294B">
        <w:rPr>
          <w:lang w:val="ru-RU"/>
        </w:rPr>
        <w:t>В</w:t>
      </w:r>
      <w:r w:rsidR="00281DC4">
        <w:rPr>
          <w:lang w:val="ru-RU"/>
        </w:rPr>
        <w:t>озможность обмена одной в</w:t>
      </w:r>
      <w:r w:rsidR="00BE441D" w:rsidRPr="00D0294B">
        <w:rPr>
          <w:lang w:val="ru-RU"/>
        </w:rPr>
        <w:t>алют</w:t>
      </w:r>
      <w:r w:rsidR="00281DC4">
        <w:rPr>
          <w:lang w:val="ru-RU"/>
        </w:rPr>
        <w:t>ы</w:t>
      </w:r>
      <w:r w:rsidR="00BE441D" w:rsidRPr="00D0294B">
        <w:rPr>
          <w:lang w:val="ru-RU"/>
        </w:rPr>
        <w:t xml:space="preserve"> на другую </w:t>
      </w:r>
      <w:r w:rsidR="00BE441D" w:rsidRPr="008975E9">
        <w:rPr>
          <w:lang w:val="ru-RU"/>
        </w:rPr>
        <w:t>валюту</w:t>
      </w:r>
      <w:r w:rsidR="00281DC4">
        <w:rPr>
          <w:lang w:val="ru-RU"/>
        </w:rPr>
        <w:t xml:space="preserve"> отсутствует</w:t>
      </w:r>
      <w:r w:rsidR="00BE441D" w:rsidRPr="00D0294B">
        <w:rPr>
          <w:lang w:val="ru-RU"/>
        </w:rPr>
        <w:t>, если для цели, указанной в пункте</w:t>
      </w:r>
      <w:r w:rsidR="001803CA">
        <w:rPr>
          <w:lang w:val="ru-RU"/>
        </w:rPr>
        <w:t> </w:t>
      </w:r>
      <w:r w:rsidR="00BE441D" w:rsidRPr="00D0294B">
        <w:rPr>
          <w:lang w:val="ru-RU"/>
        </w:rPr>
        <w:t xml:space="preserve">A7, организация в состоянии получить не более чем незначительную сумму </w:t>
      </w:r>
      <w:r w:rsidR="00281DC4">
        <w:rPr>
          <w:lang w:val="ru-RU"/>
        </w:rPr>
        <w:t xml:space="preserve">этой </w:t>
      </w:r>
      <w:r w:rsidR="00BE441D" w:rsidRPr="00D0294B">
        <w:rPr>
          <w:lang w:val="ru-RU"/>
        </w:rPr>
        <w:t>другой валюты.</w:t>
      </w:r>
      <w:r w:rsidR="00BE441D">
        <w:rPr>
          <w:lang w:val="ru-RU"/>
        </w:rPr>
        <w:t xml:space="preserve"> </w:t>
      </w:r>
      <w:r w:rsidR="00BE441D" w:rsidRPr="00D0294B">
        <w:rPr>
          <w:lang w:val="ru-RU"/>
        </w:rPr>
        <w:t>Организация должна оцени</w:t>
      </w:r>
      <w:r w:rsidR="00281DC4">
        <w:rPr>
          <w:lang w:val="ru-RU"/>
        </w:rPr>
        <w:t>ва</w:t>
      </w:r>
      <w:r w:rsidR="00BE441D" w:rsidRPr="00D0294B">
        <w:rPr>
          <w:lang w:val="ru-RU"/>
        </w:rPr>
        <w:t>ть значи</w:t>
      </w:r>
      <w:r w:rsidR="00281DC4">
        <w:rPr>
          <w:lang w:val="ru-RU"/>
        </w:rPr>
        <w:t>тельн</w:t>
      </w:r>
      <w:r w:rsidR="00BE441D" w:rsidRPr="00D0294B">
        <w:rPr>
          <w:lang w:val="ru-RU"/>
        </w:rPr>
        <w:t xml:space="preserve">ость суммы другой валюты, которую она в состоянии получить для </w:t>
      </w:r>
      <w:r w:rsidR="00281DC4">
        <w:rPr>
          <w:lang w:val="ru-RU"/>
        </w:rPr>
        <w:t>конкретной</w:t>
      </w:r>
      <w:r w:rsidR="00281DC4" w:rsidRPr="00D0294B">
        <w:rPr>
          <w:lang w:val="ru-RU"/>
        </w:rPr>
        <w:t xml:space="preserve"> </w:t>
      </w:r>
      <w:r w:rsidR="00BE441D" w:rsidRPr="00D0294B">
        <w:rPr>
          <w:lang w:val="ru-RU"/>
        </w:rPr>
        <w:t xml:space="preserve">цели, </w:t>
      </w:r>
      <w:r w:rsidR="00281DC4">
        <w:rPr>
          <w:lang w:val="ru-RU"/>
        </w:rPr>
        <w:t xml:space="preserve">путем </w:t>
      </w:r>
      <w:r w:rsidR="00BE441D" w:rsidRPr="00D0294B">
        <w:rPr>
          <w:lang w:val="ru-RU"/>
        </w:rPr>
        <w:t>сравн</w:t>
      </w:r>
      <w:r w:rsidR="00281DC4">
        <w:rPr>
          <w:lang w:val="ru-RU"/>
        </w:rPr>
        <w:t>ения</w:t>
      </w:r>
      <w:r w:rsidR="00BE441D" w:rsidRPr="00D0294B">
        <w:rPr>
          <w:lang w:val="ru-RU"/>
        </w:rPr>
        <w:t xml:space="preserve"> эт</w:t>
      </w:r>
      <w:r w:rsidR="00281DC4">
        <w:rPr>
          <w:lang w:val="ru-RU"/>
        </w:rPr>
        <w:t>ой</w:t>
      </w:r>
      <w:r w:rsidR="00BE441D" w:rsidRPr="00D0294B">
        <w:rPr>
          <w:lang w:val="ru-RU"/>
        </w:rPr>
        <w:t xml:space="preserve"> сумм</w:t>
      </w:r>
      <w:r w:rsidR="00281DC4">
        <w:rPr>
          <w:lang w:val="ru-RU"/>
        </w:rPr>
        <w:t>ы</w:t>
      </w:r>
      <w:r w:rsidR="00BE441D" w:rsidRPr="00D0294B">
        <w:rPr>
          <w:lang w:val="ru-RU"/>
        </w:rPr>
        <w:t xml:space="preserve"> с общей суммой </w:t>
      </w:r>
      <w:r w:rsidR="00281DC4">
        <w:rPr>
          <w:lang w:val="ru-RU"/>
        </w:rPr>
        <w:t xml:space="preserve">этой </w:t>
      </w:r>
      <w:r w:rsidR="00BE441D" w:rsidRPr="00D0294B">
        <w:rPr>
          <w:lang w:val="ru-RU"/>
        </w:rPr>
        <w:t xml:space="preserve">другой валюты, </w:t>
      </w:r>
      <w:r w:rsidR="00281DC4">
        <w:rPr>
          <w:lang w:val="ru-RU"/>
        </w:rPr>
        <w:t xml:space="preserve">требуемой </w:t>
      </w:r>
      <w:r w:rsidR="00BE441D" w:rsidRPr="00D0294B">
        <w:rPr>
          <w:lang w:val="ru-RU"/>
        </w:rPr>
        <w:t xml:space="preserve">для </w:t>
      </w:r>
      <w:r w:rsidR="00281DC4">
        <w:rPr>
          <w:lang w:val="ru-RU"/>
        </w:rPr>
        <w:t>указанной</w:t>
      </w:r>
      <w:r w:rsidR="00BE441D" w:rsidRPr="00D0294B">
        <w:rPr>
          <w:lang w:val="ru-RU"/>
        </w:rPr>
        <w:t xml:space="preserve"> цели.</w:t>
      </w:r>
      <w:r w:rsidR="00BE441D">
        <w:rPr>
          <w:lang w:val="ru-RU"/>
        </w:rPr>
        <w:t xml:space="preserve"> </w:t>
      </w:r>
      <w:r w:rsidR="00BE441D" w:rsidRPr="00D0294B">
        <w:rPr>
          <w:lang w:val="ru-RU"/>
        </w:rPr>
        <w:t xml:space="preserve">Например, у организации, функциональной валютой которой является </w:t>
      </w:r>
      <w:r w:rsidR="00FC7C2D">
        <w:t>LC</w:t>
      </w:r>
      <w:r w:rsidR="00BE441D" w:rsidRPr="00D0294B">
        <w:rPr>
          <w:lang w:val="ru-RU"/>
        </w:rPr>
        <w:t>, есть обязательства, номинированные в</w:t>
      </w:r>
      <w:r w:rsidR="00DA4ECC">
        <w:rPr>
          <w:lang w:val="ru-RU"/>
        </w:rPr>
        <w:t xml:space="preserve"> валюте</w:t>
      </w:r>
      <w:r w:rsidR="00BE441D" w:rsidRPr="00D0294B">
        <w:rPr>
          <w:lang w:val="ru-RU"/>
        </w:rPr>
        <w:t xml:space="preserve"> </w:t>
      </w:r>
      <w:r w:rsidR="00FC7C2D">
        <w:t>FC</w:t>
      </w:r>
      <w:r w:rsidR="00BE441D" w:rsidRPr="00D0294B">
        <w:rPr>
          <w:lang w:val="ru-RU"/>
        </w:rPr>
        <w:t>.</w:t>
      </w:r>
      <w:r w:rsidR="00BE441D">
        <w:rPr>
          <w:lang w:val="ru-RU"/>
        </w:rPr>
        <w:t xml:space="preserve"> </w:t>
      </w:r>
      <w:r w:rsidR="00BE441D" w:rsidRPr="00D0294B">
        <w:rPr>
          <w:lang w:val="ru-RU"/>
        </w:rPr>
        <w:t xml:space="preserve">Организация оценивает, является ли общая сумма </w:t>
      </w:r>
      <w:r w:rsidR="00FC7C2D">
        <w:t>FC</w:t>
      </w:r>
      <w:r w:rsidR="00BE441D" w:rsidRPr="00D0294B">
        <w:rPr>
          <w:lang w:val="ru-RU"/>
        </w:rPr>
        <w:t>, которую она может получить для цели урегулирования этих обязательств, не более чем незначительной суммой по сравнению с совокупной величиной (сумм</w:t>
      </w:r>
      <w:r w:rsidR="00281DC4">
        <w:rPr>
          <w:lang w:val="ru-RU"/>
        </w:rPr>
        <w:t>арным значением</w:t>
      </w:r>
      <w:r w:rsidR="00BE441D" w:rsidRPr="00D0294B">
        <w:rPr>
          <w:lang w:val="ru-RU"/>
        </w:rPr>
        <w:t xml:space="preserve">) остатков обязательств, номинированных в </w:t>
      </w:r>
      <w:r w:rsidR="00FC7C2D">
        <w:t>FC</w:t>
      </w:r>
      <w:r w:rsidRPr="00BE441D">
        <w:rPr>
          <w:lang w:val="ru-RU"/>
        </w:rPr>
        <w:t>.</w:t>
      </w:r>
    </w:p>
    <w:p w14:paraId="6C5175F1" w14:textId="77777777" w:rsidR="00DE4801" w:rsidRPr="00BE441D" w:rsidRDefault="00DE4801">
      <w:pPr>
        <w:rPr>
          <w:lang w:val="ru-RU"/>
        </w:rPr>
        <w:sectPr w:rsidR="00DE4801" w:rsidRPr="00BE441D">
          <w:headerReference w:type="even" r:id="rId54"/>
          <w:headerReference w:type="default" r:id="rId55"/>
          <w:footerReference w:type="even" r:id="rId56"/>
          <w:footerReference w:type="default" r:id="rId57"/>
          <w:type w:val="continuous"/>
          <w:pgSz w:w="11880" w:h="16820"/>
          <w:pgMar w:top="1440" w:right="1440" w:bottom="1440" w:left="1440" w:header="720" w:footer="720" w:gutter="0"/>
          <w:cols w:space="720"/>
        </w:sectPr>
      </w:pPr>
    </w:p>
    <w:p w14:paraId="0C26A127" w14:textId="6ABDDE36" w:rsidR="00DE4801" w:rsidRPr="00BE441D" w:rsidRDefault="00BE441D">
      <w:pPr>
        <w:pStyle w:val="IASBSectionTitle2Ind"/>
        <w:rPr>
          <w:lang w:val="ru-RU"/>
        </w:rPr>
      </w:pPr>
      <w:r w:rsidRPr="00165595">
        <w:rPr>
          <w:szCs w:val="26"/>
          <w:lang w:val="ru-RU"/>
        </w:rPr>
        <w:lastRenderedPageBreak/>
        <w:t xml:space="preserve">Этап </w:t>
      </w:r>
      <w:r w:rsidRPr="00165595">
        <w:rPr>
          <w:szCs w:val="26"/>
        </w:rPr>
        <w:t>II</w:t>
      </w:r>
      <w:r w:rsidRPr="00165595">
        <w:rPr>
          <w:szCs w:val="26"/>
          <w:lang w:val="ru-RU"/>
        </w:rPr>
        <w:t xml:space="preserve">: </w:t>
      </w:r>
      <w:r w:rsidR="005929CC">
        <w:rPr>
          <w:szCs w:val="26"/>
          <w:lang w:val="ru-RU"/>
        </w:rPr>
        <w:t>Расчетная оценка</w:t>
      </w:r>
      <w:r w:rsidR="00D87A0B" w:rsidRPr="00165595">
        <w:rPr>
          <w:szCs w:val="26"/>
          <w:lang w:val="ru-RU"/>
        </w:rPr>
        <w:t xml:space="preserve"> </w:t>
      </w:r>
      <w:r w:rsidRPr="00165595">
        <w:rPr>
          <w:szCs w:val="26"/>
          <w:lang w:val="ru-RU"/>
        </w:rPr>
        <w:t xml:space="preserve">текущего обменного курса, когда </w:t>
      </w:r>
      <w:r w:rsidR="00146324">
        <w:rPr>
          <w:szCs w:val="26"/>
          <w:lang w:val="ru-RU"/>
        </w:rPr>
        <w:t xml:space="preserve">возможность обмена </w:t>
      </w:r>
      <w:r w:rsidR="00776C83">
        <w:rPr>
          <w:szCs w:val="26"/>
          <w:lang w:val="ru-RU"/>
        </w:rPr>
        <w:t xml:space="preserve">одной </w:t>
      </w:r>
      <w:r w:rsidRPr="00165595">
        <w:rPr>
          <w:szCs w:val="26"/>
          <w:lang w:val="ru-RU"/>
        </w:rPr>
        <w:t>валют</w:t>
      </w:r>
      <w:r w:rsidR="00146324">
        <w:rPr>
          <w:szCs w:val="26"/>
          <w:lang w:val="ru-RU"/>
        </w:rPr>
        <w:t xml:space="preserve">ы </w:t>
      </w:r>
      <w:r w:rsidR="00776C83">
        <w:rPr>
          <w:szCs w:val="26"/>
          <w:lang w:val="ru-RU"/>
        </w:rPr>
        <w:t xml:space="preserve">на другую </w:t>
      </w:r>
      <w:r w:rsidR="00146324">
        <w:rPr>
          <w:szCs w:val="26"/>
          <w:lang w:val="ru-RU"/>
        </w:rPr>
        <w:t>отсутствует</w:t>
      </w:r>
      <w:r w:rsidRPr="00165595">
        <w:rPr>
          <w:szCs w:val="26"/>
          <w:lang w:val="ru-RU"/>
        </w:rPr>
        <w:t xml:space="preserve"> (пункт 19А)</w:t>
      </w:r>
    </w:p>
    <w:p w14:paraId="0AE5558F" w14:textId="70F2336E" w:rsidR="00776C83" w:rsidRPr="00BE441D" w:rsidRDefault="006669CB">
      <w:pPr>
        <w:pStyle w:val="IASBNormalnpara"/>
        <w:rPr>
          <w:lang w:val="ru-RU"/>
        </w:rPr>
      </w:pPr>
      <w:r>
        <w:t>A</w:t>
      </w:r>
      <w:r w:rsidRPr="00BE441D">
        <w:rPr>
          <w:lang w:val="ru-RU"/>
        </w:rPr>
        <w:t>11</w:t>
      </w:r>
      <w:r w:rsidRPr="00BE441D">
        <w:rPr>
          <w:lang w:val="ru-RU"/>
        </w:rPr>
        <w:tab/>
      </w:r>
      <w:r w:rsidR="00146324">
        <w:rPr>
          <w:lang w:val="ru-RU"/>
        </w:rPr>
        <w:t xml:space="preserve">Настоящий </w:t>
      </w:r>
      <w:r w:rsidR="00BE441D" w:rsidRPr="00D0294B">
        <w:rPr>
          <w:lang w:val="ru-RU"/>
        </w:rPr>
        <w:t xml:space="preserve">стандарт не </w:t>
      </w:r>
      <w:r w:rsidR="00146324" w:rsidRPr="009768BE">
        <w:rPr>
          <w:lang w:val="ru-RU"/>
        </w:rPr>
        <w:t>конкретизирует</w:t>
      </w:r>
      <w:r w:rsidR="00BE441D" w:rsidRPr="009768BE">
        <w:rPr>
          <w:lang w:val="ru-RU"/>
        </w:rPr>
        <w:t xml:space="preserve">, каким образом организация </w:t>
      </w:r>
      <w:r w:rsidR="00CA7653" w:rsidRPr="009768BE">
        <w:rPr>
          <w:lang w:val="ru-RU"/>
        </w:rPr>
        <w:t xml:space="preserve">определяет </w:t>
      </w:r>
      <w:r w:rsidR="005929CC" w:rsidRPr="009768BE">
        <w:rPr>
          <w:lang w:val="ru-RU"/>
        </w:rPr>
        <w:t>расчетную оценку</w:t>
      </w:r>
      <w:r w:rsidR="00CA7653" w:rsidRPr="009768BE">
        <w:rPr>
          <w:lang w:val="ru-RU"/>
        </w:rPr>
        <w:t xml:space="preserve"> </w:t>
      </w:r>
      <w:r w:rsidR="00BE441D" w:rsidRPr="009768BE">
        <w:rPr>
          <w:lang w:val="ru-RU"/>
        </w:rPr>
        <w:t>текущ</w:t>
      </w:r>
      <w:r w:rsidR="009768BE" w:rsidRPr="009768BE">
        <w:rPr>
          <w:lang w:val="ru-RU"/>
        </w:rPr>
        <w:t>его</w:t>
      </w:r>
      <w:r w:rsidR="00BE441D" w:rsidRPr="009768BE">
        <w:rPr>
          <w:lang w:val="ru-RU"/>
        </w:rPr>
        <w:t xml:space="preserve"> обменн</w:t>
      </w:r>
      <w:r w:rsidR="009768BE" w:rsidRPr="009768BE">
        <w:rPr>
          <w:lang w:val="ru-RU"/>
        </w:rPr>
        <w:t>ого</w:t>
      </w:r>
      <w:r w:rsidR="00BE441D" w:rsidRPr="009768BE">
        <w:rPr>
          <w:lang w:val="ru-RU"/>
        </w:rPr>
        <w:t xml:space="preserve"> курс</w:t>
      </w:r>
      <w:r w:rsidR="009768BE" w:rsidRPr="009768BE">
        <w:rPr>
          <w:lang w:val="ru-RU"/>
        </w:rPr>
        <w:t>а</w:t>
      </w:r>
      <w:r w:rsidR="00BE441D" w:rsidRPr="009768BE">
        <w:rPr>
          <w:lang w:val="ru-RU"/>
        </w:rPr>
        <w:t xml:space="preserve"> для достижения цели, указанной в пункте 19A. Организация может использовать наблюдаемый </w:t>
      </w:r>
      <w:r w:rsidR="00BE441D" w:rsidRPr="00D0294B">
        <w:rPr>
          <w:lang w:val="ru-RU"/>
        </w:rPr>
        <w:t>обменный курс без корректировки (см. пункты A12–A16) либо другой метод расчетной оценки (см. пункт A17).</w:t>
      </w:r>
    </w:p>
    <w:p w14:paraId="632ACBC7" w14:textId="77777777" w:rsidR="00DE4801" w:rsidRPr="00BE441D" w:rsidRDefault="00BE441D">
      <w:pPr>
        <w:pStyle w:val="IASBSectionTitle3Ind"/>
        <w:rPr>
          <w:lang w:val="ru-RU"/>
        </w:rPr>
      </w:pPr>
      <w:r w:rsidRPr="00BD2E0C">
        <w:rPr>
          <w:szCs w:val="22"/>
          <w:lang w:val="ru-RU"/>
        </w:rPr>
        <w:t>Использование наблюдаемого обменного курса без корректировки</w:t>
      </w:r>
    </w:p>
    <w:p w14:paraId="7BD88DBF" w14:textId="06BE1039" w:rsidR="00DE4801" w:rsidRPr="00BE441D" w:rsidRDefault="006669CB">
      <w:pPr>
        <w:pStyle w:val="IASBNormalnpara"/>
        <w:rPr>
          <w:lang w:val="ru-RU"/>
        </w:rPr>
      </w:pPr>
      <w:r>
        <w:t>A</w:t>
      </w:r>
      <w:r w:rsidRPr="00BE441D">
        <w:rPr>
          <w:lang w:val="ru-RU"/>
        </w:rPr>
        <w:t>12</w:t>
      </w:r>
      <w:r w:rsidRPr="00BE441D">
        <w:rPr>
          <w:lang w:val="ru-RU"/>
        </w:rPr>
        <w:tab/>
      </w:r>
      <w:r w:rsidR="00146324" w:rsidRPr="00B00A8A">
        <w:rPr>
          <w:lang w:val="ru-RU"/>
        </w:rPr>
        <w:t>При</w:t>
      </w:r>
      <w:r w:rsidR="00B00A8A" w:rsidRPr="00B00A8A">
        <w:rPr>
          <w:lang w:val="ru-RU"/>
        </w:rPr>
        <w:t xml:space="preserve"> расчетной</w:t>
      </w:r>
      <w:r w:rsidR="00146324" w:rsidRPr="00B00A8A">
        <w:rPr>
          <w:lang w:val="ru-RU"/>
        </w:rPr>
        <w:t xml:space="preserve"> оценке</w:t>
      </w:r>
      <w:r w:rsidR="00BE441D" w:rsidRPr="00B00A8A">
        <w:rPr>
          <w:lang w:val="ru-RU"/>
        </w:rPr>
        <w:t xml:space="preserve"> текущ</w:t>
      </w:r>
      <w:r w:rsidR="00146324" w:rsidRPr="00B00A8A">
        <w:rPr>
          <w:lang w:val="ru-RU"/>
        </w:rPr>
        <w:t>его</w:t>
      </w:r>
      <w:r w:rsidR="00BE441D" w:rsidRPr="00B00A8A">
        <w:rPr>
          <w:lang w:val="ru-RU"/>
        </w:rPr>
        <w:t xml:space="preserve"> обменн</w:t>
      </w:r>
      <w:r w:rsidR="00146324" w:rsidRPr="00B00A8A">
        <w:rPr>
          <w:lang w:val="ru-RU"/>
        </w:rPr>
        <w:t>ого</w:t>
      </w:r>
      <w:r w:rsidR="00BE441D" w:rsidRPr="00B00A8A">
        <w:rPr>
          <w:lang w:val="ru-RU"/>
        </w:rPr>
        <w:t xml:space="preserve"> курс</w:t>
      </w:r>
      <w:r w:rsidR="00146324" w:rsidRPr="00B00A8A">
        <w:rPr>
          <w:lang w:val="ru-RU"/>
        </w:rPr>
        <w:t>а</w:t>
      </w:r>
      <w:r w:rsidR="00BE441D" w:rsidRPr="00B00A8A">
        <w:rPr>
          <w:lang w:val="ru-RU"/>
        </w:rPr>
        <w:t xml:space="preserve">, как того требует пункт 19A, организация может использовать </w:t>
      </w:r>
      <w:r w:rsidR="00146324" w:rsidRPr="00B00A8A">
        <w:rPr>
          <w:lang w:val="ru-RU"/>
        </w:rPr>
        <w:t xml:space="preserve">тот или иной </w:t>
      </w:r>
      <w:r w:rsidR="00BE441D" w:rsidRPr="00B00A8A">
        <w:rPr>
          <w:lang w:val="ru-RU"/>
        </w:rPr>
        <w:t>наблюдаемый обменный курс без корректировки, если такой наблюдаемый обменный курс отвечает цели</w:t>
      </w:r>
      <w:r w:rsidR="00146324" w:rsidRPr="00B00A8A">
        <w:rPr>
          <w:lang w:val="ru-RU"/>
        </w:rPr>
        <w:t>, обозначенной</w:t>
      </w:r>
      <w:r w:rsidR="00BE441D" w:rsidRPr="00B00A8A">
        <w:rPr>
          <w:lang w:val="ru-RU"/>
        </w:rPr>
        <w:t xml:space="preserve"> в пункте 19A. Пример</w:t>
      </w:r>
      <w:r w:rsidR="00146324" w:rsidRPr="00B00A8A">
        <w:rPr>
          <w:lang w:val="ru-RU"/>
        </w:rPr>
        <w:t>ами</w:t>
      </w:r>
      <w:r w:rsidR="00BE441D" w:rsidRPr="00B00A8A">
        <w:rPr>
          <w:lang w:val="ru-RU"/>
        </w:rPr>
        <w:t xml:space="preserve"> </w:t>
      </w:r>
      <w:r w:rsidR="00BE441D" w:rsidRPr="00D0294B">
        <w:rPr>
          <w:lang w:val="ru-RU"/>
        </w:rPr>
        <w:t xml:space="preserve">наблюдаемого обменного курса </w:t>
      </w:r>
      <w:r w:rsidR="00146324">
        <w:rPr>
          <w:lang w:val="ru-RU"/>
        </w:rPr>
        <w:t>являются</w:t>
      </w:r>
      <w:r w:rsidR="00BE441D" w:rsidRPr="00D0294B">
        <w:rPr>
          <w:lang w:val="ru-RU"/>
        </w:rPr>
        <w:t>:</w:t>
      </w:r>
    </w:p>
    <w:p w14:paraId="3DC2CD46" w14:textId="77777777" w:rsidR="00DE4801" w:rsidRPr="00BE441D" w:rsidRDefault="006669CB">
      <w:pPr>
        <w:pStyle w:val="IASBNormalnparaL1"/>
        <w:rPr>
          <w:lang w:val="ru-RU"/>
        </w:rPr>
      </w:pPr>
      <w:r w:rsidRPr="00BE441D">
        <w:rPr>
          <w:lang w:val="ru-RU"/>
        </w:rPr>
        <w:t>(</w:t>
      </w:r>
      <w:r>
        <w:t>a</w:t>
      </w:r>
      <w:r w:rsidRPr="00BE441D">
        <w:rPr>
          <w:lang w:val="ru-RU"/>
        </w:rPr>
        <w:t>)</w:t>
      </w:r>
      <w:r w:rsidRPr="00BE441D">
        <w:rPr>
          <w:lang w:val="ru-RU"/>
        </w:rPr>
        <w:tab/>
      </w:r>
      <w:r w:rsidR="00BE441D" w:rsidRPr="00D0294B">
        <w:rPr>
          <w:lang w:val="ru-RU"/>
        </w:rPr>
        <w:t>текущий обменный курс для цели, отличной от той, для которой организация оценивает возможность обмена валюты (см. пункты A13–A14); и</w:t>
      </w:r>
    </w:p>
    <w:p w14:paraId="7549DE0D" w14:textId="459D3825" w:rsidR="00DE4801" w:rsidRPr="00BE441D" w:rsidRDefault="006669CB">
      <w:pPr>
        <w:pStyle w:val="IASBNormalnparaL1"/>
        <w:rPr>
          <w:lang w:val="ru-RU"/>
        </w:rPr>
      </w:pPr>
      <w:r w:rsidRPr="00BE441D">
        <w:rPr>
          <w:lang w:val="ru-RU"/>
        </w:rPr>
        <w:t>(</w:t>
      </w:r>
      <w:r>
        <w:t>b</w:t>
      </w:r>
      <w:r w:rsidRPr="00BE441D">
        <w:rPr>
          <w:lang w:val="ru-RU"/>
        </w:rPr>
        <w:t>)</w:t>
      </w:r>
      <w:r w:rsidRPr="00BE441D">
        <w:rPr>
          <w:lang w:val="ru-RU"/>
        </w:rPr>
        <w:tab/>
      </w:r>
      <w:r w:rsidR="00BE441D" w:rsidRPr="00D0294B">
        <w:rPr>
          <w:lang w:val="ru-RU"/>
        </w:rPr>
        <w:t>первый обменный курс, по которому организация в состоянии получить другую валюту для указанной цели после восстановления возможности обмена валюты (первый последующий обменный курс) (см. пункты A15–A16).</w:t>
      </w:r>
    </w:p>
    <w:p w14:paraId="2DD8A0F2" w14:textId="77777777" w:rsidR="00DE4801" w:rsidRPr="00BE441D" w:rsidRDefault="00BE441D">
      <w:pPr>
        <w:pStyle w:val="IASBSectionTitle4Ind"/>
        <w:rPr>
          <w:lang w:val="ru-RU"/>
        </w:rPr>
      </w:pPr>
      <w:r w:rsidRPr="00BD2E0C">
        <w:rPr>
          <w:szCs w:val="22"/>
          <w:lang w:val="ru-RU"/>
        </w:rPr>
        <w:t>Использование наблюдаемого обменного курса для другой цели</w:t>
      </w:r>
    </w:p>
    <w:p w14:paraId="6AA32014" w14:textId="10741126" w:rsidR="00DE4801" w:rsidRPr="00B00A8A" w:rsidRDefault="006669CB">
      <w:pPr>
        <w:pStyle w:val="IASBNormalnpara"/>
        <w:rPr>
          <w:lang w:val="ru-RU"/>
        </w:rPr>
      </w:pPr>
      <w:r>
        <w:t>A</w:t>
      </w:r>
      <w:r w:rsidRPr="00BE441D">
        <w:rPr>
          <w:lang w:val="ru-RU"/>
        </w:rPr>
        <w:t>13</w:t>
      </w:r>
      <w:r w:rsidRPr="00BE441D">
        <w:rPr>
          <w:lang w:val="ru-RU"/>
        </w:rPr>
        <w:tab/>
      </w:r>
      <w:r w:rsidR="00BE441D" w:rsidRPr="00D01A7B">
        <w:rPr>
          <w:lang w:val="ru-RU"/>
        </w:rPr>
        <w:t xml:space="preserve">Валюта, </w:t>
      </w:r>
      <w:r w:rsidR="00DD1C08">
        <w:rPr>
          <w:lang w:val="ru-RU"/>
        </w:rPr>
        <w:t xml:space="preserve">для которой отсутствует возможность обмена </w:t>
      </w:r>
      <w:r w:rsidR="00BE441D" w:rsidRPr="00D01A7B">
        <w:rPr>
          <w:lang w:val="ru-RU"/>
        </w:rPr>
        <w:t xml:space="preserve">на другую валюту для одной цели, может </w:t>
      </w:r>
      <w:r w:rsidR="00DD1C08">
        <w:rPr>
          <w:lang w:val="ru-RU"/>
        </w:rPr>
        <w:t xml:space="preserve">рассматриваться как </w:t>
      </w:r>
      <w:r w:rsidR="00BE441D" w:rsidRPr="00B00A8A">
        <w:rPr>
          <w:lang w:val="ru-RU"/>
        </w:rPr>
        <w:t>обмен</w:t>
      </w:r>
      <w:r w:rsidR="00DD1C08" w:rsidRPr="00B00A8A">
        <w:rPr>
          <w:lang w:val="ru-RU"/>
        </w:rPr>
        <w:t>иваемая</w:t>
      </w:r>
      <w:r w:rsidR="00BE441D" w:rsidRPr="00B00A8A">
        <w:rPr>
          <w:lang w:val="ru-RU"/>
        </w:rPr>
        <w:t xml:space="preserve"> на </w:t>
      </w:r>
      <w:r w:rsidR="00DD1C08" w:rsidRPr="00B00A8A">
        <w:rPr>
          <w:lang w:val="ru-RU"/>
        </w:rPr>
        <w:t xml:space="preserve">указанную </w:t>
      </w:r>
      <w:r w:rsidR="00BE441D" w:rsidRPr="00B00A8A">
        <w:rPr>
          <w:lang w:val="ru-RU"/>
        </w:rPr>
        <w:t>валюту для другой цели. Например, организация может быть в состоянии получить валюту для импорта определенных товаров, но не для выплаты дивидендов. В таких ситуациях организация мо</w:t>
      </w:r>
      <w:r w:rsidR="0011568A" w:rsidRPr="00B00A8A">
        <w:rPr>
          <w:lang w:val="ru-RU"/>
        </w:rPr>
        <w:t>гла бы</w:t>
      </w:r>
      <w:r w:rsidR="00BE441D" w:rsidRPr="00B00A8A">
        <w:rPr>
          <w:lang w:val="ru-RU"/>
        </w:rPr>
        <w:t xml:space="preserve"> прийти к выводу, что наблюдаемый обменный курс для другой цели соответствует цели</w:t>
      </w:r>
      <w:r w:rsidR="00DD1C08" w:rsidRPr="00B00A8A">
        <w:rPr>
          <w:lang w:val="ru-RU"/>
        </w:rPr>
        <w:t>,</w:t>
      </w:r>
      <w:r w:rsidR="00BE441D" w:rsidRPr="00B00A8A">
        <w:rPr>
          <w:lang w:val="ru-RU"/>
        </w:rPr>
        <w:t xml:space="preserve"> </w:t>
      </w:r>
      <w:r w:rsidR="0011568A" w:rsidRPr="00B00A8A">
        <w:rPr>
          <w:lang w:val="ru-RU"/>
        </w:rPr>
        <w:t xml:space="preserve">обозначенной </w:t>
      </w:r>
      <w:r w:rsidR="00BE441D" w:rsidRPr="00B00A8A">
        <w:rPr>
          <w:lang w:val="ru-RU"/>
        </w:rPr>
        <w:t>в пункте 19A. Если курс соответствует цели</w:t>
      </w:r>
      <w:r w:rsidR="0011568A" w:rsidRPr="00B00A8A">
        <w:rPr>
          <w:lang w:val="ru-RU"/>
        </w:rPr>
        <w:t>, обозначенной</w:t>
      </w:r>
      <w:r w:rsidR="00BE441D" w:rsidRPr="00B00A8A">
        <w:rPr>
          <w:lang w:val="ru-RU"/>
        </w:rPr>
        <w:t xml:space="preserve"> в пункте 19А, организация может использовать такой курс в качестве расчетного текущего обменного курса.</w:t>
      </w:r>
    </w:p>
    <w:p w14:paraId="0F129A00" w14:textId="77777777" w:rsidR="00DE4801" w:rsidRPr="00683044" w:rsidRDefault="006669CB">
      <w:pPr>
        <w:pStyle w:val="IASBNormalnpara"/>
        <w:rPr>
          <w:lang w:val="ru-RU"/>
        </w:rPr>
      </w:pPr>
      <w:r>
        <w:t>A</w:t>
      </w:r>
      <w:r w:rsidRPr="00683044">
        <w:rPr>
          <w:lang w:val="ru-RU"/>
        </w:rPr>
        <w:t>14</w:t>
      </w:r>
      <w:r w:rsidRPr="00683044">
        <w:rPr>
          <w:lang w:val="ru-RU"/>
        </w:rPr>
        <w:tab/>
      </w:r>
      <w:r w:rsidR="00683044" w:rsidRPr="00D01A7B">
        <w:rPr>
          <w:lang w:val="ru-RU"/>
        </w:rPr>
        <w:t>Оценивая такой наблюдаемый обменный курс на предмет соответствия цели в пункте 19A, организация должна, помимо прочих факторов, учитывать перечисленное ниже:</w:t>
      </w:r>
    </w:p>
    <w:p w14:paraId="57AAB9B5" w14:textId="75E86054" w:rsidR="00DE4801" w:rsidRPr="00683044" w:rsidRDefault="006669CB">
      <w:pPr>
        <w:pStyle w:val="IASBNormalnparaL1"/>
        <w:rPr>
          <w:lang w:val="ru-RU"/>
        </w:rPr>
      </w:pPr>
      <w:r w:rsidRPr="00683044">
        <w:rPr>
          <w:lang w:val="ru-RU"/>
        </w:rPr>
        <w:t>(</w:t>
      </w:r>
      <w:r>
        <w:t>a</w:t>
      </w:r>
      <w:r w:rsidRPr="00683044">
        <w:rPr>
          <w:lang w:val="ru-RU"/>
        </w:rPr>
        <w:t>)</w:t>
      </w:r>
      <w:r w:rsidRPr="00683044">
        <w:rPr>
          <w:lang w:val="ru-RU"/>
        </w:rPr>
        <w:tab/>
      </w:r>
      <w:r w:rsidR="005F628E">
        <w:rPr>
          <w:i/>
          <w:lang w:val="ru-RU"/>
        </w:rPr>
        <w:t>существование</w:t>
      </w:r>
      <w:r w:rsidR="005F628E" w:rsidRPr="00D01A7B">
        <w:rPr>
          <w:i/>
          <w:lang w:val="ru-RU"/>
        </w:rPr>
        <w:t xml:space="preserve"> </w:t>
      </w:r>
      <w:r w:rsidR="00683044" w:rsidRPr="00D01A7B">
        <w:rPr>
          <w:i/>
          <w:lang w:val="ru-RU"/>
        </w:rPr>
        <w:t>нескольких наблюдаемых обменных курсов</w:t>
      </w:r>
      <w:r w:rsidR="00683044" w:rsidRPr="00D01A7B">
        <w:rPr>
          <w:lang w:val="ru-RU"/>
        </w:rPr>
        <w:t xml:space="preserve"> – </w:t>
      </w:r>
      <w:r w:rsidR="005F628E">
        <w:rPr>
          <w:lang w:val="ru-RU"/>
        </w:rPr>
        <w:t>существование</w:t>
      </w:r>
      <w:r w:rsidR="005F628E" w:rsidRPr="00D01A7B">
        <w:rPr>
          <w:lang w:val="ru-RU"/>
        </w:rPr>
        <w:t xml:space="preserve"> </w:t>
      </w:r>
      <w:r w:rsidR="00683044" w:rsidRPr="00D01A7B">
        <w:rPr>
          <w:lang w:val="ru-RU"/>
        </w:rPr>
        <w:t xml:space="preserve">нескольких </w:t>
      </w:r>
      <w:r w:rsidR="008969DF">
        <w:rPr>
          <w:lang w:val="ru-RU"/>
        </w:rPr>
        <w:t xml:space="preserve">наблюдаемых </w:t>
      </w:r>
      <w:r w:rsidR="00683044" w:rsidRPr="00D01A7B">
        <w:rPr>
          <w:lang w:val="ru-RU"/>
        </w:rPr>
        <w:t>обменных курсов может указывать на то, что обменные курсы устанавливаются для того, чтобы способствовать или препятствовать получению организациями другой валюты для определенных целей.</w:t>
      </w:r>
      <w:r w:rsidR="00683044">
        <w:rPr>
          <w:lang w:val="ru-RU"/>
        </w:rPr>
        <w:t xml:space="preserve"> </w:t>
      </w:r>
      <w:r w:rsidR="00683044" w:rsidRPr="00D01A7B">
        <w:rPr>
          <w:lang w:val="ru-RU"/>
        </w:rPr>
        <w:t xml:space="preserve">Такие наблюдаемые обменные курсы могут </w:t>
      </w:r>
      <w:r w:rsidR="00E06AA0">
        <w:rPr>
          <w:lang w:val="ru-RU"/>
        </w:rPr>
        <w:t>содержать</w:t>
      </w:r>
      <w:r w:rsidR="00E06AA0" w:rsidRPr="00D01A7B">
        <w:rPr>
          <w:lang w:val="ru-RU"/>
        </w:rPr>
        <w:t xml:space="preserve"> </w:t>
      </w:r>
      <w:r w:rsidR="00683044" w:rsidRPr="00D01A7B">
        <w:rPr>
          <w:lang w:val="ru-RU"/>
        </w:rPr>
        <w:t xml:space="preserve">«стимулы» или «штрафы» и, следовательно, могут не отражать </w:t>
      </w:r>
      <w:r w:rsidR="00B00A8A">
        <w:rPr>
          <w:lang w:val="ru-RU"/>
        </w:rPr>
        <w:t>превалирующие</w:t>
      </w:r>
      <w:r w:rsidR="00B00A8A" w:rsidRPr="00D01A7B">
        <w:rPr>
          <w:lang w:val="ru-RU"/>
        </w:rPr>
        <w:t xml:space="preserve"> </w:t>
      </w:r>
      <w:r w:rsidR="00683044" w:rsidRPr="00D01A7B">
        <w:rPr>
          <w:lang w:val="ru-RU"/>
        </w:rPr>
        <w:t>экономические условия;</w:t>
      </w:r>
    </w:p>
    <w:p w14:paraId="4BA32813" w14:textId="6D3BD264" w:rsidR="00DE4801" w:rsidRPr="00683044" w:rsidRDefault="006669CB">
      <w:pPr>
        <w:pStyle w:val="IASBNormalnparaL1"/>
        <w:rPr>
          <w:lang w:val="ru-RU"/>
        </w:rPr>
      </w:pPr>
      <w:r w:rsidRPr="00683044">
        <w:rPr>
          <w:lang w:val="ru-RU"/>
        </w:rPr>
        <w:t>(</w:t>
      </w:r>
      <w:r>
        <w:t>b</w:t>
      </w:r>
      <w:r w:rsidRPr="00683044">
        <w:rPr>
          <w:lang w:val="ru-RU"/>
        </w:rPr>
        <w:t>)</w:t>
      </w:r>
      <w:r w:rsidRPr="00683044">
        <w:rPr>
          <w:lang w:val="ru-RU"/>
        </w:rPr>
        <w:tab/>
      </w:r>
      <w:r w:rsidR="00683044" w:rsidRPr="00D01A7B">
        <w:rPr>
          <w:i/>
          <w:lang w:val="ru-RU"/>
        </w:rPr>
        <w:t xml:space="preserve">цель, для которой </w:t>
      </w:r>
      <w:r w:rsidR="00875A73">
        <w:rPr>
          <w:i/>
          <w:lang w:val="ru-RU"/>
        </w:rPr>
        <w:t xml:space="preserve">имеется возможность </w:t>
      </w:r>
      <w:r w:rsidR="003D6E1E">
        <w:rPr>
          <w:i/>
          <w:lang w:val="ru-RU"/>
        </w:rPr>
        <w:t>обмен</w:t>
      </w:r>
      <w:r w:rsidR="00875A73">
        <w:rPr>
          <w:i/>
          <w:lang w:val="ru-RU"/>
        </w:rPr>
        <w:t>а</w:t>
      </w:r>
      <w:r w:rsidR="003D6E1E">
        <w:rPr>
          <w:i/>
          <w:lang w:val="ru-RU"/>
        </w:rPr>
        <w:t xml:space="preserve"> </w:t>
      </w:r>
      <w:r w:rsidR="00683044" w:rsidRPr="00D01A7B">
        <w:rPr>
          <w:i/>
          <w:lang w:val="ru-RU"/>
        </w:rPr>
        <w:t>валют</w:t>
      </w:r>
      <w:r w:rsidR="003D6E1E">
        <w:rPr>
          <w:i/>
          <w:lang w:val="ru-RU"/>
        </w:rPr>
        <w:t>ы</w:t>
      </w:r>
      <w:r w:rsidR="00CE16E2">
        <w:rPr>
          <w:i/>
          <w:lang w:val="ru-RU"/>
        </w:rPr>
        <w:t>,</w:t>
      </w:r>
      <w:r w:rsidR="00683044" w:rsidRPr="00D01A7B">
        <w:rPr>
          <w:lang w:val="ru-RU"/>
        </w:rPr>
        <w:t xml:space="preserve"> – если организация </w:t>
      </w:r>
      <w:r w:rsidR="000E6005">
        <w:rPr>
          <w:lang w:val="ru-RU"/>
        </w:rPr>
        <w:t>имеет возможность</w:t>
      </w:r>
      <w:r w:rsidR="00683044" w:rsidRPr="00D01A7B">
        <w:rPr>
          <w:lang w:val="ru-RU"/>
        </w:rPr>
        <w:t xml:space="preserve"> получить другую валюту лишь для ограниченных целей (например, для импорта предметов первой необходимости), наблюдаемый обменный курс может не отражать </w:t>
      </w:r>
      <w:r w:rsidR="00B00A8A">
        <w:rPr>
          <w:lang w:val="ru-RU"/>
        </w:rPr>
        <w:t>превалирующ</w:t>
      </w:r>
      <w:r w:rsidR="00D34E3E">
        <w:rPr>
          <w:lang w:val="ru-RU"/>
        </w:rPr>
        <w:t>ие</w:t>
      </w:r>
      <w:r w:rsidR="00D34E3E" w:rsidRPr="00D01A7B">
        <w:rPr>
          <w:lang w:val="ru-RU"/>
        </w:rPr>
        <w:t xml:space="preserve"> </w:t>
      </w:r>
      <w:r w:rsidR="00683044" w:rsidRPr="00D01A7B">
        <w:rPr>
          <w:lang w:val="ru-RU"/>
        </w:rPr>
        <w:t>экономические условия;</w:t>
      </w:r>
    </w:p>
    <w:p w14:paraId="4D453A24" w14:textId="44D06DDD" w:rsidR="00DE4801" w:rsidRPr="00683044" w:rsidRDefault="006669CB">
      <w:pPr>
        <w:pStyle w:val="IASBNormalnparaL1"/>
        <w:rPr>
          <w:lang w:val="ru-RU"/>
        </w:rPr>
      </w:pPr>
      <w:r w:rsidRPr="00683044">
        <w:rPr>
          <w:lang w:val="ru-RU"/>
        </w:rPr>
        <w:t>(</w:t>
      </w:r>
      <w:r>
        <w:t>c</w:t>
      </w:r>
      <w:r w:rsidRPr="00683044">
        <w:rPr>
          <w:lang w:val="ru-RU"/>
        </w:rPr>
        <w:t>)</w:t>
      </w:r>
      <w:r w:rsidRPr="00683044">
        <w:rPr>
          <w:lang w:val="ru-RU"/>
        </w:rPr>
        <w:tab/>
      </w:r>
      <w:r w:rsidR="00683044" w:rsidRPr="00D01A7B">
        <w:rPr>
          <w:i/>
          <w:lang w:val="ru-RU"/>
        </w:rPr>
        <w:t>характер обменного курса</w:t>
      </w:r>
      <w:r w:rsidR="00683044" w:rsidRPr="00D01A7B">
        <w:rPr>
          <w:lang w:val="ru-RU"/>
        </w:rPr>
        <w:t xml:space="preserve"> – свободно плавающий</w:t>
      </w:r>
      <w:r w:rsidR="00CC4467" w:rsidRPr="001A1796">
        <w:rPr>
          <w:lang w:val="ru-RU"/>
        </w:rPr>
        <w:t xml:space="preserve"> </w:t>
      </w:r>
      <w:r w:rsidR="00CC4467">
        <w:rPr>
          <w:lang w:val="ru-RU"/>
        </w:rPr>
        <w:t>наблюдаемый</w:t>
      </w:r>
      <w:r w:rsidR="00683044" w:rsidRPr="00D01A7B">
        <w:rPr>
          <w:lang w:val="ru-RU"/>
        </w:rPr>
        <w:t xml:space="preserve"> обменный курс будет отражать</w:t>
      </w:r>
      <w:r w:rsidR="00C03E60">
        <w:rPr>
          <w:lang w:val="ru-RU"/>
        </w:rPr>
        <w:t xml:space="preserve"> превалирующие</w:t>
      </w:r>
      <w:r w:rsidR="00683044" w:rsidRPr="00D01A7B">
        <w:rPr>
          <w:lang w:val="ru-RU"/>
        </w:rPr>
        <w:t xml:space="preserve"> экономические условия в большей степени</w:t>
      </w:r>
      <w:r w:rsidR="00BB1E6B">
        <w:rPr>
          <w:lang w:val="ru-RU"/>
        </w:rPr>
        <w:t>,</w:t>
      </w:r>
      <w:r w:rsidR="00683044" w:rsidRPr="00D01A7B">
        <w:rPr>
          <w:lang w:val="ru-RU"/>
        </w:rPr>
        <w:t xml:space="preserve"> нежели обменный курс, устан</w:t>
      </w:r>
      <w:r w:rsidR="00D250B3">
        <w:rPr>
          <w:lang w:val="ru-RU"/>
        </w:rPr>
        <w:t>авливаемый</w:t>
      </w:r>
      <w:r w:rsidR="00683044" w:rsidRPr="00D01A7B">
        <w:rPr>
          <w:lang w:val="ru-RU"/>
        </w:rPr>
        <w:t xml:space="preserve"> в результате регулярных вмешательств со стороны соответствующих органов власти;</w:t>
      </w:r>
    </w:p>
    <w:p w14:paraId="73D45DBA" w14:textId="24BC069D" w:rsidR="00DE4801" w:rsidRPr="00683044" w:rsidRDefault="006669CB">
      <w:pPr>
        <w:pStyle w:val="IASBNormalnparaL1"/>
        <w:rPr>
          <w:lang w:val="ru-RU"/>
        </w:rPr>
      </w:pPr>
      <w:r w:rsidRPr="00683044">
        <w:rPr>
          <w:lang w:val="ru-RU"/>
        </w:rPr>
        <w:t>(</w:t>
      </w:r>
      <w:r>
        <w:t>d</w:t>
      </w:r>
      <w:r w:rsidRPr="00683044">
        <w:rPr>
          <w:lang w:val="ru-RU"/>
        </w:rPr>
        <w:t>)</w:t>
      </w:r>
      <w:r w:rsidRPr="00683044">
        <w:rPr>
          <w:lang w:val="ru-RU"/>
        </w:rPr>
        <w:tab/>
      </w:r>
      <w:r w:rsidR="00683044" w:rsidRPr="00D01A7B">
        <w:rPr>
          <w:i/>
          <w:lang w:val="ru-RU"/>
        </w:rPr>
        <w:t>периодичность, с которой обновляются обменные курсы</w:t>
      </w:r>
      <w:r w:rsidR="00CE16E2">
        <w:rPr>
          <w:i/>
          <w:lang w:val="ru-RU"/>
        </w:rPr>
        <w:t>,</w:t>
      </w:r>
      <w:r w:rsidR="00683044" w:rsidRPr="00D01A7B">
        <w:rPr>
          <w:lang w:val="ru-RU"/>
        </w:rPr>
        <w:t xml:space="preserve"> – наблюдаемый обменный курс, который не изменяется </w:t>
      </w:r>
      <w:r w:rsidR="0084425E">
        <w:rPr>
          <w:lang w:val="ru-RU"/>
        </w:rPr>
        <w:t>на протяжении</w:t>
      </w:r>
      <w:r w:rsidR="0084425E" w:rsidRPr="0084425E">
        <w:rPr>
          <w:lang w:val="ru-RU"/>
        </w:rPr>
        <w:t xml:space="preserve"> </w:t>
      </w:r>
      <w:r w:rsidR="0084425E">
        <w:rPr>
          <w:lang w:val="ru-RU"/>
        </w:rPr>
        <w:t>длительного</w:t>
      </w:r>
      <w:r w:rsidR="00683044" w:rsidRPr="00D01A7B">
        <w:rPr>
          <w:lang w:val="ru-RU"/>
        </w:rPr>
        <w:t xml:space="preserve"> времени, </w:t>
      </w:r>
      <w:r w:rsidR="0084425E">
        <w:rPr>
          <w:lang w:val="ru-RU"/>
        </w:rPr>
        <w:t xml:space="preserve">с меньшей вероятностью </w:t>
      </w:r>
      <w:r w:rsidR="00683044" w:rsidRPr="00D01A7B">
        <w:rPr>
          <w:lang w:val="ru-RU"/>
        </w:rPr>
        <w:t xml:space="preserve">будет отражать </w:t>
      </w:r>
      <w:r w:rsidR="00D34E3E">
        <w:rPr>
          <w:lang w:val="ru-RU"/>
        </w:rPr>
        <w:t>пре</w:t>
      </w:r>
      <w:r w:rsidR="0084425E">
        <w:rPr>
          <w:lang w:val="ru-RU"/>
        </w:rPr>
        <w:t>валиру</w:t>
      </w:r>
      <w:r w:rsidR="00D34E3E">
        <w:rPr>
          <w:lang w:val="ru-RU"/>
        </w:rPr>
        <w:t>ющие</w:t>
      </w:r>
      <w:r w:rsidR="00D34E3E" w:rsidRPr="00D01A7B">
        <w:rPr>
          <w:lang w:val="ru-RU"/>
        </w:rPr>
        <w:t xml:space="preserve"> </w:t>
      </w:r>
      <w:r w:rsidR="00683044" w:rsidRPr="00D01A7B">
        <w:rPr>
          <w:lang w:val="ru-RU"/>
        </w:rPr>
        <w:t>экономические условия</w:t>
      </w:r>
      <w:r w:rsidR="00BB1E6B">
        <w:rPr>
          <w:lang w:val="ru-RU"/>
        </w:rPr>
        <w:t>,</w:t>
      </w:r>
      <w:r w:rsidR="00683044" w:rsidRPr="00D01A7B">
        <w:rPr>
          <w:lang w:val="ru-RU"/>
        </w:rPr>
        <w:t xml:space="preserve"> </w:t>
      </w:r>
      <w:r w:rsidR="0084425E">
        <w:rPr>
          <w:lang w:val="ru-RU"/>
        </w:rPr>
        <w:t>чем</w:t>
      </w:r>
      <w:r w:rsidR="0084425E" w:rsidRPr="00D01A7B">
        <w:rPr>
          <w:lang w:val="ru-RU"/>
        </w:rPr>
        <w:t xml:space="preserve"> </w:t>
      </w:r>
      <w:r w:rsidR="00683044" w:rsidRPr="00D01A7B">
        <w:rPr>
          <w:lang w:val="ru-RU"/>
        </w:rPr>
        <w:t>наблюдаемый обменный курс, который обновляется ежедневно (или еще чаще).</w:t>
      </w:r>
    </w:p>
    <w:p w14:paraId="351CA2EE" w14:textId="77777777" w:rsidR="00DE4801" w:rsidRPr="00683044" w:rsidRDefault="00683044">
      <w:pPr>
        <w:pStyle w:val="IASBSectionTitle4Ind"/>
        <w:rPr>
          <w:lang w:val="ru-RU"/>
        </w:rPr>
      </w:pPr>
      <w:r w:rsidRPr="00BD2E0C">
        <w:rPr>
          <w:szCs w:val="22"/>
          <w:lang w:val="ru-RU"/>
        </w:rPr>
        <w:t>Использование первого последующего обменного курса</w:t>
      </w:r>
    </w:p>
    <w:p w14:paraId="26A34FC4" w14:textId="53830BCB" w:rsidR="00DE4801" w:rsidRPr="00683044" w:rsidRDefault="006669CB">
      <w:pPr>
        <w:pStyle w:val="IASBNormalnpara"/>
        <w:rPr>
          <w:lang w:val="ru-RU"/>
        </w:rPr>
      </w:pPr>
      <w:r>
        <w:t>A</w:t>
      </w:r>
      <w:r w:rsidRPr="00683044">
        <w:rPr>
          <w:lang w:val="ru-RU"/>
        </w:rPr>
        <w:t>15</w:t>
      </w:r>
      <w:r w:rsidRPr="00683044">
        <w:rPr>
          <w:lang w:val="ru-RU"/>
        </w:rPr>
        <w:tab/>
      </w:r>
      <w:r w:rsidR="00683044" w:rsidRPr="00352709">
        <w:rPr>
          <w:lang w:val="ru-RU"/>
        </w:rPr>
        <w:t xml:space="preserve">Валюта, </w:t>
      </w:r>
      <w:r w:rsidR="0084425E">
        <w:rPr>
          <w:lang w:val="ru-RU"/>
        </w:rPr>
        <w:t>для которой невозможен</w:t>
      </w:r>
      <w:r w:rsidR="00683044" w:rsidRPr="00352709">
        <w:rPr>
          <w:lang w:val="ru-RU"/>
        </w:rPr>
        <w:t xml:space="preserve"> обмен на другую валюту на дату оценки для </w:t>
      </w:r>
      <w:r w:rsidR="0084425E">
        <w:rPr>
          <w:lang w:val="ru-RU"/>
        </w:rPr>
        <w:t>конкретной</w:t>
      </w:r>
      <w:r w:rsidR="0084425E" w:rsidRPr="00352709">
        <w:rPr>
          <w:lang w:val="ru-RU"/>
        </w:rPr>
        <w:t xml:space="preserve"> </w:t>
      </w:r>
      <w:r w:rsidR="00683044" w:rsidRPr="00352709">
        <w:rPr>
          <w:lang w:val="ru-RU"/>
        </w:rPr>
        <w:t xml:space="preserve">цели, может впоследствии стать валютой, которая может быть обменена на </w:t>
      </w:r>
      <w:r w:rsidR="006C6AB1">
        <w:rPr>
          <w:lang w:val="ru-RU"/>
        </w:rPr>
        <w:t>указанную</w:t>
      </w:r>
      <w:r w:rsidR="006C6AB1" w:rsidRPr="00352709">
        <w:rPr>
          <w:lang w:val="ru-RU"/>
        </w:rPr>
        <w:t xml:space="preserve"> </w:t>
      </w:r>
      <w:r w:rsidR="00683044" w:rsidRPr="00352709">
        <w:rPr>
          <w:lang w:val="ru-RU"/>
        </w:rPr>
        <w:t xml:space="preserve">валюту для </w:t>
      </w:r>
      <w:r w:rsidR="006C6AB1">
        <w:rPr>
          <w:lang w:val="ru-RU"/>
        </w:rPr>
        <w:t>указанной</w:t>
      </w:r>
      <w:r w:rsidR="006C6AB1" w:rsidRPr="00352709">
        <w:rPr>
          <w:lang w:val="ru-RU"/>
        </w:rPr>
        <w:t xml:space="preserve"> </w:t>
      </w:r>
      <w:r w:rsidR="00683044" w:rsidRPr="00352709">
        <w:rPr>
          <w:lang w:val="ru-RU"/>
        </w:rPr>
        <w:t xml:space="preserve">цели. В таких ситуациях организация </w:t>
      </w:r>
      <w:r w:rsidR="006C6AB1">
        <w:rPr>
          <w:lang w:val="ru-RU"/>
        </w:rPr>
        <w:t>могла бы</w:t>
      </w:r>
      <w:r w:rsidR="006C6AB1" w:rsidRPr="00352709">
        <w:rPr>
          <w:lang w:val="ru-RU"/>
        </w:rPr>
        <w:t xml:space="preserve"> </w:t>
      </w:r>
      <w:r w:rsidR="00683044" w:rsidRPr="00352709">
        <w:rPr>
          <w:lang w:val="ru-RU"/>
        </w:rPr>
        <w:t>прийти к выводу, что первый последующий обменный курс соответствует цели</w:t>
      </w:r>
      <w:r w:rsidR="006C6AB1">
        <w:rPr>
          <w:lang w:val="ru-RU"/>
        </w:rPr>
        <w:t>, обозначенной</w:t>
      </w:r>
      <w:r w:rsidR="00683044" w:rsidRPr="00352709">
        <w:rPr>
          <w:lang w:val="ru-RU"/>
        </w:rPr>
        <w:t xml:space="preserve"> в пункте 19A. Если </w:t>
      </w:r>
      <w:r w:rsidR="006C6AB1">
        <w:rPr>
          <w:lang w:val="ru-RU"/>
        </w:rPr>
        <w:t xml:space="preserve">этот </w:t>
      </w:r>
      <w:r w:rsidR="00683044" w:rsidRPr="00352709">
        <w:rPr>
          <w:lang w:val="ru-RU"/>
        </w:rPr>
        <w:t xml:space="preserve">курс соответствует цели в </w:t>
      </w:r>
      <w:r w:rsidR="00683044" w:rsidRPr="00352709">
        <w:rPr>
          <w:lang w:val="ru-RU"/>
        </w:rPr>
        <w:lastRenderedPageBreak/>
        <w:t xml:space="preserve">пункте 19А, организация может использовать такой курс в качестве </w:t>
      </w:r>
      <w:r w:rsidR="00683044" w:rsidRPr="00D1682E">
        <w:rPr>
          <w:lang w:val="ru-RU"/>
        </w:rPr>
        <w:t>расчетного</w:t>
      </w:r>
      <w:r w:rsidR="00683044" w:rsidRPr="00352709">
        <w:rPr>
          <w:lang w:val="ru-RU"/>
        </w:rPr>
        <w:t xml:space="preserve"> текущего обменного курса.</w:t>
      </w:r>
    </w:p>
    <w:p w14:paraId="6237DABB" w14:textId="77777777" w:rsidR="00DE4801" w:rsidRPr="00683044" w:rsidRDefault="006669CB">
      <w:pPr>
        <w:pStyle w:val="IASBNormalnpara"/>
        <w:rPr>
          <w:lang w:val="ru-RU"/>
        </w:rPr>
      </w:pPr>
      <w:r>
        <w:t>A</w:t>
      </w:r>
      <w:r w:rsidRPr="00683044">
        <w:rPr>
          <w:lang w:val="ru-RU"/>
        </w:rPr>
        <w:t>16</w:t>
      </w:r>
      <w:r w:rsidRPr="00683044">
        <w:rPr>
          <w:lang w:val="ru-RU"/>
        </w:rPr>
        <w:tab/>
      </w:r>
      <w:r w:rsidR="00683044" w:rsidRPr="00352709">
        <w:rPr>
          <w:lang w:val="ru-RU"/>
        </w:rPr>
        <w:t>Оценивая такой первый последующий обменный курс на предмет соответствия цели в пункте 19A, организация должна, помимо прочих факторов, учитывать перечисленное ниже</w:t>
      </w:r>
      <w:r w:rsidR="00683044">
        <w:rPr>
          <w:lang w:val="ru-RU"/>
        </w:rPr>
        <w:t>:</w:t>
      </w:r>
    </w:p>
    <w:p w14:paraId="13CF318C" w14:textId="0FE129BA" w:rsidR="00DE4801" w:rsidRPr="00683044" w:rsidRDefault="006669CB">
      <w:pPr>
        <w:pStyle w:val="IASBNormalnparaL1"/>
        <w:rPr>
          <w:lang w:val="ru-RU"/>
        </w:rPr>
      </w:pPr>
      <w:r w:rsidRPr="00683044">
        <w:rPr>
          <w:lang w:val="ru-RU"/>
        </w:rPr>
        <w:t>(</w:t>
      </w:r>
      <w:r>
        <w:t>a</w:t>
      </w:r>
      <w:r w:rsidRPr="00683044">
        <w:rPr>
          <w:lang w:val="ru-RU"/>
        </w:rPr>
        <w:t>)</w:t>
      </w:r>
      <w:r w:rsidRPr="00683044">
        <w:rPr>
          <w:lang w:val="ru-RU"/>
        </w:rPr>
        <w:tab/>
      </w:r>
      <w:r w:rsidR="00B00A8A">
        <w:rPr>
          <w:i/>
          <w:lang w:val="ru-RU"/>
        </w:rPr>
        <w:t>период</w:t>
      </w:r>
      <w:r w:rsidR="00685664" w:rsidRPr="00685664">
        <w:rPr>
          <w:i/>
          <w:lang w:val="ru-RU"/>
        </w:rPr>
        <w:t xml:space="preserve"> </w:t>
      </w:r>
      <w:r w:rsidR="00683044" w:rsidRPr="007859B0">
        <w:rPr>
          <w:i/>
          <w:lang w:val="ru-RU"/>
        </w:rPr>
        <w:t>врем</w:t>
      </w:r>
      <w:r w:rsidR="00685664">
        <w:rPr>
          <w:i/>
          <w:lang w:val="ru-RU"/>
        </w:rPr>
        <w:t>ени</w:t>
      </w:r>
      <w:r w:rsidR="00683044" w:rsidRPr="007859B0">
        <w:rPr>
          <w:i/>
          <w:lang w:val="ru-RU"/>
        </w:rPr>
        <w:t xml:space="preserve"> между датой оценки и датой</w:t>
      </w:r>
      <w:r w:rsidR="00685664">
        <w:rPr>
          <w:i/>
          <w:lang w:val="ru-RU"/>
        </w:rPr>
        <w:t>, на которую</w:t>
      </w:r>
      <w:r w:rsidR="00683044" w:rsidRPr="007859B0">
        <w:rPr>
          <w:i/>
          <w:lang w:val="ru-RU"/>
        </w:rPr>
        <w:t xml:space="preserve"> возможност</w:t>
      </w:r>
      <w:r w:rsidR="00685664">
        <w:rPr>
          <w:i/>
          <w:lang w:val="ru-RU"/>
        </w:rPr>
        <w:t>ь</w:t>
      </w:r>
      <w:r w:rsidR="00683044" w:rsidRPr="007859B0">
        <w:rPr>
          <w:i/>
          <w:lang w:val="ru-RU"/>
        </w:rPr>
        <w:t xml:space="preserve"> обмена валюты</w:t>
      </w:r>
      <w:r w:rsidR="00685664">
        <w:rPr>
          <w:i/>
          <w:lang w:val="ru-RU"/>
        </w:rPr>
        <w:t xml:space="preserve"> была восстановлена</w:t>
      </w:r>
      <w:r w:rsidR="00CE16E2">
        <w:rPr>
          <w:i/>
          <w:lang w:val="ru-RU"/>
        </w:rPr>
        <w:t>,</w:t>
      </w:r>
      <w:r w:rsidR="00683044" w:rsidRPr="007859B0">
        <w:rPr>
          <w:i/>
          <w:lang w:val="ru-RU"/>
        </w:rPr>
        <w:t xml:space="preserve"> </w:t>
      </w:r>
      <w:r w:rsidR="00683044" w:rsidRPr="007859B0">
        <w:rPr>
          <w:lang w:val="ru-RU"/>
        </w:rPr>
        <w:t xml:space="preserve">– чем короче этот период, тем выше вероятность того, что первый последующий обменный курс будет отражать </w:t>
      </w:r>
      <w:r w:rsidR="00B00A8A">
        <w:rPr>
          <w:lang w:val="ru-RU"/>
        </w:rPr>
        <w:t>превалирующ</w:t>
      </w:r>
      <w:r w:rsidR="009768BE">
        <w:rPr>
          <w:lang w:val="ru-RU"/>
        </w:rPr>
        <w:t>ие</w:t>
      </w:r>
      <w:r w:rsidR="00D34E3E" w:rsidRPr="007859B0">
        <w:rPr>
          <w:lang w:val="ru-RU"/>
        </w:rPr>
        <w:t xml:space="preserve"> </w:t>
      </w:r>
      <w:r w:rsidR="00683044" w:rsidRPr="007859B0">
        <w:rPr>
          <w:lang w:val="ru-RU"/>
        </w:rPr>
        <w:t>экономические условия;</w:t>
      </w:r>
    </w:p>
    <w:p w14:paraId="0EAC73C5" w14:textId="7E39A30F" w:rsidR="00DE4801" w:rsidRPr="00683044" w:rsidRDefault="006669CB">
      <w:pPr>
        <w:pStyle w:val="IASBNormalnparaL1"/>
        <w:rPr>
          <w:lang w:val="ru-RU"/>
        </w:rPr>
      </w:pPr>
      <w:r w:rsidRPr="00683044">
        <w:rPr>
          <w:lang w:val="ru-RU"/>
        </w:rPr>
        <w:t>(</w:t>
      </w:r>
      <w:r>
        <w:t>b</w:t>
      </w:r>
      <w:r w:rsidRPr="00683044">
        <w:rPr>
          <w:lang w:val="ru-RU"/>
        </w:rPr>
        <w:t>)</w:t>
      </w:r>
      <w:r w:rsidRPr="00683044">
        <w:rPr>
          <w:lang w:val="ru-RU"/>
        </w:rPr>
        <w:tab/>
      </w:r>
      <w:r w:rsidR="00683044" w:rsidRPr="007859B0">
        <w:rPr>
          <w:i/>
          <w:lang w:val="ru-RU"/>
        </w:rPr>
        <w:t xml:space="preserve">уровень инфляции – </w:t>
      </w:r>
      <w:r w:rsidR="00683044" w:rsidRPr="007859B0">
        <w:rPr>
          <w:lang w:val="ru-RU"/>
        </w:rPr>
        <w:t xml:space="preserve">когда экономика подвержена высокому уровню инфляции, включая </w:t>
      </w:r>
      <w:r w:rsidR="00057340">
        <w:rPr>
          <w:lang w:val="ru-RU"/>
        </w:rPr>
        <w:t xml:space="preserve">ситуацию, когда экономика является </w:t>
      </w:r>
      <w:r w:rsidR="00683044" w:rsidRPr="007859B0">
        <w:rPr>
          <w:lang w:val="ru-RU"/>
        </w:rPr>
        <w:t>гиперинфляционн</w:t>
      </w:r>
      <w:r w:rsidR="00057340">
        <w:rPr>
          <w:lang w:val="ru-RU"/>
        </w:rPr>
        <w:t>ой</w:t>
      </w:r>
      <w:r w:rsidR="00683044" w:rsidRPr="007859B0">
        <w:rPr>
          <w:lang w:val="ru-RU"/>
        </w:rPr>
        <w:t xml:space="preserve"> (как указано в МСФО (IAS) 29 </w:t>
      </w:r>
      <w:r w:rsidR="00683044" w:rsidRPr="004550C4">
        <w:rPr>
          <w:i/>
          <w:lang w:val="ru-RU"/>
        </w:rPr>
        <w:t>«Финансовая отчетность в гиперинфляционной экономике»</w:t>
      </w:r>
      <w:r w:rsidR="00683044" w:rsidRPr="007859B0">
        <w:rPr>
          <w:lang w:val="ru-RU"/>
        </w:rPr>
        <w:t xml:space="preserve">), цены зачастую меняются быстро, возможно, несколько раз в день. Соответственно, первый последующий обменный курс валюты такой экономики может не отражать </w:t>
      </w:r>
      <w:r w:rsidR="00B00A8A">
        <w:rPr>
          <w:lang w:val="ru-RU"/>
        </w:rPr>
        <w:t>превалирующ</w:t>
      </w:r>
      <w:r w:rsidR="009768BE">
        <w:rPr>
          <w:lang w:val="ru-RU"/>
        </w:rPr>
        <w:t>ие</w:t>
      </w:r>
      <w:r w:rsidR="00D34E3E" w:rsidRPr="007859B0">
        <w:rPr>
          <w:lang w:val="ru-RU"/>
        </w:rPr>
        <w:t xml:space="preserve"> </w:t>
      </w:r>
      <w:r w:rsidR="00683044" w:rsidRPr="007859B0">
        <w:rPr>
          <w:lang w:val="ru-RU"/>
        </w:rPr>
        <w:t>экономические условия.</w:t>
      </w:r>
    </w:p>
    <w:p w14:paraId="08E210FB" w14:textId="77777777" w:rsidR="00DE4801" w:rsidRPr="006D42F2" w:rsidRDefault="006D42F2">
      <w:pPr>
        <w:pStyle w:val="IASBSectionTitle3Ind"/>
        <w:rPr>
          <w:lang w:val="ru-RU"/>
        </w:rPr>
      </w:pPr>
      <w:r w:rsidRPr="006D42F2">
        <w:rPr>
          <w:lang w:val="ru-RU"/>
        </w:rPr>
        <w:t>Использование другого метода расчетной оценки</w:t>
      </w:r>
    </w:p>
    <w:p w14:paraId="63B21A70" w14:textId="45E7F714" w:rsidR="00DE4801" w:rsidRPr="006D42F2" w:rsidRDefault="006669CB">
      <w:pPr>
        <w:pStyle w:val="IASBNormalnpara"/>
        <w:rPr>
          <w:lang w:val="ru-RU"/>
        </w:rPr>
      </w:pPr>
      <w:r>
        <w:t>A</w:t>
      </w:r>
      <w:r w:rsidRPr="006D42F2">
        <w:rPr>
          <w:lang w:val="ru-RU"/>
        </w:rPr>
        <w:t>17</w:t>
      </w:r>
      <w:r w:rsidRPr="006D42F2">
        <w:rPr>
          <w:lang w:val="ru-RU"/>
        </w:rPr>
        <w:tab/>
      </w:r>
      <w:r w:rsidR="006D42F2" w:rsidRPr="006D42F2">
        <w:rPr>
          <w:lang w:val="ru-RU"/>
        </w:rPr>
        <w:t xml:space="preserve">Организация, </w:t>
      </w:r>
      <w:r w:rsidR="00190C35">
        <w:rPr>
          <w:lang w:val="ru-RU"/>
        </w:rPr>
        <w:t>применяющая</w:t>
      </w:r>
      <w:r w:rsidR="00190C35" w:rsidRPr="006D42F2">
        <w:rPr>
          <w:lang w:val="ru-RU"/>
        </w:rPr>
        <w:t xml:space="preserve"> </w:t>
      </w:r>
      <w:r w:rsidR="006D42F2" w:rsidRPr="006D42F2">
        <w:rPr>
          <w:lang w:val="ru-RU"/>
        </w:rPr>
        <w:t xml:space="preserve">другой метод расчетной оценки, может использовать любой наблюдаемый обменный курс (включая курсы по </w:t>
      </w:r>
      <w:r w:rsidR="00190C35">
        <w:rPr>
          <w:lang w:val="ru-RU"/>
        </w:rPr>
        <w:t xml:space="preserve">обменным </w:t>
      </w:r>
      <w:r w:rsidR="006D42F2" w:rsidRPr="006D42F2">
        <w:rPr>
          <w:lang w:val="ru-RU"/>
        </w:rPr>
        <w:t xml:space="preserve">операциям на рынках или в рамках механизмов обмена валют, которые не </w:t>
      </w:r>
      <w:r w:rsidR="00190C35">
        <w:rPr>
          <w:lang w:val="ru-RU"/>
        </w:rPr>
        <w:t xml:space="preserve">создают </w:t>
      </w:r>
      <w:r w:rsidR="006D42F2" w:rsidRPr="006D42F2">
        <w:rPr>
          <w:lang w:val="ru-RU"/>
        </w:rPr>
        <w:t xml:space="preserve">юридически </w:t>
      </w:r>
      <w:r w:rsidR="002D6517" w:rsidRPr="006D42F2">
        <w:rPr>
          <w:lang w:val="ru-RU"/>
        </w:rPr>
        <w:t>защищенны</w:t>
      </w:r>
      <w:r w:rsidR="00C12FC1">
        <w:rPr>
          <w:lang w:val="ru-RU"/>
        </w:rPr>
        <w:t xml:space="preserve">е </w:t>
      </w:r>
      <w:r w:rsidR="006D42F2" w:rsidRPr="006D42F2">
        <w:rPr>
          <w:lang w:val="ru-RU"/>
        </w:rPr>
        <w:t>прав</w:t>
      </w:r>
      <w:r w:rsidR="00C12FC1">
        <w:rPr>
          <w:lang w:val="ru-RU"/>
        </w:rPr>
        <w:t>а</w:t>
      </w:r>
      <w:r w:rsidR="006D42F2" w:rsidRPr="006D42F2">
        <w:rPr>
          <w:lang w:val="ru-RU"/>
        </w:rPr>
        <w:t xml:space="preserve"> и </w:t>
      </w:r>
      <w:r w:rsidR="00903F5D" w:rsidRPr="006D42F2">
        <w:rPr>
          <w:lang w:val="ru-RU"/>
        </w:rPr>
        <w:t>обяза</w:t>
      </w:r>
      <w:r w:rsidR="00903F5D">
        <w:rPr>
          <w:lang w:val="ru-RU"/>
        </w:rPr>
        <w:t>тельств</w:t>
      </w:r>
      <w:r w:rsidR="00C12FC1">
        <w:rPr>
          <w:lang w:val="ru-RU"/>
        </w:rPr>
        <w:t>а</w:t>
      </w:r>
      <w:r w:rsidR="006D42F2" w:rsidRPr="006D42F2">
        <w:rPr>
          <w:lang w:val="ru-RU"/>
        </w:rPr>
        <w:t>) и корректировать такой курс</w:t>
      </w:r>
      <w:r w:rsidR="00190C35">
        <w:rPr>
          <w:lang w:val="ru-RU"/>
        </w:rPr>
        <w:t>, как необходимо,</w:t>
      </w:r>
      <w:r w:rsidR="006D42F2" w:rsidRPr="006D42F2">
        <w:rPr>
          <w:lang w:val="ru-RU"/>
        </w:rPr>
        <w:t xml:space="preserve"> </w:t>
      </w:r>
      <w:r w:rsidR="004E2CB2">
        <w:rPr>
          <w:lang w:val="ru-RU"/>
        </w:rPr>
        <w:t>для достижения</w:t>
      </w:r>
      <w:r w:rsidR="006D42F2" w:rsidRPr="006D42F2">
        <w:rPr>
          <w:lang w:val="ru-RU"/>
        </w:rPr>
        <w:t xml:space="preserve"> цели</w:t>
      </w:r>
      <w:r w:rsidR="00190C35">
        <w:rPr>
          <w:lang w:val="ru-RU"/>
        </w:rPr>
        <w:t>, обозначенной</w:t>
      </w:r>
      <w:r w:rsidR="006D42F2" w:rsidRPr="006D42F2">
        <w:rPr>
          <w:lang w:val="ru-RU"/>
        </w:rPr>
        <w:t xml:space="preserve"> в пункте 19А.</w:t>
      </w:r>
    </w:p>
    <w:p w14:paraId="42AD2FCD" w14:textId="5D1298EF" w:rsidR="00DE4801" w:rsidRPr="006D42F2" w:rsidRDefault="006D42F2">
      <w:pPr>
        <w:pStyle w:val="IASBSectionTitle2Ind"/>
        <w:rPr>
          <w:lang w:val="ru-RU"/>
        </w:rPr>
      </w:pPr>
      <w:r w:rsidRPr="007859B0">
        <w:rPr>
          <w:lang w:val="ru-RU"/>
        </w:rPr>
        <w:t xml:space="preserve">Раскрытие информации в ситуации, когда </w:t>
      </w:r>
      <w:r w:rsidR="0009207D">
        <w:rPr>
          <w:lang w:val="ru-RU"/>
        </w:rPr>
        <w:t xml:space="preserve">обмен </w:t>
      </w:r>
      <w:r w:rsidRPr="007859B0">
        <w:rPr>
          <w:lang w:val="ru-RU"/>
        </w:rPr>
        <w:t>валют</w:t>
      </w:r>
      <w:r w:rsidR="0009207D">
        <w:rPr>
          <w:lang w:val="ru-RU"/>
        </w:rPr>
        <w:t>ы невозможен</w:t>
      </w:r>
    </w:p>
    <w:p w14:paraId="090FA1A5" w14:textId="16E3B2CE" w:rsidR="00DE4801" w:rsidRPr="006D42F2" w:rsidRDefault="006669CB">
      <w:pPr>
        <w:pStyle w:val="IASBNormalnpara"/>
        <w:rPr>
          <w:lang w:val="ru-RU"/>
        </w:rPr>
      </w:pPr>
      <w:r>
        <w:t>A</w:t>
      </w:r>
      <w:r w:rsidRPr="006D42F2">
        <w:rPr>
          <w:lang w:val="ru-RU"/>
        </w:rPr>
        <w:t>18</w:t>
      </w:r>
      <w:r w:rsidRPr="006D42F2">
        <w:rPr>
          <w:lang w:val="ru-RU"/>
        </w:rPr>
        <w:tab/>
      </w:r>
      <w:r w:rsidR="006D42F2" w:rsidRPr="00C71905">
        <w:rPr>
          <w:lang w:val="ru-RU"/>
        </w:rPr>
        <w:t xml:space="preserve">Организация должна </w:t>
      </w:r>
      <w:r w:rsidR="00744196">
        <w:rPr>
          <w:lang w:val="ru-RU"/>
        </w:rPr>
        <w:t>проанализировать</w:t>
      </w:r>
      <w:r w:rsidR="00744196" w:rsidRPr="00C71905">
        <w:rPr>
          <w:lang w:val="ru-RU"/>
        </w:rPr>
        <w:t xml:space="preserve"> </w:t>
      </w:r>
      <w:r w:rsidR="006D42F2" w:rsidRPr="00C71905">
        <w:rPr>
          <w:lang w:val="ru-RU"/>
        </w:rPr>
        <w:t>степень детализации, необходимую для достижения цели раскрытия информации в пункте 57A. Организация должна раскрыть информацию, указанную в пунктах A19–A20, и любую дополнительную информацию, необходимую для достижения цели раскрытия информации</w:t>
      </w:r>
      <w:r w:rsidR="00744196">
        <w:rPr>
          <w:lang w:val="ru-RU"/>
        </w:rPr>
        <w:t>, обозначенную</w:t>
      </w:r>
      <w:r w:rsidR="006D42F2" w:rsidRPr="00C71905">
        <w:rPr>
          <w:lang w:val="ru-RU"/>
        </w:rPr>
        <w:t xml:space="preserve"> в пункте 57A.</w:t>
      </w:r>
    </w:p>
    <w:p w14:paraId="37B8E612" w14:textId="77777777" w:rsidR="00DE4801" w:rsidRPr="006D42F2" w:rsidRDefault="006669CB">
      <w:pPr>
        <w:pStyle w:val="IASBNormalnpara"/>
        <w:rPr>
          <w:lang w:val="ru-RU"/>
        </w:rPr>
      </w:pPr>
      <w:r>
        <w:t>A</w:t>
      </w:r>
      <w:r w:rsidRPr="006D42F2">
        <w:rPr>
          <w:lang w:val="ru-RU"/>
        </w:rPr>
        <w:t>19</w:t>
      </w:r>
      <w:r w:rsidRPr="006D42F2">
        <w:rPr>
          <w:lang w:val="ru-RU"/>
        </w:rPr>
        <w:tab/>
      </w:r>
      <w:r w:rsidR="006D42F2" w:rsidRPr="00C71905">
        <w:rPr>
          <w:lang w:val="ru-RU"/>
        </w:rPr>
        <w:t>При применении пункта 57А организация должна раскрыть следующее:</w:t>
      </w:r>
    </w:p>
    <w:p w14:paraId="4B5F240B" w14:textId="77777777" w:rsidR="00DE4801" w:rsidRPr="004C336F" w:rsidRDefault="006669CB">
      <w:pPr>
        <w:pStyle w:val="IASBNormalnparaL1"/>
        <w:rPr>
          <w:lang w:val="ru-RU"/>
        </w:rPr>
      </w:pPr>
      <w:r w:rsidRPr="006D42F2">
        <w:rPr>
          <w:lang w:val="ru-RU"/>
        </w:rPr>
        <w:t>(</w:t>
      </w:r>
      <w:r>
        <w:t>a</w:t>
      </w:r>
      <w:r w:rsidRPr="006D42F2">
        <w:rPr>
          <w:lang w:val="ru-RU"/>
        </w:rPr>
        <w:t>)</w:t>
      </w:r>
      <w:r w:rsidRPr="006D42F2">
        <w:rPr>
          <w:lang w:val="ru-RU"/>
        </w:rPr>
        <w:tab/>
      </w:r>
      <w:r w:rsidR="002D6517" w:rsidRPr="004C336F">
        <w:rPr>
          <w:lang w:val="ru-RU"/>
        </w:rPr>
        <w:t xml:space="preserve">валюту </w:t>
      </w:r>
      <w:r w:rsidR="006D42F2" w:rsidRPr="004C336F">
        <w:rPr>
          <w:lang w:val="ru-RU"/>
        </w:rPr>
        <w:t>и описание ограничений, которые приводят к тому, что эта валюта не может быть обменена на другую валюту;</w:t>
      </w:r>
    </w:p>
    <w:p w14:paraId="1BF69C3B" w14:textId="7CE6D63F" w:rsidR="00DE4801" w:rsidRPr="004C336F" w:rsidRDefault="006669CB">
      <w:pPr>
        <w:pStyle w:val="IASBNormalnparaL1"/>
        <w:rPr>
          <w:lang w:val="ru-RU"/>
        </w:rPr>
      </w:pPr>
      <w:r w:rsidRPr="004C336F">
        <w:rPr>
          <w:lang w:val="ru-RU"/>
        </w:rPr>
        <w:t>(</w:t>
      </w:r>
      <w:r w:rsidRPr="004C336F">
        <w:t>b</w:t>
      </w:r>
      <w:r w:rsidRPr="004C336F">
        <w:rPr>
          <w:lang w:val="ru-RU"/>
        </w:rPr>
        <w:t>)</w:t>
      </w:r>
      <w:r w:rsidRPr="004C336F">
        <w:rPr>
          <w:lang w:val="ru-RU"/>
        </w:rPr>
        <w:tab/>
      </w:r>
      <w:r w:rsidR="00CC0BCD" w:rsidRPr="004C336F">
        <w:rPr>
          <w:lang w:val="ru-RU"/>
        </w:rPr>
        <w:t>описание затронутых операций;</w:t>
      </w:r>
    </w:p>
    <w:p w14:paraId="5ED43BEE" w14:textId="3C8EF815" w:rsidR="00DE4801" w:rsidRPr="00CC0BCD" w:rsidRDefault="006669CB">
      <w:pPr>
        <w:pStyle w:val="IASBNormalnparaL1"/>
        <w:rPr>
          <w:lang w:val="ru-RU"/>
        </w:rPr>
      </w:pPr>
      <w:r w:rsidRPr="004C336F">
        <w:rPr>
          <w:lang w:val="ru-RU"/>
        </w:rPr>
        <w:t>(</w:t>
      </w:r>
      <w:r w:rsidRPr="004C336F">
        <w:t>c</w:t>
      </w:r>
      <w:r w:rsidRPr="004C336F">
        <w:rPr>
          <w:lang w:val="ru-RU"/>
        </w:rPr>
        <w:t>)</w:t>
      </w:r>
      <w:r w:rsidRPr="004C336F">
        <w:rPr>
          <w:lang w:val="ru-RU"/>
        </w:rPr>
        <w:tab/>
      </w:r>
      <w:r w:rsidR="002D6517" w:rsidRPr="004C336F">
        <w:rPr>
          <w:lang w:val="ru-RU"/>
        </w:rPr>
        <w:t xml:space="preserve">балансовую </w:t>
      </w:r>
      <w:r w:rsidR="00CC0BCD" w:rsidRPr="004C336F">
        <w:rPr>
          <w:lang w:val="ru-RU"/>
        </w:rPr>
        <w:t xml:space="preserve">стоимость затронутых активов </w:t>
      </w:r>
      <w:r w:rsidR="00CC0BCD" w:rsidRPr="00C71905">
        <w:rPr>
          <w:lang w:val="ru-RU"/>
        </w:rPr>
        <w:t>и обязательств;</w:t>
      </w:r>
    </w:p>
    <w:p w14:paraId="0F0BF1A8" w14:textId="77777777" w:rsidR="00DE4801" w:rsidRPr="00CC0BCD" w:rsidRDefault="006669CB">
      <w:pPr>
        <w:pStyle w:val="IASBNormalnparaL1"/>
        <w:rPr>
          <w:lang w:val="ru-RU"/>
        </w:rPr>
      </w:pPr>
      <w:r w:rsidRPr="00CC0BCD">
        <w:rPr>
          <w:lang w:val="ru-RU"/>
        </w:rPr>
        <w:t>(</w:t>
      </w:r>
      <w:r>
        <w:t>d</w:t>
      </w:r>
      <w:r w:rsidRPr="00CC0BCD">
        <w:rPr>
          <w:lang w:val="ru-RU"/>
        </w:rPr>
        <w:t>)</w:t>
      </w:r>
      <w:r w:rsidRPr="00CC0BCD">
        <w:rPr>
          <w:lang w:val="ru-RU"/>
        </w:rPr>
        <w:tab/>
      </w:r>
      <w:r w:rsidR="00CC0BCD" w:rsidRPr="00C71905">
        <w:rPr>
          <w:lang w:val="ru-RU"/>
        </w:rPr>
        <w:t>используемые текущие обменные курсы, а также являются ли такие курсы:</w:t>
      </w:r>
    </w:p>
    <w:p w14:paraId="5842657D" w14:textId="1285F16B" w:rsidR="00DE4801" w:rsidRPr="00CC0BCD" w:rsidRDefault="006669CB">
      <w:pPr>
        <w:pStyle w:val="IASBNormalnparaL2"/>
        <w:rPr>
          <w:lang w:val="ru-RU"/>
        </w:rPr>
      </w:pPr>
      <w:r w:rsidRPr="00CC0BCD">
        <w:rPr>
          <w:lang w:val="ru-RU"/>
        </w:rPr>
        <w:t>(</w:t>
      </w:r>
      <w:r>
        <w:t>i</w:t>
      </w:r>
      <w:r w:rsidRPr="00CC0BCD">
        <w:rPr>
          <w:lang w:val="ru-RU"/>
        </w:rPr>
        <w:t>)</w:t>
      </w:r>
      <w:r w:rsidRPr="00CC0BCD">
        <w:rPr>
          <w:lang w:val="ru-RU"/>
        </w:rPr>
        <w:tab/>
      </w:r>
      <w:r w:rsidR="00CC0BCD" w:rsidRPr="003F2F76">
        <w:rPr>
          <w:lang w:val="ru-RU"/>
        </w:rPr>
        <w:t xml:space="preserve">наблюдаемыми обменными курсами без корректировки (см. пункты A12–A16); </w:t>
      </w:r>
      <w:r w:rsidR="00074221">
        <w:rPr>
          <w:lang w:val="ru-RU"/>
        </w:rPr>
        <w:t>или</w:t>
      </w:r>
    </w:p>
    <w:p w14:paraId="063C53BD" w14:textId="77777777" w:rsidR="00DE4801" w:rsidRPr="00CC0BCD" w:rsidRDefault="006669CB">
      <w:pPr>
        <w:pStyle w:val="IASBNormalnparaL2"/>
        <w:rPr>
          <w:lang w:val="ru-RU"/>
        </w:rPr>
      </w:pPr>
      <w:r w:rsidRPr="00CC0BCD">
        <w:rPr>
          <w:lang w:val="ru-RU"/>
        </w:rPr>
        <w:t>(</w:t>
      </w:r>
      <w:r>
        <w:t>ii</w:t>
      </w:r>
      <w:r w:rsidRPr="00CC0BCD">
        <w:rPr>
          <w:lang w:val="ru-RU"/>
        </w:rPr>
        <w:t>)</w:t>
      </w:r>
      <w:r w:rsidRPr="00CC0BCD">
        <w:rPr>
          <w:lang w:val="ru-RU"/>
        </w:rPr>
        <w:tab/>
      </w:r>
      <w:r w:rsidR="00CC0BCD" w:rsidRPr="003F2F76">
        <w:rPr>
          <w:lang w:val="ru-RU"/>
        </w:rPr>
        <w:t>текущими обменными курсами, определенными с использованием другого метода расчетной оценки (см. пункт A17);</w:t>
      </w:r>
    </w:p>
    <w:p w14:paraId="53653FA4" w14:textId="73058F7B" w:rsidR="00DE4801" w:rsidRPr="00CC0BCD" w:rsidRDefault="006669CB">
      <w:pPr>
        <w:pStyle w:val="IASBNormalnparaL1"/>
        <w:rPr>
          <w:lang w:val="ru-RU"/>
        </w:rPr>
      </w:pPr>
      <w:r w:rsidRPr="00CC0BCD">
        <w:rPr>
          <w:lang w:val="ru-RU"/>
        </w:rPr>
        <w:t>(</w:t>
      </w:r>
      <w:r>
        <w:t>e</w:t>
      </w:r>
      <w:r w:rsidRPr="00CC0BCD">
        <w:rPr>
          <w:lang w:val="ru-RU"/>
        </w:rPr>
        <w:t>)</w:t>
      </w:r>
      <w:r w:rsidRPr="00CC0BCD">
        <w:rPr>
          <w:lang w:val="ru-RU"/>
        </w:rPr>
        <w:tab/>
      </w:r>
      <w:r w:rsidR="00CC0BCD" w:rsidRPr="003F2F76">
        <w:rPr>
          <w:lang w:val="ru-RU"/>
        </w:rPr>
        <w:t xml:space="preserve">описание метода расчетной оценки, который использовала организация, а также </w:t>
      </w:r>
      <w:r w:rsidR="002D6517" w:rsidRPr="003F2F76">
        <w:rPr>
          <w:lang w:val="ru-RU"/>
        </w:rPr>
        <w:t>качественн</w:t>
      </w:r>
      <w:r w:rsidR="002D6517">
        <w:rPr>
          <w:lang w:val="ru-RU"/>
        </w:rPr>
        <w:t>ую</w:t>
      </w:r>
      <w:r w:rsidR="002D6517" w:rsidRPr="003F2F76">
        <w:rPr>
          <w:lang w:val="ru-RU"/>
        </w:rPr>
        <w:t xml:space="preserve"> </w:t>
      </w:r>
      <w:r w:rsidR="00CC0BCD" w:rsidRPr="003F2F76">
        <w:rPr>
          <w:lang w:val="ru-RU"/>
        </w:rPr>
        <w:t xml:space="preserve">и </w:t>
      </w:r>
      <w:r w:rsidR="002D6517" w:rsidRPr="003F2F76">
        <w:rPr>
          <w:lang w:val="ru-RU"/>
        </w:rPr>
        <w:t>количественн</w:t>
      </w:r>
      <w:r w:rsidR="002D6517">
        <w:rPr>
          <w:lang w:val="ru-RU"/>
        </w:rPr>
        <w:t>ую</w:t>
      </w:r>
      <w:r w:rsidR="002D6517" w:rsidRPr="003F2F76">
        <w:rPr>
          <w:lang w:val="ru-RU"/>
        </w:rPr>
        <w:t xml:space="preserve"> информаци</w:t>
      </w:r>
      <w:r w:rsidR="002D6517">
        <w:rPr>
          <w:lang w:val="ru-RU"/>
        </w:rPr>
        <w:t>ю</w:t>
      </w:r>
      <w:r w:rsidR="002D6517" w:rsidRPr="003F2F76">
        <w:rPr>
          <w:lang w:val="ru-RU"/>
        </w:rPr>
        <w:t xml:space="preserve"> </w:t>
      </w:r>
      <w:r w:rsidR="00CC0BCD" w:rsidRPr="003F2F76">
        <w:rPr>
          <w:lang w:val="ru-RU"/>
        </w:rPr>
        <w:t xml:space="preserve">об исходных данных и допущениях, используемых в </w:t>
      </w:r>
      <w:r w:rsidR="00744196">
        <w:rPr>
          <w:lang w:val="ru-RU"/>
        </w:rPr>
        <w:t>данном</w:t>
      </w:r>
      <w:r w:rsidR="00CC0BCD" w:rsidRPr="003F2F76">
        <w:rPr>
          <w:lang w:val="ru-RU"/>
        </w:rPr>
        <w:t xml:space="preserve"> метод</w:t>
      </w:r>
      <w:r w:rsidR="00744196">
        <w:rPr>
          <w:lang w:val="ru-RU"/>
        </w:rPr>
        <w:t>е</w:t>
      </w:r>
      <w:r w:rsidR="00CC0BCD" w:rsidRPr="003F2F76">
        <w:rPr>
          <w:lang w:val="ru-RU"/>
        </w:rPr>
        <w:t xml:space="preserve"> расчетной оценки; и</w:t>
      </w:r>
    </w:p>
    <w:p w14:paraId="6E476971" w14:textId="4412AFBB" w:rsidR="00DE4801" w:rsidRPr="00CC0BCD" w:rsidRDefault="006669CB">
      <w:pPr>
        <w:pStyle w:val="IASBNormalnparaL1"/>
        <w:rPr>
          <w:lang w:val="ru-RU"/>
        </w:rPr>
      </w:pPr>
      <w:r w:rsidRPr="00CC0BCD">
        <w:rPr>
          <w:lang w:val="ru-RU"/>
        </w:rPr>
        <w:t>(</w:t>
      </w:r>
      <w:r>
        <w:t>f</w:t>
      </w:r>
      <w:r w:rsidRPr="00CC0BCD">
        <w:rPr>
          <w:lang w:val="ru-RU"/>
        </w:rPr>
        <w:t>)</w:t>
      </w:r>
      <w:r w:rsidRPr="00CC0BCD">
        <w:rPr>
          <w:lang w:val="ru-RU"/>
        </w:rPr>
        <w:tab/>
      </w:r>
      <w:r w:rsidR="002D6517" w:rsidRPr="003F2F76">
        <w:rPr>
          <w:lang w:val="ru-RU"/>
        </w:rPr>
        <w:t>качественн</w:t>
      </w:r>
      <w:r w:rsidR="002D6517">
        <w:rPr>
          <w:lang w:val="ru-RU"/>
        </w:rPr>
        <w:t>ую</w:t>
      </w:r>
      <w:r w:rsidR="002D6517" w:rsidRPr="003F2F76">
        <w:rPr>
          <w:lang w:val="ru-RU"/>
        </w:rPr>
        <w:t xml:space="preserve"> информаци</w:t>
      </w:r>
      <w:r w:rsidR="002D6517">
        <w:rPr>
          <w:lang w:val="ru-RU"/>
        </w:rPr>
        <w:t>ю</w:t>
      </w:r>
      <w:r w:rsidR="002D6517" w:rsidRPr="003F2F76">
        <w:rPr>
          <w:lang w:val="ru-RU"/>
        </w:rPr>
        <w:t xml:space="preserve"> </w:t>
      </w:r>
      <w:r w:rsidR="00CC0BCD" w:rsidRPr="003F2F76">
        <w:rPr>
          <w:lang w:val="ru-RU"/>
        </w:rPr>
        <w:t xml:space="preserve">о каждом типе риска, которому подвержена организация ввиду </w:t>
      </w:r>
      <w:r w:rsidR="00744196">
        <w:rPr>
          <w:lang w:val="ru-RU"/>
        </w:rPr>
        <w:t xml:space="preserve">невозможности обмена </w:t>
      </w:r>
      <w:r w:rsidR="00CC0BCD" w:rsidRPr="003F2F76">
        <w:rPr>
          <w:lang w:val="ru-RU"/>
        </w:rPr>
        <w:t>валют</w:t>
      </w:r>
      <w:r w:rsidR="00744196">
        <w:rPr>
          <w:lang w:val="ru-RU"/>
        </w:rPr>
        <w:t>ы</w:t>
      </w:r>
      <w:r w:rsidR="00CC0BCD" w:rsidRPr="003F2F76">
        <w:rPr>
          <w:lang w:val="ru-RU"/>
        </w:rPr>
        <w:t xml:space="preserve"> на другую </w:t>
      </w:r>
      <w:r w:rsidR="00CC0BCD" w:rsidRPr="00FA7D81">
        <w:rPr>
          <w:lang w:val="ru-RU"/>
        </w:rPr>
        <w:t>валюту</w:t>
      </w:r>
      <w:r w:rsidR="00CC0BCD" w:rsidRPr="003F2F76">
        <w:rPr>
          <w:lang w:val="ru-RU"/>
        </w:rPr>
        <w:t xml:space="preserve">, а также характер и </w:t>
      </w:r>
      <w:r w:rsidR="002D6517" w:rsidRPr="003F2F76">
        <w:rPr>
          <w:lang w:val="ru-RU"/>
        </w:rPr>
        <w:t>балансов</w:t>
      </w:r>
      <w:r w:rsidR="002D6517">
        <w:rPr>
          <w:lang w:val="ru-RU"/>
        </w:rPr>
        <w:t>ую</w:t>
      </w:r>
      <w:r w:rsidR="002D6517" w:rsidRPr="003F2F76">
        <w:rPr>
          <w:lang w:val="ru-RU"/>
        </w:rPr>
        <w:t xml:space="preserve"> </w:t>
      </w:r>
      <w:r w:rsidR="00CC0BCD" w:rsidRPr="003F2F76">
        <w:rPr>
          <w:lang w:val="ru-RU"/>
        </w:rPr>
        <w:t>стоимость активов и обязательств, подверженных каждому типу риска.</w:t>
      </w:r>
    </w:p>
    <w:p w14:paraId="44A4FF59" w14:textId="1178DE06" w:rsidR="00DE4801" w:rsidRPr="00CC0BCD" w:rsidRDefault="006669CB">
      <w:pPr>
        <w:pStyle w:val="IASBNormalnpara"/>
        <w:rPr>
          <w:lang w:val="ru-RU"/>
        </w:rPr>
      </w:pPr>
      <w:r>
        <w:t>A</w:t>
      </w:r>
      <w:r w:rsidRPr="00CC0BCD">
        <w:rPr>
          <w:lang w:val="ru-RU"/>
        </w:rPr>
        <w:t>20</w:t>
      </w:r>
      <w:r w:rsidRPr="00CC0BCD">
        <w:rPr>
          <w:lang w:val="ru-RU"/>
        </w:rPr>
        <w:tab/>
      </w:r>
      <w:r w:rsidR="00CC0BCD" w:rsidRPr="004A3052">
        <w:rPr>
          <w:lang w:val="ru-RU"/>
        </w:rPr>
        <w:t xml:space="preserve">Когда </w:t>
      </w:r>
      <w:r w:rsidR="00744196">
        <w:rPr>
          <w:lang w:val="ru-RU"/>
        </w:rPr>
        <w:t xml:space="preserve">в отношении </w:t>
      </w:r>
      <w:r w:rsidR="00CC0BCD" w:rsidRPr="004A3052">
        <w:rPr>
          <w:lang w:val="ru-RU"/>
        </w:rPr>
        <w:t>функциональн</w:t>
      </w:r>
      <w:r w:rsidR="00744196">
        <w:rPr>
          <w:lang w:val="ru-RU"/>
        </w:rPr>
        <w:t>ой</w:t>
      </w:r>
      <w:r w:rsidR="00CC0BCD" w:rsidRPr="004A3052">
        <w:rPr>
          <w:lang w:val="ru-RU"/>
        </w:rPr>
        <w:t xml:space="preserve"> валют</w:t>
      </w:r>
      <w:r w:rsidR="00744196">
        <w:rPr>
          <w:lang w:val="ru-RU"/>
        </w:rPr>
        <w:t>ы</w:t>
      </w:r>
      <w:r w:rsidR="00CC0BCD" w:rsidRPr="004A3052">
        <w:rPr>
          <w:lang w:val="ru-RU"/>
        </w:rPr>
        <w:t xml:space="preserve"> иностранного подразделения </w:t>
      </w:r>
      <w:r w:rsidR="00744196">
        <w:rPr>
          <w:lang w:val="ru-RU"/>
        </w:rPr>
        <w:t xml:space="preserve">отсутствует возможность </w:t>
      </w:r>
      <w:r w:rsidR="00E04A67">
        <w:rPr>
          <w:lang w:val="ru-RU"/>
        </w:rPr>
        <w:t xml:space="preserve">ее </w:t>
      </w:r>
      <w:r w:rsidR="00744196">
        <w:rPr>
          <w:lang w:val="ru-RU"/>
        </w:rPr>
        <w:t>обмена</w:t>
      </w:r>
      <w:r w:rsidR="00CC0BCD" w:rsidRPr="004A3052">
        <w:rPr>
          <w:lang w:val="ru-RU"/>
        </w:rPr>
        <w:t xml:space="preserve"> на валюту представления или, если применимо, </w:t>
      </w:r>
      <w:r w:rsidR="00744196">
        <w:rPr>
          <w:lang w:val="ru-RU"/>
        </w:rPr>
        <w:t xml:space="preserve">отсутствует возможность </w:t>
      </w:r>
      <w:r w:rsidR="00E04A67">
        <w:rPr>
          <w:lang w:val="ru-RU"/>
        </w:rPr>
        <w:t xml:space="preserve">обмена </w:t>
      </w:r>
      <w:r w:rsidR="00CC0BCD" w:rsidRPr="004A3052">
        <w:rPr>
          <w:lang w:val="ru-RU"/>
        </w:rPr>
        <w:t>валют</w:t>
      </w:r>
      <w:r w:rsidR="00E04A67">
        <w:rPr>
          <w:lang w:val="ru-RU"/>
        </w:rPr>
        <w:t>ы</w:t>
      </w:r>
      <w:r w:rsidR="00CC0BCD" w:rsidRPr="004A3052">
        <w:rPr>
          <w:lang w:val="ru-RU"/>
        </w:rPr>
        <w:t xml:space="preserve"> представления на функциональную валюту иностранного подразделения, организация также должна раскрыть следующую информацию:</w:t>
      </w:r>
    </w:p>
    <w:p w14:paraId="08E4D75F" w14:textId="77777777" w:rsidR="00DE4801" w:rsidRPr="00CC0BCD" w:rsidRDefault="006669CB">
      <w:pPr>
        <w:pStyle w:val="IASBNormalnparaL1"/>
        <w:rPr>
          <w:lang w:val="ru-RU"/>
        </w:rPr>
      </w:pPr>
      <w:r w:rsidRPr="00CC0BCD">
        <w:rPr>
          <w:lang w:val="ru-RU"/>
        </w:rPr>
        <w:t>(</w:t>
      </w:r>
      <w:r>
        <w:t>a</w:t>
      </w:r>
      <w:r w:rsidRPr="00CC0BCD">
        <w:rPr>
          <w:lang w:val="ru-RU"/>
        </w:rPr>
        <w:t>)</w:t>
      </w:r>
      <w:r w:rsidRPr="00CC0BCD">
        <w:rPr>
          <w:lang w:val="ru-RU"/>
        </w:rPr>
        <w:tab/>
      </w:r>
      <w:r w:rsidR="00CC0BCD" w:rsidRPr="004A3052">
        <w:rPr>
          <w:lang w:val="ru-RU"/>
        </w:rPr>
        <w:t xml:space="preserve">наименование иностранного подразделения, </w:t>
      </w:r>
      <w:r w:rsidR="008C2B0A">
        <w:rPr>
          <w:lang w:val="ru-RU"/>
        </w:rPr>
        <w:t>является ли иностранное подразделение</w:t>
      </w:r>
      <w:r w:rsidR="00CC0BCD" w:rsidRPr="004A3052">
        <w:rPr>
          <w:lang w:val="ru-RU"/>
        </w:rPr>
        <w:t xml:space="preserve"> дочерн</w:t>
      </w:r>
      <w:r w:rsidR="008C2B0A">
        <w:rPr>
          <w:lang w:val="ru-RU"/>
        </w:rPr>
        <w:t>ей</w:t>
      </w:r>
      <w:r w:rsidR="00CC0BCD" w:rsidRPr="004A3052">
        <w:rPr>
          <w:lang w:val="ru-RU"/>
        </w:rPr>
        <w:t xml:space="preserve"> организаци</w:t>
      </w:r>
      <w:r w:rsidR="008C2B0A">
        <w:rPr>
          <w:lang w:val="ru-RU"/>
        </w:rPr>
        <w:t>ей</w:t>
      </w:r>
      <w:r w:rsidR="00CC0BCD" w:rsidRPr="004A3052">
        <w:rPr>
          <w:lang w:val="ru-RU"/>
        </w:rPr>
        <w:t>, совместн</w:t>
      </w:r>
      <w:r w:rsidR="008C2B0A">
        <w:rPr>
          <w:lang w:val="ru-RU"/>
        </w:rPr>
        <w:t>ой</w:t>
      </w:r>
      <w:r w:rsidR="00CC0BCD" w:rsidRPr="004A3052">
        <w:rPr>
          <w:lang w:val="ru-RU"/>
        </w:rPr>
        <w:t xml:space="preserve"> операци</w:t>
      </w:r>
      <w:r w:rsidR="008C2B0A">
        <w:rPr>
          <w:lang w:val="ru-RU"/>
        </w:rPr>
        <w:t>ей</w:t>
      </w:r>
      <w:r w:rsidR="00CC0BCD" w:rsidRPr="004A3052">
        <w:rPr>
          <w:lang w:val="ru-RU"/>
        </w:rPr>
        <w:t>, совместн</w:t>
      </w:r>
      <w:r w:rsidR="008C2B0A">
        <w:rPr>
          <w:lang w:val="ru-RU"/>
        </w:rPr>
        <w:t>ым</w:t>
      </w:r>
      <w:r w:rsidR="00CC0BCD" w:rsidRPr="004A3052">
        <w:rPr>
          <w:lang w:val="ru-RU"/>
        </w:rPr>
        <w:t xml:space="preserve"> предприятие</w:t>
      </w:r>
      <w:r w:rsidR="008C2B0A">
        <w:rPr>
          <w:lang w:val="ru-RU"/>
        </w:rPr>
        <w:t>м</w:t>
      </w:r>
      <w:r w:rsidR="00CC0BCD" w:rsidRPr="004A3052">
        <w:rPr>
          <w:lang w:val="ru-RU"/>
        </w:rPr>
        <w:t xml:space="preserve">, </w:t>
      </w:r>
      <w:r w:rsidR="008C2B0A" w:rsidRPr="004A3052">
        <w:rPr>
          <w:lang w:val="ru-RU"/>
        </w:rPr>
        <w:t>ассоциированн</w:t>
      </w:r>
      <w:r w:rsidR="008C2B0A">
        <w:rPr>
          <w:lang w:val="ru-RU"/>
        </w:rPr>
        <w:t>ой</w:t>
      </w:r>
      <w:r w:rsidR="008C2B0A" w:rsidRPr="004A3052">
        <w:rPr>
          <w:lang w:val="ru-RU"/>
        </w:rPr>
        <w:t xml:space="preserve"> </w:t>
      </w:r>
      <w:r w:rsidR="00CC0BCD" w:rsidRPr="004A3052">
        <w:rPr>
          <w:lang w:val="ru-RU"/>
        </w:rPr>
        <w:t>организаци</w:t>
      </w:r>
      <w:r w:rsidR="008C2B0A">
        <w:rPr>
          <w:lang w:val="ru-RU"/>
        </w:rPr>
        <w:t>ей</w:t>
      </w:r>
      <w:r w:rsidR="00CC0BCD" w:rsidRPr="004A3052">
        <w:rPr>
          <w:lang w:val="ru-RU"/>
        </w:rPr>
        <w:t xml:space="preserve"> или филиал</w:t>
      </w:r>
      <w:r w:rsidR="008C2B0A">
        <w:rPr>
          <w:lang w:val="ru-RU"/>
        </w:rPr>
        <w:t>ом</w:t>
      </w:r>
      <w:r w:rsidR="00CC0BCD" w:rsidRPr="004A3052">
        <w:rPr>
          <w:lang w:val="ru-RU"/>
        </w:rPr>
        <w:t>, а также основное место осуществления деятельности;</w:t>
      </w:r>
    </w:p>
    <w:p w14:paraId="4E27096A" w14:textId="77777777" w:rsidR="00DE4801" w:rsidRPr="00CC0BCD" w:rsidRDefault="006669CB">
      <w:pPr>
        <w:pStyle w:val="IASBNormalnparaL1"/>
        <w:rPr>
          <w:lang w:val="ru-RU"/>
        </w:rPr>
      </w:pPr>
      <w:r w:rsidRPr="00CC0BCD">
        <w:rPr>
          <w:lang w:val="ru-RU"/>
        </w:rPr>
        <w:t>(</w:t>
      </w:r>
      <w:r>
        <w:t>b</w:t>
      </w:r>
      <w:r w:rsidRPr="00CC0BCD">
        <w:rPr>
          <w:lang w:val="ru-RU"/>
        </w:rPr>
        <w:t>)</w:t>
      </w:r>
      <w:r w:rsidRPr="00CC0BCD">
        <w:rPr>
          <w:lang w:val="ru-RU"/>
        </w:rPr>
        <w:tab/>
      </w:r>
      <w:r w:rsidR="00C246D0" w:rsidRPr="004A3052">
        <w:rPr>
          <w:lang w:val="ru-RU"/>
        </w:rPr>
        <w:t>обобщенн</w:t>
      </w:r>
      <w:r w:rsidR="00C246D0">
        <w:rPr>
          <w:lang w:val="ru-RU"/>
        </w:rPr>
        <w:t>ую</w:t>
      </w:r>
      <w:r w:rsidR="00C246D0" w:rsidRPr="004A3052">
        <w:rPr>
          <w:lang w:val="ru-RU"/>
        </w:rPr>
        <w:t xml:space="preserve"> финансов</w:t>
      </w:r>
      <w:r w:rsidR="00C246D0">
        <w:rPr>
          <w:lang w:val="ru-RU"/>
        </w:rPr>
        <w:t>ую</w:t>
      </w:r>
      <w:r w:rsidR="00C246D0" w:rsidRPr="004A3052">
        <w:rPr>
          <w:lang w:val="ru-RU"/>
        </w:rPr>
        <w:t xml:space="preserve"> информаци</w:t>
      </w:r>
      <w:r w:rsidR="00C246D0">
        <w:rPr>
          <w:lang w:val="ru-RU"/>
        </w:rPr>
        <w:t>ю</w:t>
      </w:r>
      <w:r w:rsidR="00C246D0" w:rsidRPr="004A3052">
        <w:rPr>
          <w:lang w:val="ru-RU"/>
        </w:rPr>
        <w:t xml:space="preserve"> </w:t>
      </w:r>
      <w:r w:rsidR="00CC0BCD" w:rsidRPr="004A3052">
        <w:rPr>
          <w:lang w:val="ru-RU"/>
        </w:rPr>
        <w:t>об иностранном подразделении; и</w:t>
      </w:r>
    </w:p>
    <w:p w14:paraId="4AA1004C" w14:textId="05425525" w:rsidR="00DE4801" w:rsidRPr="00FD1371" w:rsidRDefault="006669CB">
      <w:pPr>
        <w:pStyle w:val="IASBNormalnparaL1"/>
        <w:rPr>
          <w:lang w:val="ru-RU"/>
        </w:rPr>
      </w:pPr>
      <w:r w:rsidRPr="00FD1371">
        <w:rPr>
          <w:lang w:val="ru-RU"/>
        </w:rPr>
        <w:t>(</w:t>
      </w:r>
      <w:r>
        <w:t>c</w:t>
      </w:r>
      <w:r w:rsidRPr="00FD1371">
        <w:rPr>
          <w:lang w:val="ru-RU"/>
        </w:rPr>
        <w:t>)</w:t>
      </w:r>
      <w:r w:rsidRPr="00FD1371">
        <w:rPr>
          <w:lang w:val="ru-RU"/>
        </w:rPr>
        <w:tab/>
      </w:r>
      <w:r w:rsidR="00FD1371" w:rsidRPr="004A3052">
        <w:rPr>
          <w:lang w:val="ru-RU"/>
        </w:rPr>
        <w:t xml:space="preserve">характер и условия </w:t>
      </w:r>
      <w:r w:rsidR="008C2B0A">
        <w:rPr>
          <w:lang w:val="ru-RU"/>
        </w:rPr>
        <w:t>соглашений</w:t>
      </w:r>
      <w:r w:rsidR="00FD1371" w:rsidRPr="004A3052">
        <w:rPr>
          <w:lang w:val="ru-RU"/>
        </w:rPr>
        <w:t xml:space="preserve">, которые могут потребовать от организации предоставления финансовой поддержки иностранному подразделению, включая события или обстоятельства, которые могли бы </w:t>
      </w:r>
      <w:r w:rsidR="00E04A67">
        <w:rPr>
          <w:lang w:val="ru-RU"/>
        </w:rPr>
        <w:t xml:space="preserve">подвергнуть организацию </w:t>
      </w:r>
      <w:r w:rsidR="00FD1371" w:rsidRPr="004A3052">
        <w:rPr>
          <w:lang w:val="ru-RU"/>
        </w:rPr>
        <w:t>риску возникновения убытка.</w:t>
      </w:r>
    </w:p>
    <w:p w14:paraId="1D9546D1" w14:textId="77777777" w:rsidR="0093564B" w:rsidRPr="00FD1371" w:rsidRDefault="0093564B">
      <w:pPr>
        <w:pStyle w:val="IASBNormalnparaL1"/>
        <w:rPr>
          <w:lang w:val="ru-RU"/>
        </w:rPr>
      </w:pPr>
    </w:p>
    <w:p w14:paraId="2E8E6780" w14:textId="77777777" w:rsidR="0093564B" w:rsidRPr="00FD1371" w:rsidRDefault="0093564B" w:rsidP="0093564B">
      <w:pPr>
        <w:pStyle w:val="IASBNormalnpara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93564B" w:rsidRPr="00A06F67" w14:paraId="3F4DFEB6" w14:textId="77777777" w:rsidTr="001C69F0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257032" w14:textId="77777777" w:rsidR="0093564B" w:rsidRPr="00B02013" w:rsidRDefault="00B02013" w:rsidP="00B02013">
            <w:pPr>
              <w:pStyle w:val="IASBTableArial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 заголовок внесены изменения</w:t>
            </w:r>
            <w:r w:rsidR="0093564B" w:rsidRPr="00B02013">
              <w:rPr>
                <w:lang w:val="ru-RU"/>
              </w:rPr>
              <w:t xml:space="preserve">. </w:t>
            </w:r>
            <w:r>
              <w:rPr>
                <w:lang w:val="ru-RU"/>
              </w:rPr>
              <w:t>Новый текст подчеркнут</w:t>
            </w:r>
            <w:r w:rsidR="0093564B" w:rsidRPr="00B02013">
              <w:rPr>
                <w:lang w:val="ru-RU"/>
              </w:rPr>
              <w:t>.</w:t>
            </w:r>
          </w:p>
        </w:tc>
      </w:tr>
    </w:tbl>
    <w:p w14:paraId="2E317013" w14:textId="77777777" w:rsidR="0093564B" w:rsidRPr="00B02013" w:rsidRDefault="0093564B" w:rsidP="0093564B">
      <w:pPr>
        <w:pStyle w:val="IASBNormalnpara"/>
        <w:rPr>
          <w:lang w:val="ru-RU"/>
        </w:rPr>
      </w:pPr>
    </w:p>
    <w:p w14:paraId="39A54838" w14:textId="2FFE8E41" w:rsidR="0093564B" w:rsidRPr="00B02013" w:rsidRDefault="00B02013" w:rsidP="0093564B">
      <w:pPr>
        <w:pStyle w:val="IASBSectionTitle2NonInd"/>
        <w:rPr>
          <w:lang w:val="ru-RU"/>
        </w:rPr>
      </w:pPr>
      <w:r>
        <w:rPr>
          <w:lang w:val="ru-RU"/>
        </w:rPr>
        <w:t>Приложение</w:t>
      </w:r>
      <w:r w:rsidR="0093564B" w:rsidRPr="00B02013">
        <w:rPr>
          <w:lang w:val="ru-RU"/>
        </w:rPr>
        <w:t xml:space="preserve"> </w:t>
      </w:r>
      <w:r w:rsidR="0093564B">
        <w:rPr>
          <w:u w:val="single"/>
        </w:rPr>
        <w:t>B</w:t>
      </w:r>
      <w:r w:rsidR="0093564B" w:rsidRPr="00B02013">
        <w:rPr>
          <w:lang w:val="ru-RU"/>
        </w:rPr>
        <w:br/>
      </w:r>
      <w:r>
        <w:rPr>
          <w:lang w:val="ru-RU"/>
        </w:rPr>
        <w:t>Поправки к другим документам</w:t>
      </w:r>
    </w:p>
    <w:p w14:paraId="14D0527B" w14:textId="77777777" w:rsidR="0093564B" w:rsidRPr="00B02013" w:rsidRDefault="0093564B">
      <w:pPr>
        <w:pStyle w:val="IASBNormalnparaL1"/>
        <w:rPr>
          <w:lang w:val="ru-RU"/>
        </w:rPr>
      </w:pPr>
    </w:p>
    <w:p w14:paraId="16F8ECC3" w14:textId="77777777" w:rsidR="0093564B" w:rsidRPr="00B02013" w:rsidRDefault="0093564B">
      <w:pPr>
        <w:pStyle w:val="IASBNormalnparaL1"/>
        <w:rPr>
          <w:lang w:val="ru-RU"/>
        </w:rPr>
      </w:pPr>
    </w:p>
    <w:p w14:paraId="669FB188" w14:textId="77777777" w:rsidR="00DE4801" w:rsidRPr="00B02013" w:rsidRDefault="00DE4801">
      <w:pPr>
        <w:rPr>
          <w:lang w:val="ru-RU"/>
        </w:rPr>
        <w:sectPr w:rsidR="00DE4801" w:rsidRPr="00B02013">
          <w:headerReference w:type="even" r:id="rId58"/>
          <w:headerReference w:type="default" r:id="rId59"/>
          <w:footerReference w:type="even" r:id="rId60"/>
          <w:footerReference w:type="default" r:id="rId61"/>
          <w:pgSz w:w="11880" w:h="16820"/>
          <w:pgMar w:top="1440" w:right="1440" w:bottom="1440" w:left="1440" w:header="720" w:footer="720" w:gutter="0"/>
          <w:cols w:space="720"/>
        </w:sectPr>
      </w:pPr>
    </w:p>
    <w:p w14:paraId="176A8D31" w14:textId="77777777" w:rsidR="00DE4801" w:rsidRPr="00B34BA2" w:rsidRDefault="00B34BA2">
      <w:pPr>
        <w:pStyle w:val="IASBSectionTitle1NonInd"/>
        <w:rPr>
          <w:lang w:val="ru-RU"/>
        </w:rPr>
      </w:pPr>
      <w:r>
        <w:rPr>
          <w:lang w:val="ru-RU"/>
        </w:rPr>
        <w:lastRenderedPageBreak/>
        <w:t>Поправки</w:t>
      </w:r>
      <w:r w:rsidRPr="00B34BA2">
        <w:rPr>
          <w:lang w:val="ru-RU"/>
        </w:rPr>
        <w:t xml:space="preserve"> </w:t>
      </w:r>
      <w:r>
        <w:rPr>
          <w:lang w:val="ru-RU"/>
        </w:rPr>
        <w:t>к</w:t>
      </w:r>
      <w:r w:rsidRPr="00B34BA2">
        <w:rPr>
          <w:lang w:val="ru-RU"/>
        </w:rPr>
        <w:t xml:space="preserve"> </w:t>
      </w:r>
      <w:r>
        <w:rPr>
          <w:lang w:val="ru-RU"/>
        </w:rPr>
        <w:t>МСФО</w:t>
      </w:r>
      <w:r w:rsidRPr="00B34BA2">
        <w:t> </w:t>
      </w:r>
      <w:r w:rsidRPr="00B34BA2">
        <w:rPr>
          <w:lang w:val="ru-RU"/>
        </w:rPr>
        <w:t>(</w:t>
      </w:r>
      <w:r w:rsidRPr="00B34BA2">
        <w:t>IFRS</w:t>
      </w:r>
      <w:r w:rsidRPr="00B34BA2">
        <w:rPr>
          <w:lang w:val="ru-RU"/>
        </w:rPr>
        <w:t>)</w:t>
      </w:r>
      <w:r w:rsidRPr="00B34BA2">
        <w:t> </w:t>
      </w:r>
      <w:r w:rsidR="006669CB" w:rsidRPr="00B34BA2">
        <w:rPr>
          <w:lang w:val="ru-RU"/>
        </w:rPr>
        <w:t xml:space="preserve">1 </w:t>
      </w:r>
      <w:r w:rsidRPr="00B34BA2">
        <w:rPr>
          <w:i/>
          <w:lang w:val="ru-RU"/>
        </w:rPr>
        <w:t>«</w:t>
      </w:r>
      <w:r>
        <w:rPr>
          <w:i/>
          <w:lang w:val="ru-RU"/>
        </w:rPr>
        <w:t>Первое</w:t>
      </w:r>
      <w:r w:rsidRPr="00B34BA2">
        <w:rPr>
          <w:i/>
          <w:lang w:val="ru-RU"/>
        </w:rPr>
        <w:t xml:space="preserve"> </w:t>
      </w:r>
      <w:r>
        <w:rPr>
          <w:i/>
          <w:lang w:val="ru-RU"/>
        </w:rPr>
        <w:t>применение</w:t>
      </w:r>
      <w:r w:rsidRPr="00B34BA2">
        <w:rPr>
          <w:i/>
          <w:lang w:val="ru-RU"/>
        </w:rPr>
        <w:t xml:space="preserve"> </w:t>
      </w:r>
      <w:r>
        <w:rPr>
          <w:i/>
          <w:lang w:val="ru-RU"/>
        </w:rPr>
        <w:t>Международных стандартов финансовой отчетности»</w:t>
      </w:r>
    </w:p>
    <w:p w14:paraId="6DB76205" w14:textId="77777777" w:rsidR="00DE4801" w:rsidRPr="00B34BA2" w:rsidRDefault="00DE4801">
      <w:pPr>
        <w:pStyle w:val="IASBNormalnpara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E4801" w:rsidRPr="00A06F67" w14:paraId="1F4CCA4A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2F385620" w14:textId="77777777" w:rsidR="00DE4801" w:rsidRPr="00714F76" w:rsidRDefault="00867B35" w:rsidP="00814B9D">
            <w:pPr>
              <w:pStyle w:val="IASBTableArial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814B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пункты</w:t>
            </w:r>
            <w:r w:rsidR="006669CB" w:rsidRPr="00814B9D">
              <w:rPr>
                <w:lang w:val="ru-RU"/>
              </w:rPr>
              <w:t xml:space="preserve"> 31</w:t>
            </w:r>
            <w:r w:rsidR="006669CB">
              <w:t>C</w:t>
            </w:r>
            <w:r w:rsidR="006669CB" w:rsidRPr="00814B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6669CB" w:rsidRPr="00814B9D">
              <w:rPr>
                <w:lang w:val="ru-RU"/>
              </w:rPr>
              <w:t xml:space="preserve"> </w:t>
            </w:r>
            <w:r w:rsidR="006669CB">
              <w:t>D</w:t>
            </w:r>
            <w:r w:rsidR="006669CB" w:rsidRPr="00814B9D">
              <w:rPr>
                <w:lang w:val="ru-RU"/>
              </w:rPr>
              <w:t xml:space="preserve">27 </w:t>
            </w:r>
            <w:r w:rsidR="00814B9D">
              <w:rPr>
                <w:lang w:val="ru-RU"/>
              </w:rPr>
              <w:t>внесены</w:t>
            </w:r>
            <w:r w:rsidR="00814B9D" w:rsidRPr="00814B9D">
              <w:rPr>
                <w:lang w:val="ru-RU"/>
              </w:rPr>
              <w:t xml:space="preserve"> </w:t>
            </w:r>
            <w:r w:rsidR="00814B9D">
              <w:rPr>
                <w:lang w:val="ru-RU"/>
              </w:rPr>
              <w:t>изменения</w:t>
            </w:r>
            <w:r w:rsidR="00814B9D" w:rsidRPr="00814B9D">
              <w:rPr>
                <w:lang w:val="ru-RU"/>
              </w:rPr>
              <w:t>,</w:t>
            </w:r>
            <w:r w:rsidR="00814B9D">
              <w:rPr>
                <w:lang w:val="ru-RU"/>
              </w:rPr>
              <w:t xml:space="preserve"> а пункт</w:t>
            </w:r>
            <w:r w:rsidR="006669CB" w:rsidRPr="00814B9D">
              <w:rPr>
                <w:lang w:val="ru-RU"/>
              </w:rPr>
              <w:t xml:space="preserve"> 39</w:t>
            </w:r>
            <w:r w:rsidR="006669CB">
              <w:t>AI</w:t>
            </w:r>
            <w:r w:rsidR="006669CB" w:rsidRPr="00814B9D">
              <w:rPr>
                <w:lang w:val="ru-RU"/>
              </w:rPr>
              <w:t xml:space="preserve"> </w:t>
            </w:r>
            <w:r w:rsidR="00814B9D">
              <w:rPr>
                <w:lang w:val="ru-RU"/>
              </w:rPr>
              <w:t>добавлен</w:t>
            </w:r>
            <w:r w:rsidR="006669CB" w:rsidRPr="00814B9D">
              <w:rPr>
                <w:lang w:val="ru-RU"/>
              </w:rPr>
              <w:t xml:space="preserve">. </w:t>
            </w:r>
            <w:r w:rsidR="00814B9D">
              <w:rPr>
                <w:lang w:val="ru-RU"/>
              </w:rPr>
              <w:t>Новый</w:t>
            </w:r>
            <w:r w:rsidR="00814B9D" w:rsidRPr="00714F76">
              <w:rPr>
                <w:lang w:val="ru-RU"/>
              </w:rPr>
              <w:t xml:space="preserve"> </w:t>
            </w:r>
            <w:r w:rsidR="00814B9D">
              <w:rPr>
                <w:lang w:val="ru-RU"/>
              </w:rPr>
              <w:t>текст</w:t>
            </w:r>
            <w:r w:rsidR="00814B9D" w:rsidRPr="00714F76">
              <w:rPr>
                <w:lang w:val="ru-RU"/>
              </w:rPr>
              <w:t xml:space="preserve"> </w:t>
            </w:r>
            <w:r w:rsidR="00814B9D">
              <w:rPr>
                <w:lang w:val="ru-RU"/>
              </w:rPr>
              <w:t>подчеркнут</w:t>
            </w:r>
            <w:r w:rsidR="00814B9D" w:rsidRPr="00714F76">
              <w:rPr>
                <w:lang w:val="ru-RU"/>
              </w:rPr>
              <w:t>,</w:t>
            </w:r>
            <w:r w:rsidR="00814B9D">
              <w:rPr>
                <w:lang w:val="ru-RU"/>
              </w:rPr>
              <w:t xml:space="preserve"> а удаленный текст зачеркнут</w:t>
            </w:r>
            <w:r w:rsidR="006669CB" w:rsidRPr="00714F76">
              <w:rPr>
                <w:lang w:val="ru-RU"/>
              </w:rPr>
              <w:t>.</w:t>
            </w:r>
          </w:p>
        </w:tc>
      </w:tr>
    </w:tbl>
    <w:p w14:paraId="5FF9495B" w14:textId="77777777" w:rsidR="00DE4801" w:rsidRPr="00714F76" w:rsidRDefault="00DE4801">
      <w:pPr>
        <w:pStyle w:val="IASBNormalnpara"/>
        <w:rPr>
          <w:lang w:val="ru-RU"/>
        </w:rPr>
      </w:pPr>
    </w:p>
    <w:p w14:paraId="7980050B" w14:textId="77777777" w:rsidR="00DE4801" w:rsidRPr="00496F62" w:rsidRDefault="00714F76">
      <w:pPr>
        <w:pStyle w:val="IASBSectionTitle1NonInd"/>
        <w:rPr>
          <w:lang w:val="ru-RU"/>
        </w:rPr>
      </w:pPr>
      <w:r w:rsidRPr="00496F62">
        <w:rPr>
          <w:lang w:val="ru-RU"/>
        </w:rPr>
        <w:t>Представление и раскрытие информации</w:t>
      </w:r>
    </w:p>
    <w:p w14:paraId="3F4E60CC" w14:textId="77777777" w:rsidR="00DE4801" w:rsidRPr="00496F62" w:rsidRDefault="006669CB">
      <w:pPr>
        <w:pStyle w:val="IASBNormalnpara"/>
        <w:rPr>
          <w:lang w:val="ru-RU"/>
        </w:rPr>
      </w:pPr>
      <w:r w:rsidRPr="00496F62">
        <w:rPr>
          <w:lang w:val="ru-RU"/>
        </w:rPr>
        <w:tab/>
        <w:t>...</w:t>
      </w:r>
    </w:p>
    <w:p w14:paraId="3CE437DE" w14:textId="77777777" w:rsidR="00DE4801" w:rsidRPr="00714F76" w:rsidRDefault="00714F76">
      <w:pPr>
        <w:pStyle w:val="IASBSectionTitle2Ind"/>
        <w:rPr>
          <w:lang w:val="ru-RU"/>
        </w:rPr>
      </w:pPr>
      <w:r w:rsidRPr="00714F76">
        <w:rPr>
          <w:lang w:val="ru-RU"/>
        </w:rPr>
        <w:t>Пояснения, касающиеся перехода на МСФО</w:t>
      </w:r>
    </w:p>
    <w:p w14:paraId="1A401D9C" w14:textId="77777777" w:rsidR="00DE4801" w:rsidRPr="00714F76" w:rsidRDefault="006669CB">
      <w:pPr>
        <w:pStyle w:val="IASBNormalnpara"/>
        <w:rPr>
          <w:lang w:val="ru-RU"/>
        </w:rPr>
      </w:pPr>
      <w:r w:rsidRPr="00714F76">
        <w:rPr>
          <w:lang w:val="ru-RU"/>
        </w:rPr>
        <w:tab/>
        <w:t>...</w:t>
      </w:r>
    </w:p>
    <w:p w14:paraId="28BCBAF9" w14:textId="77777777" w:rsidR="00DE4801" w:rsidRPr="00714F76" w:rsidRDefault="00714F76">
      <w:pPr>
        <w:pStyle w:val="IASBSectionTitle3Ind"/>
        <w:rPr>
          <w:lang w:val="ru-RU"/>
        </w:rPr>
      </w:pPr>
      <w:r w:rsidRPr="00714F76">
        <w:rPr>
          <w:lang w:val="ru-RU"/>
        </w:rPr>
        <w:t>Использование условной первоначальной стоимости после тяжелой гиперинфляции</w:t>
      </w:r>
    </w:p>
    <w:p w14:paraId="6B5D9901" w14:textId="03324A1C" w:rsidR="00DE4801" w:rsidRPr="001C69F0" w:rsidRDefault="006669CB">
      <w:pPr>
        <w:pStyle w:val="IASBNormalnpara"/>
        <w:rPr>
          <w:lang w:val="ru-RU"/>
        </w:rPr>
      </w:pPr>
      <w:r w:rsidRPr="001C69F0">
        <w:rPr>
          <w:lang w:val="ru-RU"/>
        </w:rPr>
        <w:t>31</w:t>
      </w:r>
      <w:r>
        <w:t>C</w:t>
      </w:r>
      <w:r w:rsidRPr="001C69F0">
        <w:rPr>
          <w:lang w:val="ru-RU"/>
        </w:rPr>
        <w:tab/>
      </w:r>
      <w:r w:rsidR="001C69F0" w:rsidRPr="001C69F0">
        <w:rPr>
          <w:lang w:val="ru-RU"/>
        </w:rPr>
        <w:t xml:space="preserve">Если вследствие тяжелой гиперинфляции (см. пункты </w:t>
      </w:r>
      <w:r w:rsidR="001C69F0" w:rsidRPr="001C69F0">
        <w:t>D</w:t>
      </w:r>
      <w:r w:rsidR="001C69F0" w:rsidRPr="001C69F0">
        <w:rPr>
          <w:lang w:val="ru-RU"/>
        </w:rPr>
        <w:t>26</w:t>
      </w:r>
      <w:r w:rsidR="00CE16E2" w:rsidRPr="003F2F76">
        <w:rPr>
          <w:lang w:val="ru-RU"/>
        </w:rPr>
        <w:t>–</w:t>
      </w:r>
      <w:r w:rsidR="001C69F0" w:rsidRPr="001C69F0">
        <w:t>D</w:t>
      </w:r>
      <w:r w:rsidR="001C69F0" w:rsidRPr="001C69F0">
        <w:rPr>
          <w:lang w:val="ru-RU"/>
        </w:rPr>
        <w:t xml:space="preserve">30) организация решает оценить активы и обязательства по справедливой стоимости и использовать указанную справедливую стоимость в качестве условной первоначальной стоимости в своем вступительном отчете о финансовом положении по МСФО, то в своей первой финансовой отчетности по МСФО организация должна раскрыть поясняющую информацию о том, как и почему ее функциональная валюта была, а затем перестала быть валютой, </w:t>
      </w:r>
      <w:r w:rsidR="001C69F0">
        <w:rPr>
          <w:u w:val="single"/>
          <w:lang w:val="ru-RU"/>
        </w:rPr>
        <w:t>подверженной тяжелой гиперинфляции.</w:t>
      </w:r>
      <w:r w:rsidR="001C69F0" w:rsidRPr="001C69F0">
        <w:rPr>
          <w:strike/>
          <w:lang w:val="ru-RU"/>
        </w:rPr>
        <w:t>имеющей обе следующие характеристики:</w:t>
      </w:r>
    </w:p>
    <w:p w14:paraId="00C39E33" w14:textId="77777777" w:rsidR="00DE4801" w:rsidRPr="00B23349" w:rsidRDefault="006669CB">
      <w:pPr>
        <w:pStyle w:val="IASBNormalnparaL1"/>
        <w:rPr>
          <w:lang w:val="ru-RU"/>
        </w:rPr>
      </w:pPr>
      <w:r w:rsidRPr="00B23349">
        <w:rPr>
          <w:strike/>
          <w:lang w:val="ru-RU"/>
        </w:rPr>
        <w:t>(</w:t>
      </w:r>
      <w:r>
        <w:rPr>
          <w:strike/>
        </w:rPr>
        <w:t>a</w:t>
      </w:r>
      <w:r w:rsidRPr="00B23349">
        <w:rPr>
          <w:strike/>
          <w:lang w:val="ru-RU"/>
        </w:rPr>
        <w:t>)</w:t>
      </w:r>
      <w:r w:rsidRPr="00B23349">
        <w:rPr>
          <w:lang w:val="ru-RU"/>
        </w:rPr>
        <w:tab/>
      </w:r>
      <w:r w:rsidR="00B23349" w:rsidRPr="00B23349">
        <w:rPr>
          <w:strike/>
          <w:lang w:val="ru-RU"/>
        </w:rPr>
        <w:t>для всех организаций, имеющих операции и остатки в этой валюте, отсутствует надежный общий индекс цен</w:t>
      </w:r>
      <w:r w:rsidRPr="00B23349">
        <w:rPr>
          <w:strike/>
          <w:lang w:val="ru-RU"/>
        </w:rPr>
        <w:t>.</w:t>
      </w:r>
    </w:p>
    <w:p w14:paraId="6B98AE1E" w14:textId="77777777" w:rsidR="00DE4801" w:rsidRPr="00B23349" w:rsidRDefault="006669CB">
      <w:pPr>
        <w:pStyle w:val="IASBNormalnparaL1"/>
        <w:rPr>
          <w:lang w:val="ru-RU"/>
        </w:rPr>
      </w:pPr>
      <w:r w:rsidRPr="00B23349">
        <w:rPr>
          <w:strike/>
          <w:lang w:val="ru-RU"/>
        </w:rPr>
        <w:t>(</w:t>
      </w:r>
      <w:r>
        <w:rPr>
          <w:strike/>
        </w:rPr>
        <w:t>b</w:t>
      </w:r>
      <w:r w:rsidRPr="00B23349">
        <w:rPr>
          <w:strike/>
          <w:lang w:val="ru-RU"/>
        </w:rPr>
        <w:t>)</w:t>
      </w:r>
      <w:r w:rsidRPr="00B23349">
        <w:rPr>
          <w:lang w:val="ru-RU"/>
        </w:rPr>
        <w:tab/>
      </w:r>
      <w:r w:rsidR="00B23349" w:rsidRPr="00B23349">
        <w:rPr>
          <w:strike/>
          <w:lang w:val="ru-RU"/>
        </w:rPr>
        <w:t>отсутствие возможности обмена между этой валютой и относительно устойчивой иностранной валютой</w:t>
      </w:r>
      <w:r w:rsidRPr="00B23349">
        <w:rPr>
          <w:strike/>
          <w:lang w:val="ru-RU"/>
        </w:rPr>
        <w:t>.</w:t>
      </w:r>
    </w:p>
    <w:p w14:paraId="5B5C9974" w14:textId="77777777" w:rsidR="00DE4801" w:rsidRPr="00496F62" w:rsidRDefault="006669CB">
      <w:pPr>
        <w:pStyle w:val="IASBNormalnpara"/>
        <w:rPr>
          <w:lang w:val="ru-RU"/>
        </w:rPr>
      </w:pPr>
      <w:r w:rsidRPr="00B23349">
        <w:rPr>
          <w:lang w:val="ru-RU"/>
        </w:rPr>
        <w:tab/>
      </w:r>
      <w:r w:rsidRPr="00496F62">
        <w:rPr>
          <w:lang w:val="ru-RU"/>
        </w:rPr>
        <w:t>...</w:t>
      </w:r>
    </w:p>
    <w:p w14:paraId="0A77D362" w14:textId="77777777" w:rsidR="00DE4801" w:rsidRPr="00B23349" w:rsidRDefault="00B23349">
      <w:pPr>
        <w:pStyle w:val="IASBSectionTitle1NonInd"/>
        <w:rPr>
          <w:lang w:val="ru-RU"/>
        </w:rPr>
      </w:pPr>
      <w:r>
        <w:rPr>
          <w:lang w:val="ru-RU"/>
        </w:rPr>
        <w:t>Дата вступления в силу</w:t>
      </w:r>
    </w:p>
    <w:p w14:paraId="31F4FAB8" w14:textId="77777777" w:rsidR="00DE4801" w:rsidRPr="00496F62" w:rsidRDefault="006669CB">
      <w:pPr>
        <w:pStyle w:val="IASBNormalnpara"/>
        <w:rPr>
          <w:lang w:val="ru-RU"/>
        </w:rPr>
      </w:pPr>
      <w:r w:rsidRPr="00496F62">
        <w:rPr>
          <w:lang w:val="ru-RU"/>
        </w:rPr>
        <w:tab/>
        <w:t>...</w:t>
      </w:r>
    </w:p>
    <w:p w14:paraId="1E432D74" w14:textId="51BCE0D5" w:rsidR="00DE4801" w:rsidRPr="005F1904" w:rsidRDefault="006669CB">
      <w:pPr>
        <w:pStyle w:val="IASBNormalnpara"/>
        <w:rPr>
          <w:lang w:val="ru-RU"/>
        </w:rPr>
      </w:pPr>
      <w:r w:rsidRPr="00B23349">
        <w:rPr>
          <w:u w:val="single"/>
          <w:lang w:val="ru-RU"/>
        </w:rPr>
        <w:t>39</w:t>
      </w:r>
      <w:r>
        <w:rPr>
          <w:u w:val="single"/>
        </w:rPr>
        <w:t>AI</w:t>
      </w:r>
      <w:r w:rsidRPr="00B23349">
        <w:rPr>
          <w:lang w:val="ru-RU"/>
        </w:rPr>
        <w:tab/>
      </w:r>
      <w:r w:rsidR="00B23349" w:rsidRPr="00B23349">
        <w:rPr>
          <w:u w:val="single"/>
          <w:lang w:val="ru-RU"/>
        </w:rPr>
        <w:t xml:space="preserve">Документом </w:t>
      </w:r>
      <w:r w:rsidR="00B23349" w:rsidRPr="00B23349">
        <w:rPr>
          <w:i/>
          <w:u w:val="single"/>
          <w:lang w:val="ru-RU"/>
        </w:rPr>
        <w:t>«</w:t>
      </w:r>
      <w:r w:rsidR="00F8760C">
        <w:rPr>
          <w:i/>
          <w:u w:val="single"/>
          <w:lang w:val="ru-RU"/>
        </w:rPr>
        <w:t>Отсутствие возможности</w:t>
      </w:r>
      <w:r w:rsidR="00F8760C" w:rsidRPr="00AC6E33">
        <w:rPr>
          <w:i/>
          <w:u w:val="single"/>
          <w:lang w:val="ru-RU"/>
        </w:rPr>
        <w:t xml:space="preserve"> обмена </w:t>
      </w:r>
      <w:r w:rsidR="007A6FC1">
        <w:rPr>
          <w:i/>
          <w:u w:val="single"/>
          <w:lang w:val="ru-RU"/>
        </w:rPr>
        <w:t>валют</w:t>
      </w:r>
      <w:r w:rsidR="00B23349" w:rsidRPr="00B23349">
        <w:rPr>
          <w:i/>
          <w:u w:val="single"/>
          <w:lang w:val="ru-RU"/>
        </w:rPr>
        <w:t>»</w:t>
      </w:r>
      <w:r w:rsidRPr="00B23349">
        <w:rPr>
          <w:u w:val="single"/>
          <w:lang w:val="ru-RU"/>
        </w:rPr>
        <w:t xml:space="preserve"> </w:t>
      </w:r>
      <w:r w:rsidRPr="005F1904">
        <w:rPr>
          <w:u w:val="single"/>
          <w:lang w:val="ru-RU"/>
        </w:rPr>
        <w:t>(</w:t>
      </w:r>
      <w:r w:rsidR="00B23349">
        <w:rPr>
          <w:u w:val="single"/>
          <w:lang w:val="ru-RU"/>
        </w:rPr>
        <w:t>поправки</w:t>
      </w:r>
      <w:r w:rsidR="00B23349" w:rsidRPr="005F1904">
        <w:rPr>
          <w:u w:val="single"/>
          <w:lang w:val="ru-RU"/>
        </w:rPr>
        <w:t xml:space="preserve"> </w:t>
      </w:r>
      <w:r w:rsidR="00B23349">
        <w:rPr>
          <w:u w:val="single"/>
          <w:lang w:val="ru-RU"/>
        </w:rPr>
        <w:t>к</w:t>
      </w:r>
      <w:r w:rsidR="00B23349" w:rsidRPr="005F1904">
        <w:rPr>
          <w:u w:val="single"/>
          <w:lang w:val="ru-RU"/>
        </w:rPr>
        <w:t xml:space="preserve"> </w:t>
      </w:r>
      <w:r w:rsidR="00B23349">
        <w:rPr>
          <w:u w:val="single"/>
          <w:lang w:val="ru-RU"/>
        </w:rPr>
        <w:t>МСФО</w:t>
      </w:r>
      <w:r w:rsidR="00B23349" w:rsidRPr="00B23349">
        <w:rPr>
          <w:u w:val="single"/>
        </w:rPr>
        <w:t> </w:t>
      </w:r>
      <w:r w:rsidR="00B23349" w:rsidRPr="005F1904">
        <w:rPr>
          <w:u w:val="single"/>
          <w:lang w:val="ru-RU"/>
        </w:rPr>
        <w:t>(</w:t>
      </w:r>
      <w:r w:rsidR="00B23349" w:rsidRPr="00B23349">
        <w:rPr>
          <w:u w:val="single"/>
        </w:rPr>
        <w:t>IAS</w:t>
      </w:r>
      <w:r w:rsidR="00B23349" w:rsidRPr="005F1904">
        <w:rPr>
          <w:u w:val="single"/>
          <w:lang w:val="ru-RU"/>
        </w:rPr>
        <w:t>)</w:t>
      </w:r>
      <w:r w:rsidR="00B23349" w:rsidRPr="00B23349">
        <w:rPr>
          <w:u w:val="single"/>
        </w:rPr>
        <w:t> </w:t>
      </w:r>
      <w:r w:rsidRPr="005F1904">
        <w:rPr>
          <w:u w:val="single"/>
          <w:lang w:val="ru-RU"/>
        </w:rPr>
        <w:t xml:space="preserve">21), </w:t>
      </w:r>
      <w:r w:rsidR="005F1904">
        <w:rPr>
          <w:u w:val="single"/>
          <w:lang w:val="ru-RU"/>
        </w:rPr>
        <w:t>выпущенным в августе</w:t>
      </w:r>
      <w:r w:rsidRPr="005F1904">
        <w:rPr>
          <w:u w:val="single"/>
          <w:lang w:val="ru-RU"/>
        </w:rPr>
        <w:t xml:space="preserve"> 2023</w:t>
      </w:r>
      <w:r w:rsidR="005F1904">
        <w:rPr>
          <w:u w:val="single"/>
          <w:lang w:val="ru-RU"/>
        </w:rPr>
        <w:t xml:space="preserve"> года</w:t>
      </w:r>
      <w:r w:rsidRPr="005F1904">
        <w:rPr>
          <w:u w:val="single"/>
          <w:lang w:val="ru-RU"/>
        </w:rPr>
        <w:t xml:space="preserve">, </w:t>
      </w:r>
      <w:r w:rsidR="005F1904">
        <w:rPr>
          <w:u w:val="single"/>
          <w:lang w:val="ru-RU"/>
        </w:rPr>
        <w:t xml:space="preserve">внесены поправки в пункты </w:t>
      </w:r>
      <w:r w:rsidRPr="005F1904">
        <w:rPr>
          <w:u w:val="single"/>
          <w:lang w:val="ru-RU"/>
        </w:rPr>
        <w:t>31</w:t>
      </w:r>
      <w:r>
        <w:rPr>
          <w:u w:val="single"/>
        </w:rPr>
        <w:t>C</w:t>
      </w:r>
      <w:r w:rsidRPr="005F1904">
        <w:rPr>
          <w:u w:val="single"/>
          <w:lang w:val="ru-RU"/>
        </w:rPr>
        <w:t xml:space="preserve"> </w:t>
      </w:r>
      <w:r w:rsidR="005F1904">
        <w:rPr>
          <w:u w:val="single"/>
          <w:lang w:val="ru-RU"/>
        </w:rPr>
        <w:t>и</w:t>
      </w:r>
      <w:r w:rsidRPr="005F1904">
        <w:rPr>
          <w:u w:val="single"/>
          <w:lang w:val="ru-RU"/>
        </w:rPr>
        <w:t xml:space="preserve"> </w:t>
      </w:r>
      <w:r>
        <w:rPr>
          <w:u w:val="single"/>
        </w:rPr>
        <w:t>D</w:t>
      </w:r>
      <w:r w:rsidRPr="005F1904">
        <w:rPr>
          <w:u w:val="single"/>
          <w:lang w:val="ru-RU"/>
        </w:rPr>
        <w:t xml:space="preserve">27. </w:t>
      </w:r>
      <w:r w:rsidR="005F1904">
        <w:rPr>
          <w:u w:val="single"/>
          <w:lang w:val="ru-RU"/>
        </w:rPr>
        <w:t>Организация</w:t>
      </w:r>
      <w:r w:rsidR="005F1904" w:rsidRPr="005F1904">
        <w:rPr>
          <w:u w:val="single"/>
          <w:lang w:val="ru-RU"/>
        </w:rPr>
        <w:t xml:space="preserve"> </w:t>
      </w:r>
      <w:r w:rsidR="005F1904">
        <w:rPr>
          <w:u w:val="single"/>
          <w:lang w:val="ru-RU"/>
        </w:rPr>
        <w:t>должна</w:t>
      </w:r>
      <w:r w:rsidR="005F1904" w:rsidRPr="005F1904">
        <w:rPr>
          <w:u w:val="single"/>
          <w:lang w:val="ru-RU"/>
        </w:rPr>
        <w:t xml:space="preserve"> </w:t>
      </w:r>
      <w:r w:rsidR="005F1904">
        <w:rPr>
          <w:u w:val="single"/>
          <w:lang w:val="ru-RU"/>
        </w:rPr>
        <w:t>применить</w:t>
      </w:r>
      <w:r w:rsidR="005F1904" w:rsidRPr="005F1904">
        <w:rPr>
          <w:u w:val="single"/>
          <w:lang w:val="ru-RU"/>
        </w:rPr>
        <w:t xml:space="preserve"> </w:t>
      </w:r>
      <w:r w:rsidR="005F1904">
        <w:rPr>
          <w:u w:val="single"/>
          <w:lang w:val="ru-RU"/>
        </w:rPr>
        <w:t>эти</w:t>
      </w:r>
      <w:r w:rsidR="005F1904" w:rsidRPr="005F1904">
        <w:rPr>
          <w:u w:val="single"/>
          <w:lang w:val="ru-RU"/>
        </w:rPr>
        <w:t xml:space="preserve"> </w:t>
      </w:r>
      <w:r w:rsidR="005F1904">
        <w:rPr>
          <w:u w:val="single"/>
          <w:lang w:val="ru-RU"/>
        </w:rPr>
        <w:t>поправки одновременно с применением МСФО (IAS) 21</w:t>
      </w:r>
      <w:r w:rsidRPr="005F1904">
        <w:rPr>
          <w:u w:val="single"/>
          <w:lang w:val="ru-RU"/>
        </w:rPr>
        <w:t xml:space="preserve"> (</w:t>
      </w:r>
      <w:r w:rsidR="00E445F2">
        <w:rPr>
          <w:u w:val="single"/>
          <w:lang w:val="ru-RU"/>
        </w:rPr>
        <w:t>с учетом поправок, внесенных в августе 2023 года</w:t>
      </w:r>
      <w:r w:rsidRPr="005F1904">
        <w:rPr>
          <w:u w:val="single"/>
          <w:lang w:val="ru-RU"/>
        </w:rPr>
        <w:t>).</w:t>
      </w:r>
    </w:p>
    <w:p w14:paraId="12336EFE" w14:textId="77777777" w:rsidR="00DE4801" w:rsidRPr="00496F62" w:rsidRDefault="006669CB">
      <w:pPr>
        <w:pStyle w:val="IASBNormalnpara"/>
        <w:rPr>
          <w:lang w:val="ru-RU"/>
        </w:rPr>
      </w:pPr>
      <w:r w:rsidRPr="005F1904">
        <w:rPr>
          <w:lang w:val="ru-RU"/>
        </w:rPr>
        <w:tab/>
      </w:r>
      <w:r w:rsidRPr="00496F62">
        <w:rPr>
          <w:lang w:val="ru-RU"/>
        </w:rPr>
        <w:t>...</w:t>
      </w:r>
    </w:p>
    <w:p w14:paraId="5A35D46C" w14:textId="77777777" w:rsidR="00DE4801" w:rsidRPr="00496F62" w:rsidRDefault="00DE4801">
      <w:pPr>
        <w:rPr>
          <w:lang w:val="ru-RU"/>
        </w:rPr>
        <w:sectPr w:rsidR="00DE4801" w:rsidRPr="00496F62">
          <w:headerReference w:type="even" r:id="rId62"/>
          <w:headerReference w:type="default" r:id="rId63"/>
          <w:footerReference w:type="even" r:id="rId64"/>
          <w:footerReference w:type="default" r:id="rId65"/>
          <w:pgSz w:w="11880" w:h="16820"/>
          <w:pgMar w:top="1440" w:right="1440" w:bottom="1440" w:left="1440" w:header="720" w:footer="720" w:gutter="0"/>
          <w:cols w:space="720"/>
        </w:sectPr>
      </w:pPr>
    </w:p>
    <w:p w14:paraId="5E231E61" w14:textId="77777777" w:rsidR="00DE4801" w:rsidRPr="00E33874" w:rsidRDefault="009518D4">
      <w:pPr>
        <w:pStyle w:val="IASBSectionTitle2NonInd"/>
        <w:rPr>
          <w:lang w:val="ru-RU"/>
        </w:rPr>
      </w:pPr>
      <w:r>
        <w:rPr>
          <w:lang w:val="ru-RU"/>
        </w:rPr>
        <w:lastRenderedPageBreak/>
        <w:t>Приложение</w:t>
      </w:r>
      <w:r w:rsidR="006669CB" w:rsidRPr="00E33874">
        <w:rPr>
          <w:lang w:val="ru-RU"/>
        </w:rPr>
        <w:t xml:space="preserve"> </w:t>
      </w:r>
      <w:r w:rsidR="006669CB">
        <w:t>D</w:t>
      </w:r>
      <w:r w:rsidR="006669CB" w:rsidRPr="00E33874">
        <w:rPr>
          <w:lang w:val="ru-RU"/>
        </w:rPr>
        <w:br/>
      </w:r>
      <w:r w:rsidR="00E33874">
        <w:rPr>
          <w:lang w:val="ru-RU"/>
        </w:rPr>
        <w:t>Освобождения от требований других МСФО</w:t>
      </w:r>
    </w:p>
    <w:p w14:paraId="045165B4" w14:textId="77777777" w:rsidR="00DE4801" w:rsidRPr="00496F62" w:rsidRDefault="006669CB">
      <w:pPr>
        <w:pStyle w:val="IASBNormalnpara"/>
        <w:rPr>
          <w:lang w:val="ru-RU"/>
        </w:rPr>
      </w:pPr>
      <w:r w:rsidRPr="00E33874">
        <w:rPr>
          <w:lang w:val="ru-RU"/>
        </w:rPr>
        <w:tab/>
      </w:r>
      <w:r w:rsidRPr="00496F62">
        <w:rPr>
          <w:lang w:val="ru-RU"/>
        </w:rPr>
        <w:t>...</w:t>
      </w:r>
    </w:p>
    <w:p w14:paraId="41B76489" w14:textId="77777777" w:rsidR="00DE4801" w:rsidRPr="00E33874" w:rsidRDefault="00E33874">
      <w:pPr>
        <w:pStyle w:val="IASBSectionTitle2Ind"/>
        <w:rPr>
          <w:lang w:val="ru-RU"/>
        </w:rPr>
      </w:pPr>
      <w:r>
        <w:rPr>
          <w:lang w:val="ru-RU"/>
        </w:rPr>
        <w:t>Тяжелая гиперинфляция</w:t>
      </w:r>
    </w:p>
    <w:p w14:paraId="3398B3D0" w14:textId="77777777" w:rsidR="00DE4801" w:rsidRPr="00496F62" w:rsidRDefault="006669CB">
      <w:pPr>
        <w:pStyle w:val="IASBNormalnpara"/>
        <w:rPr>
          <w:lang w:val="ru-RU"/>
        </w:rPr>
      </w:pPr>
      <w:r w:rsidRPr="00496F62">
        <w:rPr>
          <w:lang w:val="ru-RU"/>
        </w:rPr>
        <w:tab/>
        <w:t>...</w:t>
      </w:r>
    </w:p>
    <w:p w14:paraId="0436F674" w14:textId="77777777" w:rsidR="00DE4801" w:rsidRPr="00E33874" w:rsidRDefault="006669CB">
      <w:pPr>
        <w:pStyle w:val="IASBNormalnpara"/>
        <w:rPr>
          <w:lang w:val="ru-RU"/>
        </w:rPr>
      </w:pPr>
      <w:r>
        <w:t>D</w:t>
      </w:r>
      <w:r w:rsidRPr="00E33874">
        <w:rPr>
          <w:lang w:val="ru-RU"/>
        </w:rPr>
        <w:t>27</w:t>
      </w:r>
      <w:r w:rsidRPr="00E33874">
        <w:rPr>
          <w:lang w:val="ru-RU"/>
        </w:rPr>
        <w:tab/>
      </w:r>
      <w:r w:rsidR="00E33874" w:rsidRPr="00E33874">
        <w:rPr>
          <w:lang w:val="ru-RU"/>
        </w:rPr>
        <w:t>Валюта страны с гиперинфляционной экономикой подвержена тяжелой гиперинфляции, если имеют место обе следующие характеристики</w:t>
      </w:r>
      <w:r w:rsidRPr="00E33874">
        <w:rPr>
          <w:lang w:val="ru-RU"/>
        </w:rPr>
        <w:t>:</w:t>
      </w:r>
    </w:p>
    <w:p w14:paraId="4B9962FB" w14:textId="77777777" w:rsidR="00DE4801" w:rsidRPr="00E33874" w:rsidRDefault="006669CB">
      <w:pPr>
        <w:pStyle w:val="IASBNormalnparaL1"/>
        <w:rPr>
          <w:lang w:val="ru-RU"/>
        </w:rPr>
      </w:pPr>
      <w:r w:rsidRPr="00E33874">
        <w:rPr>
          <w:lang w:val="ru-RU"/>
        </w:rPr>
        <w:t>(</w:t>
      </w:r>
      <w:r>
        <w:t>a</w:t>
      </w:r>
      <w:r w:rsidRPr="00E33874">
        <w:rPr>
          <w:lang w:val="ru-RU"/>
        </w:rPr>
        <w:t>)</w:t>
      </w:r>
      <w:r w:rsidRPr="00E33874">
        <w:rPr>
          <w:lang w:val="ru-RU"/>
        </w:rPr>
        <w:tab/>
      </w:r>
      <w:r w:rsidR="00E33874" w:rsidRPr="00E33874">
        <w:rPr>
          <w:lang w:val="ru-RU"/>
        </w:rPr>
        <w:t>для всех организаций, имеющих операции и остатки в этой валюте, отсутствует надежный общий индекс цен</w:t>
      </w:r>
      <w:r w:rsidR="00E33874">
        <w:rPr>
          <w:lang w:val="ru-RU"/>
        </w:rPr>
        <w:t>;</w:t>
      </w:r>
    </w:p>
    <w:p w14:paraId="567722C8" w14:textId="77777777" w:rsidR="00DE4801" w:rsidRPr="00496F62" w:rsidRDefault="006669CB">
      <w:pPr>
        <w:pStyle w:val="IASBNormalnparaL1"/>
        <w:rPr>
          <w:lang w:val="ru-RU"/>
        </w:rPr>
      </w:pPr>
      <w:r w:rsidRPr="00967D45">
        <w:rPr>
          <w:lang w:val="ru-RU"/>
        </w:rPr>
        <w:t>(</w:t>
      </w:r>
      <w:r>
        <w:t>b</w:t>
      </w:r>
      <w:r w:rsidRPr="00967D45">
        <w:rPr>
          <w:lang w:val="ru-RU"/>
        </w:rPr>
        <w:t>)</w:t>
      </w:r>
      <w:r w:rsidRPr="00967D45">
        <w:rPr>
          <w:lang w:val="ru-RU"/>
        </w:rPr>
        <w:tab/>
      </w:r>
      <w:r w:rsidR="00E33874" w:rsidRPr="00967D45">
        <w:rPr>
          <w:strike/>
          <w:lang w:val="ru-RU"/>
        </w:rPr>
        <w:t>отсутствие возможности обмена между</w:t>
      </w:r>
      <w:r w:rsidR="00E33874" w:rsidRPr="00967D45">
        <w:rPr>
          <w:lang w:val="ru-RU"/>
        </w:rPr>
        <w:t xml:space="preserve"> эт</w:t>
      </w:r>
      <w:r w:rsidR="00967D45" w:rsidRPr="00967D45">
        <w:rPr>
          <w:u w:val="single"/>
          <w:lang w:val="ru-RU"/>
        </w:rPr>
        <w:t>а</w:t>
      </w:r>
      <w:r w:rsidR="00E33874" w:rsidRPr="00967D45">
        <w:rPr>
          <w:strike/>
          <w:lang w:val="ru-RU"/>
        </w:rPr>
        <w:t>ой</w:t>
      </w:r>
      <w:r w:rsidR="00E33874" w:rsidRPr="00967D45">
        <w:rPr>
          <w:lang w:val="ru-RU"/>
        </w:rPr>
        <w:t xml:space="preserve"> валют</w:t>
      </w:r>
      <w:r w:rsidR="00967D45" w:rsidRPr="00967D45">
        <w:rPr>
          <w:u w:val="single"/>
          <w:lang w:val="ru-RU"/>
        </w:rPr>
        <w:t>а</w:t>
      </w:r>
      <w:r w:rsidR="00E33874" w:rsidRPr="00967D45">
        <w:rPr>
          <w:strike/>
          <w:lang w:val="ru-RU"/>
        </w:rPr>
        <w:t>ой</w:t>
      </w:r>
      <w:r w:rsidR="00E33874" w:rsidRPr="00967D45">
        <w:rPr>
          <w:lang w:val="ru-RU"/>
        </w:rPr>
        <w:t xml:space="preserve"> </w:t>
      </w:r>
      <w:r w:rsidR="00967D45">
        <w:rPr>
          <w:u w:val="single"/>
          <w:lang w:val="ru-RU"/>
        </w:rPr>
        <w:t xml:space="preserve">не может быть обменена на </w:t>
      </w:r>
      <w:r w:rsidR="00E33874" w:rsidRPr="00967D45">
        <w:rPr>
          <w:strike/>
          <w:lang w:val="ru-RU"/>
        </w:rPr>
        <w:t>и</w:t>
      </w:r>
      <w:r w:rsidR="00E33874" w:rsidRPr="00967D45">
        <w:rPr>
          <w:lang w:val="ru-RU"/>
        </w:rPr>
        <w:t xml:space="preserve"> относительно устойчив</w:t>
      </w:r>
      <w:r w:rsidR="00967D45" w:rsidRPr="00967D45">
        <w:rPr>
          <w:u w:val="single"/>
          <w:lang w:val="ru-RU"/>
        </w:rPr>
        <w:t>ую</w:t>
      </w:r>
      <w:r w:rsidR="00E33874" w:rsidRPr="00967D45">
        <w:rPr>
          <w:strike/>
          <w:lang w:val="ru-RU"/>
        </w:rPr>
        <w:t>ой</w:t>
      </w:r>
      <w:r w:rsidR="00E33874" w:rsidRPr="00967D45">
        <w:rPr>
          <w:lang w:val="ru-RU"/>
        </w:rPr>
        <w:t xml:space="preserve"> иностранн</w:t>
      </w:r>
      <w:r w:rsidR="00967D45" w:rsidRPr="00967D45">
        <w:rPr>
          <w:u w:val="single"/>
          <w:lang w:val="ru-RU"/>
        </w:rPr>
        <w:t>ую</w:t>
      </w:r>
      <w:r w:rsidR="00E33874" w:rsidRPr="00967D45">
        <w:rPr>
          <w:strike/>
          <w:lang w:val="ru-RU"/>
        </w:rPr>
        <w:t>ой</w:t>
      </w:r>
      <w:r w:rsidR="00E33874" w:rsidRPr="00967D45">
        <w:rPr>
          <w:lang w:val="ru-RU"/>
        </w:rPr>
        <w:t xml:space="preserve"> валют</w:t>
      </w:r>
      <w:r w:rsidR="00967D45" w:rsidRPr="00967D45">
        <w:rPr>
          <w:u w:val="single"/>
          <w:lang w:val="ru-RU"/>
        </w:rPr>
        <w:t>у</w:t>
      </w:r>
      <w:r w:rsidR="00E33874" w:rsidRPr="00967D45">
        <w:rPr>
          <w:strike/>
          <w:lang w:val="ru-RU"/>
        </w:rPr>
        <w:t>ой</w:t>
      </w:r>
      <w:r w:rsidR="00E33874" w:rsidRPr="00967D45">
        <w:rPr>
          <w:lang w:val="ru-RU"/>
        </w:rPr>
        <w:t xml:space="preserve">. </w:t>
      </w:r>
      <w:r w:rsidR="00F9054D">
        <w:rPr>
          <w:u w:val="single"/>
          <w:lang w:val="ru-RU"/>
        </w:rPr>
        <w:t>Возможность обмена оценивается в соответствии с МСФО (IAS) 21.</w:t>
      </w:r>
    </w:p>
    <w:p w14:paraId="337E2634" w14:textId="77777777" w:rsidR="00DE4801" w:rsidRPr="00496F62" w:rsidRDefault="00DE4801">
      <w:pPr>
        <w:rPr>
          <w:lang w:val="ru-RU"/>
        </w:rPr>
      </w:pPr>
    </w:p>
    <w:sectPr w:rsidR="00DE4801" w:rsidRPr="00496F62">
      <w:headerReference w:type="even" r:id="rId66"/>
      <w:headerReference w:type="default" r:id="rId67"/>
      <w:footerReference w:type="even" r:id="rId68"/>
      <w:footerReference w:type="default" r:id="rId69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1FDA" w14:textId="77777777" w:rsidR="00A85B15" w:rsidRDefault="00A85B15">
      <w:r>
        <w:separator/>
      </w:r>
    </w:p>
  </w:endnote>
  <w:endnote w:type="continuationSeparator" w:id="0">
    <w:p w14:paraId="468DF0F2" w14:textId="77777777" w:rsidR="00A85B15" w:rsidRDefault="00A85B15">
      <w:r>
        <w:continuationSeparator/>
      </w:r>
    </w:p>
  </w:endnote>
  <w:endnote w:type="continuationNotice" w:id="1">
    <w:p w14:paraId="056C7CBD" w14:textId="77777777" w:rsidR="00A85B15" w:rsidRDefault="00A85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wiftLT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wiftLTSt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DD74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1743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E621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8C55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939D" w14:textId="30F13F82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 w:rsidR="00345EB0">
      <w:rPr>
        <w:noProof/>
      </w:rPr>
      <w:t>6</w:t>
    </w:r>
    <w:r>
      <w:fldChar w:fldCharType="end"/>
    </w:r>
    <w:r>
      <w:tab/>
      <w:t>© IFRS Foundation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591A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0BB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D7E1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CC7D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 w:rsidR="00A65C4C">
      <w:rPr>
        <w:noProof/>
      </w:rPr>
      <w:t>6</w:t>
    </w:r>
    <w:r>
      <w:fldChar w:fldCharType="end"/>
    </w:r>
    <w:r>
      <w:tab/>
      <w:t>© IFRS Foundation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22C9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F618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  <w:t>© IFRS Foundation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0381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A65C4C">
      <w:rPr>
        <w:noProof/>
      </w:rPr>
      <w:t>1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7123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826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  <w:t>© IFRS Foundation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855B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F645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  <w:t>© IFRS Foundation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778A" w14:textId="4B42E264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345EB0">
      <w:rPr>
        <w:noProof/>
      </w:rPr>
      <w:t>7</w:t>
    </w:r>
    <w: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1E43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 w:rsidR="00A65C4C">
      <w:rPr>
        <w:noProof/>
      </w:rPr>
      <w:t>8</w:t>
    </w:r>
    <w:r>
      <w:fldChar w:fldCharType="end"/>
    </w:r>
    <w:r>
      <w:tab/>
      <w:t>© IFRS Foundation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CAB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A65C4C">
      <w:rPr>
        <w:noProof/>
      </w:rPr>
      <w:t>9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4DC8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 w:rsidR="00A65C4C">
      <w:rPr>
        <w:noProof/>
      </w:rPr>
      <w:t>10</w:t>
    </w:r>
    <w:r>
      <w:fldChar w:fldCharType="end"/>
    </w:r>
    <w:r>
      <w:tab/>
      <w:t>© IFRS Foundation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A220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6D5D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  <w:r>
      <w:tab/>
      <w:t>© IFRS Foundation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FE50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 w:rsidR="00A65C4C">
      <w:rPr>
        <w:noProof/>
      </w:rPr>
      <w:t>2</w:t>
    </w:r>
    <w:r>
      <w:fldChar w:fldCharType="end"/>
    </w:r>
    <w:r>
      <w:tab/>
      <w:t>© IFRS Foundation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9775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A65C4C">
      <w:rPr>
        <w:noProof/>
      </w:rP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CF60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5BFD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separate"/>
    </w:r>
    <w:r w:rsidR="00A65C4C">
      <w:rPr>
        <w:noProof/>
      </w:rPr>
      <w:t>4</w:t>
    </w:r>
    <w:r>
      <w:fldChar w:fldCharType="end"/>
    </w:r>
    <w:r>
      <w:tab/>
      <w:t>© IFRS Foundation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B4EF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A65C4C"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3AFE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2977" w14:textId="77777777" w:rsidR="00A94E93" w:rsidRDefault="00A94E9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A65C4C">
      <w:rPr>
        <w:noProof/>
      </w:rPr>
      <w:t>5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D489" w14:textId="77777777" w:rsidR="00A94E93" w:rsidRDefault="00A94E93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6DC1" w14:textId="77777777" w:rsidR="00A85B15" w:rsidRDefault="00A85B15">
      <w:r>
        <w:separator/>
      </w:r>
    </w:p>
  </w:footnote>
  <w:footnote w:type="continuationSeparator" w:id="0">
    <w:p w14:paraId="12859184" w14:textId="77777777" w:rsidR="00A85B15" w:rsidRDefault="00A85B15">
      <w:r>
        <w:continuationSeparator/>
      </w:r>
    </w:p>
  </w:footnote>
  <w:footnote w:type="continuationNotice" w:id="1">
    <w:p w14:paraId="1CE1639A" w14:textId="77777777" w:rsidR="00A85B15" w:rsidRDefault="00A85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875D" w14:textId="77777777" w:rsidR="00A94E93" w:rsidRDefault="00A94E93">
    <w:pPr>
      <w:pStyle w:val="Header"/>
    </w:pPr>
    <w:r>
      <w:tab/>
    </w: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F499" w14:textId="77777777" w:rsidR="00A94E93" w:rsidRDefault="00A94E9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FF01" w14:textId="77777777" w:rsidR="00A94E93" w:rsidRDefault="00A94E93">
    <w:pPr>
      <w:pStyle w:val="Header"/>
    </w:pPr>
    <w:r>
      <w:tab/>
    </w:r>
    <w: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0BBA" w14:textId="77777777" w:rsidR="00A94E93" w:rsidRDefault="00A94E9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96BE" w14:textId="77777777" w:rsidR="00A94E93" w:rsidRDefault="00A94E93">
    <w:pPr>
      <w:pStyle w:val="Header"/>
    </w:pPr>
    <w:r>
      <w:tab/>
    </w:r>
    <w: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E3D3" w14:textId="77777777" w:rsidR="00A94E93" w:rsidRDefault="00A94E93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5F7" w14:textId="77777777" w:rsidR="00A94E93" w:rsidRDefault="00A94E93">
    <w:pPr>
      <w:pStyle w:val="Header"/>
    </w:pPr>
    <w:r>
      <w:tab/>
    </w:r>
    <w:r>
      <w:tab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A5F9" w14:textId="77777777" w:rsidR="00A94E93" w:rsidRDefault="00A94E93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C26" w14:textId="77777777" w:rsidR="00A94E93" w:rsidRDefault="00A94E93">
    <w:pPr>
      <w:pStyle w:val="Header"/>
    </w:pPr>
    <w:r>
      <w:tab/>
    </w:r>
    <w:r>
      <w:tab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CF9A" w14:textId="77777777" w:rsidR="00A94E93" w:rsidRDefault="00A94E93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5BD1" w14:textId="77777777" w:rsidR="00A94E93" w:rsidRDefault="00A94E9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5B7C" w14:textId="77777777" w:rsidR="00A94E93" w:rsidRDefault="00A94E93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B4AE" w14:textId="77777777" w:rsidR="00A94E93" w:rsidRDefault="00A94E93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24DE" w14:textId="77777777" w:rsidR="00A94E93" w:rsidRDefault="00A94E93">
    <w:pPr>
      <w:pStyle w:val="Header"/>
    </w:pPr>
    <w:r>
      <w:tab/>
    </w:r>
    <w:r>
      <w:tab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48D7" w14:textId="77777777" w:rsidR="00A94E93" w:rsidRDefault="00A94E93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5AAF" w14:textId="77777777" w:rsidR="00A94E93" w:rsidRDefault="00A94E93">
    <w:pPr>
      <w:pStyle w:val="Header"/>
    </w:pPr>
    <w:r>
      <w:tab/>
    </w:r>
    <w:r>
      <w:tab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91AC" w14:textId="77777777" w:rsidR="00A94E93" w:rsidRDefault="00A94E93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DE84" w14:textId="77777777" w:rsidR="00A94E93" w:rsidRDefault="00A94E93">
    <w:pPr>
      <w:pStyle w:val="Header"/>
    </w:pPr>
    <w:r>
      <w:tab/>
    </w:r>
    <w:r>
      <w:tab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B371" w14:textId="77777777" w:rsidR="00A94E93" w:rsidRDefault="00A94E93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EAFE" w14:textId="77777777" w:rsidR="00A94E93" w:rsidRDefault="00A94E93">
    <w:pPr>
      <w:pStyle w:val="Header"/>
    </w:pPr>
    <w:r>
      <w:tab/>
    </w:r>
    <w:r>
      <w:tab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DE7C" w14:textId="77777777" w:rsidR="00A94E93" w:rsidRDefault="00A94E93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CC52" w14:textId="77777777" w:rsidR="00A94E93" w:rsidRDefault="00A94E93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16FD" w14:textId="77777777" w:rsidR="00A94E93" w:rsidRDefault="00A94E93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5518" w14:textId="77777777" w:rsidR="00A94E93" w:rsidRDefault="00A94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5E2D" w14:textId="77777777" w:rsidR="00A94E93" w:rsidRDefault="00A94E93">
    <w:pPr>
      <w:pStyle w:val="Header"/>
    </w:pP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DED8" w14:textId="77777777" w:rsidR="00A94E93" w:rsidRDefault="00A94E9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58B7" w14:textId="77777777" w:rsidR="00A94E93" w:rsidRDefault="00A94E93">
    <w:pPr>
      <w:pStyle w:val="Header"/>
    </w:pPr>
    <w:r>
      <w:tab/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5281" w14:textId="77777777" w:rsidR="00A94E93" w:rsidRDefault="00A94E9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CC04" w14:textId="77777777" w:rsidR="00A94E93" w:rsidRDefault="00A94E9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678A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5CA6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736A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4B49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6720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1BE7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93AC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89C9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76E4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4444AC"/>
    <w:multiLevelType w:val="hybridMultilevel"/>
    <w:tmpl w:val="553672BE"/>
    <w:lvl w:ilvl="0" w:tplc="61265E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2EE1B4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B0A366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6D4B06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01696F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D685D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A8E10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19465C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390032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65C85"/>
    <w:multiLevelType w:val="multilevel"/>
    <w:tmpl w:val="40B6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1600159">
    <w:abstractNumId w:val="8"/>
  </w:num>
  <w:num w:numId="2" w16cid:durableId="1158303287">
    <w:abstractNumId w:val="6"/>
  </w:num>
  <w:num w:numId="3" w16cid:durableId="182941378">
    <w:abstractNumId w:val="5"/>
  </w:num>
  <w:num w:numId="4" w16cid:durableId="965355516">
    <w:abstractNumId w:val="4"/>
  </w:num>
  <w:num w:numId="5" w16cid:durableId="109469802">
    <w:abstractNumId w:val="3"/>
  </w:num>
  <w:num w:numId="6" w16cid:durableId="1505438190">
    <w:abstractNumId w:val="7"/>
  </w:num>
  <w:num w:numId="7" w16cid:durableId="413017803">
    <w:abstractNumId w:val="2"/>
  </w:num>
  <w:num w:numId="8" w16cid:durableId="1977485311">
    <w:abstractNumId w:val="1"/>
  </w:num>
  <w:num w:numId="9" w16cid:durableId="1815826818">
    <w:abstractNumId w:val="0"/>
  </w:num>
  <w:num w:numId="10" w16cid:durableId="1645507987">
    <w:abstractNumId w:val="10"/>
  </w:num>
  <w:num w:numId="11" w16cid:durableId="1276712560">
    <w:abstractNumId w:val="10"/>
  </w:num>
  <w:num w:numId="12" w16cid:durableId="1190022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oNotTrackFormatting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01"/>
    <w:rsid w:val="00001140"/>
    <w:rsid w:val="00011941"/>
    <w:rsid w:val="00013865"/>
    <w:rsid w:val="00023E82"/>
    <w:rsid w:val="00041981"/>
    <w:rsid w:val="0004724A"/>
    <w:rsid w:val="00057340"/>
    <w:rsid w:val="0006621F"/>
    <w:rsid w:val="00070163"/>
    <w:rsid w:val="00074221"/>
    <w:rsid w:val="00074851"/>
    <w:rsid w:val="0008041B"/>
    <w:rsid w:val="0009207D"/>
    <w:rsid w:val="00094499"/>
    <w:rsid w:val="00096520"/>
    <w:rsid w:val="000A5EF5"/>
    <w:rsid w:val="000A67A1"/>
    <w:rsid w:val="000B0A7E"/>
    <w:rsid w:val="000B2DDB"/>
    <w:rsid w:val="000C06C4"/>
    <w:rsid w:val="000D3E1F"/>
    <w:rsid w:val="000E26B0"/>
    <w:rsid w:val="000E4D41"/>
    <w:rsid w:val="000E6005"/>
    <w:rsid w:val="00100F87"/>
    <w:rsid w:val="0010535C"/>
    <w:rsid w:val="00110812"/>
    <w:rsid w:val="00112A6F"/>
    <w:rsid w:val="0011568A"/>
    <w:rsid w:val="001217FB"/>
    <w:rsid w:val="0012198B"/>
    <w:rsid w:val="00126A4B"/>
    <w:rsid w:val="00126AEB"/>
    <w:rsid w:val="00142D1B"/>
    <w:rsid w:val="00146324"/>
    <w:rsid w:val="00175AB9"/>
    <w:rsid w:val="001803CA"/>
    <w:rsid w:val="00180B20"/>
    <w:rsid w:val="001821FA"/>
    <w:rsid w:val="00190C35"/>
    <w:rsid w:val="001A1796"/>
    <w:rsid w:val="001B6E63"/>
    <w:rsid w:val="001C53E4"/>
    <w:rsid w:val="001C69F0"/>
    <w:rsid w:val="001D53CE"/>
    <w:rsid w:val="001F24F0"/>
    <w:rsid w:val="00203048"/>
    <w:rsid w:val="002268BB"/>
    <w:rsid w:val="002316BB"/>
    <w:rsid w:val="00243742"/>
    <w:rsid w:val="00245584"/>
    <w:rsid w:val="002518C1"/>
    <w:rsid w:val="00257AB1"/>
    <w:rsid w:val="00267278"/>
    <w:rsid w:val="00273865"/>
    <w:rsid w:val="00281DC4"/>
    <w:rsid w:val="002A3E34"/>
    <w:rsid w:val="002A49B4"/>
    <w:rsid w:val="002C5B2B"/>
    <w:rsid w:val="002D4342"/>
    <w:rsid w:val="002D6517"/>
    <w:rsid w:val="002E15CC"/>
    <w:rsid w:val="00345EB0"/>
    <w:rsid w:val="00374F70"/>
    <w:rsid w:val="00380B61"/>
    <w:rsid w:val="00386B25"/>
    <w:rsid w:val="003B4C59"/>
    <w:rsid w:val="003C1687"/>
    <w:rsid w:val="003C5F84"/>
    <w:rsid w:val="003C6430"/>
    <w:rsid w:val="003C7C64"/>
    <w:rsid w:val="003D6E1E"/>
    <w:rsid w:val="00403F62"/>
    <w:rsid w:val="00405CBF"/>
    <w:rsid w:val="00417F3B"/>
    <w:rsid w:val="00421E76"/>
    <w:rsid w:val="00441F66"/>
    <w:rsid w:val="004550C4"/>
    <w:rsid w:val="00460594"/>
    <w:rsid w:val="00467E88"/>
    <w:rsid w:val="0048455E"/>
    <w:rsid w:val="00496F62"/>
    <w:rsid w:val="004A0D17"/>
    <w:rsid w:val="004A4C52"/>
    <w:rsid w:val="004B15C1"/>
    <w:rsid w:val="004B7398"/>
    <w:rsid w:val="004C336F"/>
    <w:rsid w:val="004E2CB2"/>
    <w:rsid w:val="004E7661"/>
    <w:rsid w:val="004F3D6C"/>
    <w:rsid w:val="004F67E1"/>
    <w:rsid w:val="004F7D4E"/>
    <w:rsid w:val="00504550"/>
    <w:rsid w:val="0051679B"/>
    <w:rsid w:val="0053150A"/>
    <w:rsid w:val="0053512B"/>
    <w:rsid w:val="00550451"/>
    <w:rsid w:val="00562ADF"/>
    <w:rsid w:val="00574D18"/>
    <w:rsid w:val="00580D5C"/>
    <w:rsid w:val="005929CC"/>
    <w:rsid w:val="00595128"/>
    <w:rsid w:val="005A1CDD"/>
    <w:rsid w:val="005D200B"/>
    <w:rsid w:val="005D7540"/>
    <w:rsid w:val="005F1904"/>
    <w:rsid w:val="005F343C"/>
    <w:rsid w:val="005F628E"/>
    <w:rsid w:val="00605966"/>
    <w:rsid w:val="006071E8"/>
    <w:rsid w:val="00623689"/>
    <w:rsid w:val="00636B58"/>
    <w:rsid w:val="00640D5A"/>
    <w:rsid w:val="00643B8B"/>
    <w:rsid w:val="006441B0"/>
    <w:rsid w:val="006578F6"/>
    <w:rsid w:val="006669CB"/>
    <w:rsid w:val="00676BBD"/>
    <w:rsid w:val="006825E5"/>
    <w:rsid w:val="00683044"/>
    <w:rsid w:val="00685664"/>
    <w:rsid w:val="00690ABD"/>
    <w:rsid w:val="006A2A8D"/>
    <w:rsid w:val="006A7DBA"/>
    <w:rsid w:val="006C6AB1"/>
    <w:rsid w:val="006C7F3E"/>
    <w:rsid w:val="006D213F"/>
    <w:rsid w:val="006D42F2"/>
    <w:rsid w:val="007107A5"/>
    <w:rsid w:val="00714F76"/>
    <w:rsid w:val="00723003"/>
    <w:rsid w:val="00744196"/>
    <w:rsid w:val="00776C83"/>
    <w:rsid w:val="007829FD"/>
    <w:rsid w:val="00791354"/>
    <w:rsid w:val="007A405B"/>
    <w:rsid w:val="007A4D73"/>
    <w:rsid w:val="007A6FC1"/>
    <w:rsid w:val="007B2264"/>
    <w:rsid w:val="007B4C8F"/>
    <w:rsid w:val="007C55AB"/>
    <w:rsid w:val="007D4619"/>
    <w:rsid w:val="007E2A5B"/>
    <w:rsid w:val="00805FCE"/>
    <w:rsid w:val="00814B9D"/>
    <w:rsid w:val="00833AC7"/>
    <w:rsid w:val="00836914"/>
    <w:rsid w:val="0084425E"/>
    <w:rsid w:val="00855261"/>
    <w:rsid w:val="008556AC"/>
    <w:rsid w:val="00867B35"/>
    <w:rsid w:val="00872B38"/>
    <w:rsid w:val="00875A73"/>
    <w:rsid w:val="008903C7"/>
    <w:rsid w:val="008922B7"/>
    <w:rsid w:val="008969DF"/>
    <w:rsid w:val="008975E9"/>
    <w:rsid w:val="008C2B0A"/>
    <w:rsid w:val="008C4A46"/>
    <w:rsid w:val="008C76A3"/>
    <w:rsid w:val="008E689B"/>
    <w:rsid w:val="008F72CB"/>
    <w:rsid w:val="00903F5D"/>
    <w:rsid w:val="00904299"/>
    <w:rsid w:val="0090658F"/>
    <w:rsid w:val="00921E85"/>
    <w:rsid w:val="00922983"/>
    <w:rsid w:val="0093564B"/>
    <w:rsid w:val="009518D4"/>
    <w:rsid w:val="00967D45"/>
    <w:rsid w:val="009768BE"/>
    <w:rsid w:val="00980699"/>
    <w:rsid w:val="00987381"/>
    <w:rsid w:val="00993BB7"/>
    <w:rsid w:val="009A1E65"/>
    <w:rsid w:val="009B08F3"/>
    <w:rsid w:val="009C4737"/>
    <w:rsid w:val="009F6A1B"/>
    <w:rsid w:val="00A00345"/>
    <w:rsid w:val="00A06F67"/>
    <w:rsid w:val="00A1118A"/>
    <w:rsid w:val="00A25440"/>
    <w:rsid w:val="00A371A1"/>
    <w:rsid w:val="00A4667C"/>
    <w:rsid w:val="00A61AC3"/>
    <w:rsid w:val="00A64126"/>
    <w:rsid w:val="00A65C4C"/>
    <w:rsid w:val="00A85B15"/>
    <w:rsid w:val="00A94E93"/>
    <w:rsid w:val="00AB748E"/>
    <w:rsid w:val="00AC48E2"/>
    <w:rsid w:val="00AD1534"/>
    <w:rsid w:val="00AE643E"/>
    <w:rsid w:val="00AE7BB1"/>
    <w:rsid w:val="00AF0A1D"/>
    <w:rsid w:val="00AF694E"/>
    <w:rsid w:val="00B00A8A"/>
    <w:rsid w:val="00B02013"/>
    <w:rsid w:val="00B04F10"/>
    <w:rsid w:val="00B2122C"/>
    <w:rsid w:val="00B23349"/>
    <w:rsid w:val="00B34BA2"/>
    <w:rsid w:val="00B400C5"/>
    <w:rsid w:val="00B419D4"/>
    <w:rsid w:val="00B46686"/>
    <w:rsid w:val="00B65FD7"/>
    <w:rsid w:val="00B77557"/>
    <w:rsid w:val="00BA4558"/>
    <w:rsid w:val="00BA6C2C"/>
    <w:rsid w:val="00BA7E48"/>
    <w:rsid w:val="00BB0FFE"/>
    <w:rsid w:val="00BB1E6B"/>
    <w:rsid w:val="00BC4B2B"/>
    <w:rsid w:val="00BD5639"/>
    <w:rsid w:val="00BE441D"/>
    <w:rsid w:val="00BE4D0D"/>
    <w:rsid w:val="00BF1DE4"/>
    <w:rsid w:val="00C03E60"/>
    <w:rsid w:val="00C12FC1"/>
    <w:rsid w:val="00C227F8"/>
    <w:rsid w:val="00C246D0"/>
    <w:rsid w:val="00C25536"/>
    <w:rsid w:val="00C47F34"/>
    <w:rsid w:val="00C751AD"/>
    <w:rsid w:val="00CA7653"/>
    <w:rsid w:val="00CB104C"/>
    <w:rsid w:val="00CC0BCD"/>
    <w:rsid w:val="00CC4467"/>
    <w:rsid w:val="00CD5784"/>
    <w:rsid w:val="00CE16E2"/>
    <w:rsid w:val="00CE49AD"/>
    <w:rsid w:val="00CE5ED5"/>
    <w:rsid w:val="00D145A7"/>
    <w:rsid w:val="00D1682E"/>
    <w:rsid w:val="00D21689"/>
    <w:rsid w:val="00D250B3"/>
    <w:rsid w:val="00D32D41"/>
    <w:rsid w:val="00D34E3E"/>
    <w:rsid w:val="00D41E24"/>
    <w:rsid w:val="00D469C7"/>
    <w:rsid w:val="00D57405"/>
    <w:rsid w:val="00D62388"/>
    <w:rsid w:val="00D70935"/>
    <w:rsid w:val="00D70DEA"/>
    <w:rsid w:val="00D87354"/>
    <w:rsid w:val="00D87A0B"/>
    <w:rsid w:val="00DA4ECC"/>
    <w:rsid w:val="00DA5B1A"/>
    <w:rsid w:val="00DB39C5"/>
    <w:rsid w:val="00DD1C08"/>
    <w:rsid w:val="00DE3D7C"/>
    <w:rsid w:val="00DE4801"/>
    <w:rsid w:val="00E04A67"/>
    <w:rsid w:val="00E06AA0"/>
    <w:rsid w:val="00E171A9"/>
    <w:rsid w:val="00E20C04"/>
    <w:rsid w:val="00E331EC"/>
    <w:rsid w:val="00E33874"/>
    <w:rsid w:val="00E445F2"/>
    <w:rsid w:val="00E50B0D"/>
    <w:rsid w:val="00E53733"/>
    <w:rsid w:val="00E715A0"/>
    <w:rsid w:val="00EB7B13"/>
    <w:rsid w:val="00F078E0"/>
    <w:rsid w:val="00F1081E"/>
    <w:rsid w:val="00F16AA1"/>
    <w:rsid w:val="00F17DDF"/>
    <w:rsid w:val="00F26EF4"/>
    <w:rsid w:val="00F4155F"/>
    <w:rsid w:val="00F42F3E"/>
    <w:rsid w:val="00F43830"/>
    <w:rsid w:val="00F63F46"/>
    <w:rsid w:val="00F65423"/>
    <w:rsid w:val="00F71CBC"/>
    <w:rsid w:val="00F8760C"/>
    <w:rsid w:val="00F9054D"/>
    <w:rsid w:val="00F919B5"/>
    <w:rsid w:val="00F92537"/>
    <w:rsid w:val="00F92863"/>
    <w:rsid w:val="00FA7D81"/>
    <w:rsid w:val="00FB3271"/>
    <w:rsid w:val="00FB37D1"/>
    <w:rsid w:val="00FC0FE8"/>
    <w:rsid w:val="00FC7C2D"/>
    <w:rsid w:val="00FD1371"/>
    <w:rsid w:val="00FE04D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7490"/>
  <w15:docId w15:val="{FDDA1692-9583-44DA-B18D-B9AD479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82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val="en-US"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val="en-US"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  <w:lang w:val="en-US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  <w:lang w:val="en-US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  <w:lang w:val="en-US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val="en-US"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  <w:lang w:val="en-US"/>
    </w:rPr>
  </w:style>
  <w:style w:type="paragraph" w:customStyle="1" w:styleId="IASBTOCPrimaryMixedCase">
    <w:name w:val="IASB TOC Primary Mixed Case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sz w:val="20"/>
      <w:szCs w:val="20"/>
      <w:lang w:val="en-US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  <w:lang w:val="en-US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  <w:lang w:val="en-US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  <w:lang w:val="en-US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  <w:lang w:val="en-US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  <w:lang w:val="en-US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uiPriority w:val="99"/>
    <w:semiHidden/>
    <w:rsid w:val="00B35882"/>
    <w:pPr>
      <w:keepNext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paragraph" w:customStyle="1" w:styleId="edufootnotetext">
    <w:name w:val="edu 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sz w:val="16"/>
    </w:rPr>
  </w:style>
  <w:style w:type="character" w:customStyle="1" w:styleId="FootnoteTextChar">
    <w:name w:val="Footnote Text Char"/>
    <w:basedOn w:val="DefaultParagraphFont"/>
    <w:link w:val="edu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paragraph" w:styleId="ListParagraph">
    <w:name w:val="List Paragraph"/>
    <w:basedOn w:val="Normal"/>
    <w:uiPriority w:val="34"/>
    <w:qFormat/>
    <w:rsid w:val="00F63F46"/>
    <w:pPr>
      <w:ind w:left="720"/>
      <w:contextualSpacing/>
    </w:pPr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6071E8"/>
    <w:pPr>
      <w:spacing w:after="0" w:line="240" w:lineRule="auto"/>
    </w:pPr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5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B1A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1A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96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6.xml"/><Relationship Id="rId42" Type="http://schemas.openxmlformats.org/officeDocument/2006/relationships/header" Target="header16.xml"/><Relationship Id="rId47" Type="http://schemas.openxmlformats.org/officeDocument/2006/relationships/header" Target="header19.xml"/><Relationship Id="rId63" Type="http://schemas.openxmlformats.org/officeDocument/2006/relationships/header" Target="header27.xml"/><Relationship Id="rId68" Type="http://schemas.openxmlformats.org/officeDocument/2006/relationships/footer" Target="footer29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footer" Target="footer10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4.xml"/><Relationship Id="rId66" Type="http://schemas.openxmlformats.org/officeDocument/2006/relationships/header" Target="header28.xml"/><Relationship Id="rId5" Type="http://schemas.openxmlformats.org/officeDocument/2006/relationships/numbering" Target="numbering.xml"/><Relationship Id="rId61" Type="http://schemas.openxmlformats.org/officeDocument/2006/relationships/footer" Target="footer26.xml"/><Relationship Id="rId19" Type="http://schemas.openxmlformats.org/officeDocument/2006/relationships/header" Target="header5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footer" Target="footer30.xml"/><Relationship Id="rId8" Type="http://schemas.openxmlformats.org/officeDocument/2006/relationships/webSettings" Target="webSettings.xml"/><Relationship Id="rId51" Type="http://schemas.openxmlformats.org/officeDocument/2006/relationships/header" Target="header2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header" Target="header25.xml"/><Relationship Id="rId67" Type="http://schemas.openxmlformats.org/officeDocument/2006/relationships/header" Target="header29.xml"/><Relationship Id="rId20" Type="http://schemas.openxmlformats.org/officeDocument/2006/relationships/footer" Target="footer5.xm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62" Type="http://schemas.openxmlformats.org/officeDocument/2006/relationships/header" Target="header26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endnotes" Target="endnotes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footer" Target="footer2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9" Type="http://schemas.openxmlformats.org/officeDocument/2006/relationships/header" Target="header15.xml"/><Relationship Id="rId34" Type="http://schemas.openxmlformats.org/officeDocument/2006/relationships/header" Target="header12.xml"/><Relationship Id="rId50" Type="http://schemas.openxmlformats.org/officeDocument/2006/relationships/header" Target="header20.xml"/><Relationship Id="rId55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8" ma:contentTypeDescription="Create a new document." ma:contentTypeScope="" ma:versionID="6187c117f94730fb97e7ceeb0c2f4c80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98ac505a59f6717c6cc8d67ace61b3ed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2f0513-a2ef-49c9-8f64-129a7e78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56988c-21c8-4111-8ccb-b7eec4617890}" ma:internalName="TaxCatchAll" ma:showField="CatchAllData" ma:web="dd1af2b0-f65d-434c-8a17-aadcdb553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af2b0-f65d-434c-8a17-aadcdb553b78" xsi:nil="true"/>
    <lcf76f155ced4ddcb4097134ff3c332f xmlns="ec49eb38-6cb5-483f-a298-4a90bdd000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8B4A9-1D2D-43A7-8129-F0D36118B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9eb38-6cb5-483f-a298-4a90bdd00051"/>
    <ds:schemaRef ds:uri="dd1af2b0-f65d-434c-8a17-aadcdb553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74989-1CCF-4B08-AB26-0CE1A094EE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D7D6D-5B6B-4F20-A305-6F4FEAC1A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18AA4-812B-4E36-BDDF-3AA87ADA90B3}">
  <ds:schemaRefs>
    <ds:schemaRef ds:uri="http://schemas.microsoft.com/office/2006/metadata/properties"/>
    <ds:schemaRef ds:uri="http://schemas.microsoft.com/office/infopath/2007/PartnerControls"/>
    <ds:schemaRef ds:uri="dd1af2b0-f65d-434c-8a17-aadcdb553b78"/>
    <ds:schemaRef ds:uri="ec49eb38-6cb5-483f-a298-4a90bdd00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3227</Words>
  <Characters>18396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Larisa Bocharova</cp:lastModifiedBy>
  <cp:revision>5</cp:revision>
  <dcterms:created xsi:type="dcterms:W3CDTF">2023-12-18T11:29:00Z</dcterms:created>
  <dcterms:modified xsi:type="dcterms:W3CDTF">2024-01-12T13:09:00Z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0x0101004559C9985957DC46A05537B0C86F490E</vt:lpwstr>
  </property>
  <property fmtid="{D5CDD505-2E9C-101B-9397-08002B2CF9AE}" pid="3" name="MediaServiceImageTags">
    <vt:lpwstr/>
  </property>
</Properties>
</file>