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924C9" w14:textId="7D3D629E" w:rsidR="0078310A" w:rsidRPr="00C95231" w:rsidRDefault="00EE6027">
      <w:r w:rsidRPr="00C95231">
        <w:rPr>
          <w:b/>
        </w:rPr>
        <w:t xml:space="preserve">Международная налоговая реформа – модельные правила </w:t>
      </w:r>
      <w:r w:rsidR="000C4A5D" w:rsidRPr="00C95231">
        <w:rPr>
          <w:b/>
        </w:rPr>
        <w:t>Компонента 2</w:t>
      </w:r>
      <w:r w:rsidRPr="00C95231">
        <w:br/>
      </w:r>
      <w:r w:rsidRPr="00C95231">
        <w:br/>
        <w:t>Поправки к МСФО (IAS) 12</w:t>
      </w:r>
    </w:p>
    <w:p w14:paraId="5FB52835" w14:textId="77777777" w:rsidR="0078310A" w:rsidRPr="00C95231" w:rsidRDefault="0078310A">
      <w:pPr>
        <w:sectPr w:rsidR="0078310A" w:rsidRPr="00C95231">
          <w:headerReference w:type="default" r:id="rId11"/>
          <w:footerReference w:type="even" r:id="rId12"/>
          <w:footerReference w:type="default" r:id="rId13"/>
          <w:type w:val="oddPage"/>
          <w:pgSz w:w="11880" w:h="16820"/>
          <w:pgMar w:top="1440" w:right="1440" w:bottom="1440" w:left="1440" w:header="720" w:footer="720" w:gutter="0"/>
          <w:cols w:space="720"/>
        </w:sectPr>
      </w:pPr>
    </w:p>
    <w:p w14:paraId="43D45664" w14:textId="77777777" w:rsidR="0078310A" w:rsidRPr="00C95231" w:rsidRDefault="00EE6027">
      <w:pPr>
        <w:pStyle w:val="IASBSectionTitle1NonInd"/>
      </w:pPr>
      <w:r w:rsidRPr="00C95231">
        <w:lastRenderedPageBreak/>
        <w:t xml:space="preserve">Поправки к МСФО (IAS) 12 </w:t>
      </w:r>
      <w:r w:rsidRPr="00C95231">
        <w:rPr>
          <w:i/>
        </w:rPr>
        <w:t>«Налоги на прибыль»</w:t>
      </w:r>
    </w:p>
    <w:p w14:paraId="44030BB3" w14:textId="77777777" w:rsidR="0078310A" w:rsidRPr="00C95231" w:rsidRDefault="0078310A">
      <w:pPr>
        <w:pStyle w:val="IASBNormalnpara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78310A" w:rsidRPr="00C95231" w14:paraId="382363FE" w14:textId="77777777">
        <w:tc>
          <w:tcPr>
            <w:tcW w:w="50" w:type="pct"/>
            <w:tcBorders>
              <w:bottom w:val="single" w:sz="0" w:space="0" w:color="auto"/>
              <w:right w:val="single" w:sz="0" w:space="0" w:color="auto"/>
            </w:tcBorders>
          </w:tcPr>
          <w:p w14:paraId="43E4B5E8" w14:textId="3A6D329F" w:rsidR="0078310A" w:rsidRPr="00C95231" w:rsidRDefault="00EE6027">
            <w:pPr>
              <w:pStyle w:val="IASBTableNormal"/>
            </w:pPr>
            <w:r w:rsidRPr="00C95231">
              <w:t xml:space="preserve">Добавлены пункты 4A, 88A–88D (включая соответствующий заголовок к ним, а также </w:t>
            </w:r>
            <w:r w:rsidR="00E539FD" w:rsidRPr="00C95231">
              <w:t xml:space="preserve">текст, заключенный в рамку, </w:t>
            </w:r>
            <w:r w:rsidRPr="00C95231">
              <w:t xml:space="preserve">после пункта 88D) и 98M. </w:t>
            </w:r>
          </w:p>
        </w:tc>
      </w:tr>
    </w:tbl>
    <w:p w14:paraId="40BFD187" w14:textId="77777777" w:rsidR="0078310A" w:rsidRPr="00C95231" w:rsidRDefault="0078310A">
      <w:pPr>
        <w:pStyle w:val="IASBNormalnpara"/>
      </w:pPr>
    </w:p>
    <w:p w14:paraId="19D6021C" w14:textId="77777777" w:rsidR="0078310A" w:rsidRPr="00C95231" w:rsidRDefault="00EE6027">
      <w:pPr>
        <w:pStyle w:val="IASBSectionTitle1NonInd"/>
      </w:pPr>
      <w:r w:rsidRPr="00C95231">
        <w:t>Сфера применения</w:t>
      </w:r>
    </w:p>
    <w:p w14:paraId="421BAC63" w14:textId="77777777" w:rsidR="0078310A" w:rsidRPr="00C95231" w:rsidRDefault="00EE6027">
      <w:pPr>
        <w:pStyle w:val="IASBNormalnpara"/>
      </w:pPr>
      <w:r w:rsidRPr="00C95231">
        <w:tab/>
        <w:t>...</w:t>
      </w:r>
    </w:p>
    <w:p w14:paraId="3AB11EFE" w14:textId="4C65BA28" w:rsidR="0078310A" w:rsidRPr="00C95231" w:rsidRDefault="00EE6027">
      <w:pPr>
        <w:pStyle w:val="IASBNormalnpara"/>
      </w:pPr>
      <w:r w:rsidRPr="00C95231">
        <w:t>4A</w:t>
      </w:r>
      <w:r w:rsidRPr="00C95231">
        <w:tab/>
        <w:t xml:space="preserve">Настоящий стандарт применяется в отношении налогов на прибыль, которые </w:t>
      </w:r>
      <w:r w:rsidR="00E539FD" w:rsidRPr="00C95231">
        <w:t xml:space="preserve">предусмотрены </w:t>
      </w:r>
      <w:r w:rsidRPr="00C95231">
        <w:t xml:space="preserve">налоговым законодательством, действующим или по существу принятым </w:t>
      </w:r>
      <w:r w:rsidR="00020825" w:rsidRPr="00C95231">
        <w:t xml:space="preserve">в целях внедрения </w:t>
      </w:r>
      <w:r w:rsidR="00A83938" w:rsidRPr="00C95231">
        <w:t>системы</w:t>
      </w:r>
      <w:r w:rsidR="00020825" w:rsidRPr="00C95231">
        <w:t xml:space="preserve"> </w:t>
      </w:r>
      <w:r w:rsidR="00A03F5D" w:rsidRPr="00C95231">
        <w:t xml:space="preserve">модельных </w:t>
      </w:r>
      <w:r w:rsidR="00020825" w:rsidRPr="00C95231">
        <w:t>правил</w:t>
      </w:r>
      <w:r w:rsidR="00373807" w:rsidRPr="00C95231">
        <w:t xml:space="preserve"> </w:t>
      </w:r>
      <w:r w:rsidR="00631B51" w:rsidRPr="00C95231">
        <w:t>Компонента 2</w:t>
      </w:r>
      <w:r w:rsidR="00020825" w:rsidRPr="00C95231">
        <w:t>,</w:t>
      </w:r>
      <w:r w:rsidRPr="00C95231">
        <w:t xml:space="preserve"> опубликованных Организацией экономического сотрудничества и развития (ОЭСР), включая налоговое законодательство</w:t>
      </w:r>
      <w:r w:rsidR="00A83938" w:rsidRPr="00C95231">
        <w:t>, которым устанавлива</w:t>
      </w:r>
      <w:r w:rsidR="004655C1" w:rsidRPr="00C95231">
        <w:t>е</w:t>
      </w:r>
      <w:r w:rsidR="00A83938" w:rsidRPr="00C95231">
        <w:t>тся квалифицир</w:t>
      </w:r>
      <w:r w:rsidR="00373807" w:rsidRPr="00C95231">
        <w:t>ованный</w:t>
      </w:r>
      <w:r w:rsidR="004655C1" w:rsidRPr="00C95231">
        <w:t xml:space="preserve"> </w:t>
      </w:r>
      <w:r w:rsidRPr="00C95231">
        <w:t>национальны</w:t>
      </w:r>
      <w:r w:rsidR="004655C1" w:rsidRPr="00C95231">
        <w:t>й</w:t>
      </w:r>
      <w:r w:rsidRPr="00C95231">
        <w:t xml:space="preserve"> миним</w:t>
      </w:r>
      <w:r w:rsidR="004655C1" w:rsidRPr="00C95231">
        <w:t>ум</w:t>
      </w:r>
      <w:r w:rsidRPr="00C95231">
        <w:t xml:space="preserve"> дополнительн</w:t>
      </w:r>
      <w:r w:rsidR="00631B51" w:rsidRPr="00C95231">
        <w:t>ого</w:t>
      </w:r>
      <w:r w:rsidRPr="00C95231">
        <w:t xml:space="preserve"> налог</w:t>
      </w:r>
      <w:r w:rsidR="004655C1" w:rsidRPr="00C95231">
        <w:t>о</w:t>
      </w:r>
      <w:r w:rsidR="00631B51" w:rsidRPr="00C95231">
        <w:t>обложения</w:t>
      </w:r>
      <w:r w:rsidRPr="00C95231">
        <w:t>, описан</w:t>
      </w:r>
      <w:r w:rsidR="004655C1" w:rsidRPr="00C95231">
        <w:t>ны</w:t>
      </w:r>
      <w:r w:rsidR="00AF0B11" w:rsidRPr="00C95231">
        <w:t>й</w:t>
      </w:r>
      <w:r w:rsidRPr="00C95231">
        <w:t xml:space="preserve"> в этих правилах. Такое налоговое законодательство и </w:t>
      </w:r>
      <w:r w:rsidR="006C0D9C" w:rsidRPr="00C95231">
        <w:t xml:space="preserve">предусмотренные </w:t>
      </w:r>
      <w:r w:rsidRPr="00C95231">
        <w:t xml:space="preserve">им налоги на прибыль </w:t>
      </w:r>
      <w:r w:rsidR="00801F86" w:rsidRPr="00C95231">
        <w:t>далее по тексту</w:t>
      </w:r>
      <w:r w:rsidRPr="00C95231">
        <w:t xml:space="preserve"> называются «законодательство </w:t>
      </w:r>
      <w:r w:rsidR="006C0D9C" w:rsidRPr="00C95231">
        <w:t>К</w:t>
      </w:r>
      <w:r w:rsidR="00C50BA8" w:rsidRPr="00C95231">
        <w:t>омпонент</w:t>
      </w:r>
      <w:r w:rsidR="00631B51" w:rsidRPr="00C95231">
        <w:t>а</w:t>
      </w:r>
      <w:r w:rsidR="006C0D9C" w:rsidRPr="00C95231">
        <w:t xml:space="preserve"> 2</w:t>
      </w:r>
      <w:r w:rsidRPr="00C95231">
        <w:t>» и «налоги на прибыль</w:t>
      </w:r>
      <w:r w:rsidR="006C0D9C" w:rsidRPr="00C95231">
        <w:t xml:space="preserve"> </w:t>
      </w:r>
      <w:r w:rsidR="00631B51" w:rsidRPr="00C95231">
        <w:t xml:space="preserve">по </w:t>
      </w:r>
      <w:r w:rsidR="006C0D9C" w:rsidRPr="00C95231">
        <w:t>Компонент</w:t>
      </w:r>
      <w:r w:rsidR="00631B51" w:rsidRPr="00C95231">
        <w:t>у</w:t>
      </w:r>
      <w:r w:rsidR="006C0D9C" w:rsidRPr="00C95231">
        <w:t xml:space="preserve"> 2»</w:t>
      </w:r>
      <w:r w:rsidR="00AE2BBA" w:rsidRPr="00C95231">
        <w:t>.</w:t>
      </w:r>
      <w:r w:rsidRPr="00C95231">
        <w:t xml:space="preserve"> В качестве исключения из требований настоящего стандарта организация не должна признавать </w:t>
      </w:r>
      <w:r w:rsidR="00801F86" w:rsidRPr="00C95231">
        <w:t xml:space="preserve">и раскрывать информацию об </w:t>
      </w:r>
      <w:r w:rsidRPr="00C95231">
        <w:t>отложенны</w:t>
      </w:r>
      <w:r w:rsidR="00801F86" w:rsidRPr="00C95231">
        <w:t>х</w:t>
      </w:r>
      <w:r w:rsidRPr="00C95231">
        <w:t xml:space="preserve"> налоговы</w:t>
      </w:r>
      <w:r w:rsidR="00801F86" w:rsidRPr="00C95231">
        <w:t>х</w:t>
      </w:r>
      <w:r w:rsidRPr="00C95231">
        <w:t xml:space="preserve"> актив</w:t>
      </w:r>
      <w:r w:rsidR="00801F86" w:rsidRPr="00C95231">
        <w:t>ах</w:t>
      </w:r>
      <w:r w:rsidRPr="00C95231">
        <w:t xml:space="preserve"> и обязательства</w:t>
      </w:r>
      <w:r w:rsidR="00801F86" w:rsidRPr="00C95231">
        <w:t>х</w:t>
      </w:r>
      <w:r w:rsidRPr="00C95231">
        <w:t>, связанны</w:t>
      </w:r>
      <w:r w:rsidR="00801F86" w:rsidRPr="00C95231">
        <w:t>х</w:t>
      </w:r>
      <w:r w:rsidRPr="00C95231">
        <w:t xml:space="preserve"> с налогами на прибыль</w:t>
      </w:r>
      <w:r w:rsidR="0007048A" w:rsidRPr="00C95231">
        <w:t xml:space="preserve"> по </w:t>
      </w:r>
      <w:r w:rsidR="00631B51" w:rsidRPr="00C95231">
        <w:t>К</w:t>
      </w:r>
      <w:r w:rsidR="001A0C95" w:rsidRPr="00C95231">
        <w:t>омпонент</w:t>
      </w:r>
      <w:r w:rsidR="0007048A" w:rsidRPr="00C95231">
        <w:t>у</w:t>
      </w:r>
      <w:r w:rsidR="001A0C95" w:rsidRPr="00C95231">
        <w:t xml:space="preserve"> </w:t>
      </w:r>
      <w:r w:rsidR="00631B51" w:rsidRPr="00C95231">
        <w:t>2</w:t>
      </w:r>
      <w:r w:rsidR="00801F86" w:rsidRPr="00C95231">
        <w:t>.</w:t>
      </w:r>
    </w:p>
    <w:p w14:paraId="37FEC5A0" w14:textId="77777777" w:rsidR="0078310A" w:rsidRPr="00C95231" w:rsidRDefault="00EE6027">
      <w:pPr>
        <w:pStyle w:val="IASBNormalnpara"/>
      </w:pPr>
      <w:r w:rsidRPr="00C95231">
        <w:tab/>
        <w:t>...</w:t>
      </w:r>
    </w:p>
    <w:p w14:paraId="43F04C50" w14:textId="77777777" w:rsidR="0078310A" w:rsidRPr="00C95231" w:rsidRDefault="00EE6027">
      <w:pPr>
        <w:pStyle w:val="IASBSectionTitle1NonInd"/>
      </w:pPr>
      <w:r w:rsidRPr="00C95231">
        <w:t>Раскрытие информации</w:t>
      </w:r>
    </w:p>
    <w:p w14:paraId="74AC73F3" w14:textId="77777777" w:rsidR="0078310A" w:rsidRPr="00C95231" w:rsidRDefault="00EE6027">
      <w:pPr>
        <w:pStyle w:val="IASBNormalnpara"/>
      </w:pPr>
      <w:r w:rsidRPr="00C95231">
        <w:tab/>
        <w:t>...</w:t>
      </w:r>
    </w:p>
    <w:p w14:paraId="16E917C8" w14:textId="07E99EA5" w:rsidR="0078310A" w:rsidRPr="00C95231" w:rsidRDefault="00EE6027">
      <w:pPr>
        <w:pStyle w:val="IASBSectionTitle2Ind"/>
      </w:pPr>
      <w:r w:rsidRPr="00C95231">
        <w:t xml:space="preserve">Международная налоговая реформа – модельные правила </w:t>
      </w:r>
      <w:r w:rsidR="0078101B" w:rsidRPr="00C95231">
        <w:t>К</w:t>
      </w:r>
      <w:r w:rsidR="00C50BA8" w:rsidRPr="00C95231">
        <w:t>омпонента</w:t>
      </w:r>
      <w:r w:rsidR="0078101B" w:rsidRPr="00C95231">
        <w:t xml:space="preserve"> 2</w:t>
      </w:r>
    </w:p>
    <w:p w14:paraId="074219B8" w14:textId="2AE7DDD6" w:rsidR="0078310A" w:rsidRPr="00C95231" w:rsidRDefault="00EE6027">
      <w:pPr>
        <w:pStyle w:val="IASBNormalnpara"/>
      </w:pPr>
      <w:r w:rsidRPr="00C95231">
        <w:rPr>
          <w:b/>
        </w:rPr>
        <w:t>88A</w:t>
      </w:r>
      <w:r w:rsidRPr="00C95231">
        <w:tab/>
      </w:r>
      <w:r w:rsidRPr="00C95231">
        <w:rPr>
          <w:b/>
          <w:bCs/>
        </w:rPr>
        <w:t xml:space="preserve">Организация должна раскрыть информацию о том, что она применила исключение в отношении признания </w:t>
      </w:r>
      <w:r w:rsidR="008571AB" w:rsidRPr="00C95231">
        <w:rPr>
          <w:b/>
          <w:bCs/>
        </w:rPr>
        <w:t xml:space="preserve">и раскрытия информации об </w:t>
      </w:r>
      <w:r w:rsidRPr="00C95231">
        <w:rPr>
          <w:b/>
          <w:bCs/>
        </w:rPr>
        <w:t>отложенных налоговых актив</w:t>
      </w:r>
      <w:r w:rsidR="008571AB" w:rsidRPr="00C95231">
        <w:rPr>
          <w:b/>
          <w:bCs/>
        </w:rPr>
        <w:t>ах</w:t>
      </w:r>
      <w:r w:rsidRPr="00C95231">
        <w:rPr>
          <w:b/>
          <w:bCs/>
        </w:rPr>
        <w:t xml:space="preserve"> и обязательств</w:t>
      </w:r>
      <w:r w:rsidR="008571AB" w:rsidRPr="00C95231">
        <w:rPr>
          <w:b/>
          <w:bCs/>
        </w:rPr>
        <w:t>ах</w:t>
      </w:r>
      <w:r w:rsidRPr="00C95231">
        <w:rPr>
          <w:b/>
          <w:bCs/>
        </w:rPr>
        <w:t>, связанных с налогами на прибыль</w:t>
      </w:r>
      <w:r w:rsidR="003002F4" w:rsidRPr="00C95231">
        <w:rPr>
          <w:b/>
          <w:bCs/>
        </w:rPr>
        <w:t xml:space="preserve"> по К</w:t>
      </w:r>
      <w:r w:rsidR="00633E3E" w:rsidRPr="00C95231">
        <w:rPr>
          <w:b/>
          <w:bCs/>
        </w:rPr>
        <w:t>омпонент</w:t>
      </w:r>
      <w:r w:rsidR="003002F4" w:rsidRPr="00C95231">
        <w:rPr>
          <w:b/>
          <w:bCs/>
        </w:rPr>
        <w:t>у</w:t>
      </w:r>
      <w:r w:rsidR="00633E3E" w:rsidRPr="00C95231">
        <w:rPr>
          <w:b/>
          <w:bCs/>
        </w:rPr>
        <w:t xml:space="preserve"> </w:t>
      </w:r>
      <w:r w:rsidR="003002F4" w:rsidRPr="00C95231">
        <w:rPr>
          <w:b/>
          <w:bCs/>
        </w:rPr>
        <w:t>2</w:t>
      </w:r>
      <w:r w:rsidRPr="00C95231">
        <w:rPr>
          <w:b/>
          <w:bCs/>
        </w:rPr>
        <w:t xml:space="preserve"> (см. пункт 4А).</w:t>
      </w:r>
    </w:p>
    <w:p w14:paraId="0DE154F4" w14:textId="67A1BA19" w:rsidR="0078310A" w:rsidRPr="00C95231" w:rsidRDefault="00EE6027">
      <w:pPr>
        <w:pStyle w:val="IASBNormalnpara"/>
      </w:pPr>
      <w:r w:rsidRPr="00C95231">
        <w:rPr>
          <w:b/>
        </w:rPr>
        <w:t>88B</w:t>
      </w:r>
      <w:r w:rsidRPr="00C95231">
        <w:tab/>
      </w:r>
      <w:r w:rsidRPr="00C95231">
        <w:rPr>
          <w:b/>
        </w:rPr>
        <w:t xml:space="preserve">Организация должна отдельно раскрыть свой </w:t>
      </w:r>
      <w:r w:rsidR="008571AB" w:rsidRPr="00C95231">
        <w:rPr>
          <w:b/>
        </w:rPr>
        <w:t xml:space="preserve">текущий </w:t>
      </w:r>
      <w:r w:rsidRPr="00C95231">
        <w:rPr>
          <w:b/>
        </w:rPr>
        <w:t>расход (доход) по налогу на прибыль, связанный с налогами на прибыль</w:t>
      </w:r>
      <w:r w:rsidR="0078101B" w:rsidRPr="00C95231">
        <w:rPr>
          <w:b/>
        </w:rPr>
        <w:t xml:space="preserve"> по Компоненту 2</w:t>
      </w:r>
      <w:r w:rsidRPr="00C95231">
        <w:rPr>
          <w:b/>
        </w:rPr>
        <w:t>.</w:t>
      </w:r>
    </w:p>
    <w:p w14:paraId="1884D575" w14:textId="66F9A476" w:rsidR="0078310A" w:rsidRPr="00C95231" w:rsidRDefault="00EE6027">
      <w:pPr>
        <w:pStyle w:val="IASBNormalnpara"/>
      </w:pPr>
      <w:proofErr w:type="gramStart"/>
      <w:r w:rsidRPr="00C95231">
        <w:rPr>
          <w:b/>
          <w:bCs/>
        </w:rPr>
        <w:t>88C</w:t>
      </w:r>
      <w:proofErr w:type="gramEnd"/>
      <w:r w:rsidRPr="00C95231">
        <w:rPr>
          <w:b/>
          <w:bCs/>
        </w:rPr>
        <w:tab/>
        <w:t xml:space="preserve">В периодах, в которых законодательство </w:t>
      </w:r>
      <w:r w:rsidR="0078101B" w:rsidRPr="00C95231">
        <w:rPr>
          <w:b/>
          <w:bCs/>
        </w:rPr>
        <w:t>К</w:t>
      </w:r>
      <w:r w:rsidR="00633E3E" w:rsidRPr="00C95231">
        <w:rPr>
          <w:b/>
          <w:bCs/>
        </w:rPr>
        <w:t xml:space="preserve">омпонента </w:t>
      </w:r>
      <w:r w:rsidR="0078101B" w:rsidRPr="00C95231">
        <w:rPr>
          <w:b/>
          <w:bCs/>
        </w:rPr>
        <w:t>2</w:t>
      </w:r>
      <w:r w:rsidR="0078101B" w:rsidRPr="00C95231" w:rsidDel="0078101B">
        <w:rPr>
          <w:b/>
          <w:bCs/>
        </w:rPr>
        <w:t xml:space="preserve"> </w:t>
      </w:r>
      <w:r w:rsidR="00A47DB7" w:rsidRPr="00C95231">
        <w:rPr>
          <w:b/>
          <w:bCs/>
        </w:rPr>
        <w:t xml:space="preserve">уже действует </w:t>
      </w:r>
      <w:r w:rsidR="0078101B" w:rsidRPr="00C95231">
        <w:rPr>
          <w:b/>
          <w:bCs/>
        </w:rPr>
        <w:t>или по существу принят</w:t>
      </w:r>
      <w:r w:rsidR="00A47DB7" w:rsidRPr="00C95231">
        <w:rPr>
          <w:b/>
          <w:bCs/>
        </w:rPr>
        <w:t>о</w:t>
      </w:r>
      <w:r w:rsidRPr="00C95231">
        <w:rPr>
          <w:b/>
          <w:bCs/>
          <w:szCs w:val="19"/>
        </w:rPr>
        <w:t>, но еще не вступ</w:t>
      </w:r>
      <w:r w:rsidR="00790E9A" w:rsidRPr="00C95231">
        <w:rPr>
          <w:b/>
          <w:bCs/>
          <w:szCs w:val="19"/>
        </w:rPr>
        <w:t>ило</w:t>
      </w:r>
      <w:r w:rsidRPr="00C95231">
        <w:rPr>
          <w:b/>
          <w:bCs/>
          <w:szCs w:val="19"/>
        </w:rPr>
        <w:t xml:space="preserve"> в силу, организация должна раскрыть известную или обоснованно</w:t>
      </w:r>
      <w:r w:rsidRPr="00C95231">
        <w:rPr>
          <w:b/>
          <w:bCs/>
        </w:rPr>
        <w:t xml:space="preserve"> оцен</w:t>
      </w:r>
      <w:r w:rsidR="0016331E" w:rsidRPr="00C95231">
        <w:rPr>
          <w:b/>
          <w:bCs/>
        </w:rPr>
        <w:t>иваемую</w:t>
      </w:r>
      <w:r w:rsidRPr="00C95231">
        <w:rPr>
          <w:b/>
          <w:bCs/>
        </w:rPr>
        <w:t xml:space="preserve"> информацию, которая помо</w:t>
      </w:r>
      <w:r w:rsidR="00790E9A" w:rsidRPr="00C95231">
        <w:rPr>
          <w:b/>
          <w:bCs/>
        </w:rPr>
        <w:t>жет</w:t>
      </w:r>
      <w:r w:rsidRPr="00C95231">
        <w:rPr>
          <w:b/>
          <w:bCs/>
        </w:rPr>
        <w:t xml:space="preserve"> пользователям финансовой отчетности понять по</w:t>
      </w:r>
      <w:r w:rsidR="00FB7C3C" w:rsidRPr="00C95231">
        <w:rPr>
          <w:b/>
          <w:bCs/>
        </w:rPr>
        <w:t>дверженность</w:t>
      </w:r>
      <w:r w:rsidRPr="00C95231">
        <w:rPr>
          <w:b/>
          <w:bCs/>
        </w:rPr>
        <w:t xml:space="preserve"> организации </w:t>
      </w:r>
      <w:r w:rsidR="00641C89" w:rsidRPr="00C95231">
        <w:rPr>
          <w:b/>
          <w:bCs/>
        </w:rPr>
        <w:t xml:space="preserve">влиянию </w:t>
      </w:r>
      <w:r w:rsidRPr="00C95231">
        <w:rPr>
          <w:b/>
          <w:bCs/>
        </w:rPr>
        <w:t>налог</w:t>
      </w:r>
      <w:r w:rsidR="00AA2DB1" w:rsidRPr="00C95231">
        <w:rPr>
          <w:b/>
          <w:bCs/>
        </w:rPr>
        <w:t>ов</w:t>
      </w:r>
      <w:r w:rsidRPr="00C95231">
        <w:rPr>
          <w:b/>
          <w:bCs/>
        </w:rPr>
        <w:t xml:space="preserve"> на прибыль</w:t>
      </w:r>
      <w:r w:rsidR="0007048A" w:rsidRPr="00C95231">
        <w:rPr>
          <w:b/>
          <w:bCs/>
        </w:rPr>
        <w:t xml:space="preserve"> по Компоненту</w:t>
      </w:r>
      <w:r w:rsidR="002E7D56" w:rsidRPr="00C95231">
        <w:rPr>
          <w:b/>
          <w:bCs/>
          <w:lang w:val="en-US"/>
        </w:rPr>
        <w:t> </w:t>
      </w:r>
      <w:r w:rsidR="0007048A" w:rsidRPr="00C95231">
        <w:rPr>
          <w:b/>
          <w:bCs/>
        </w:rPr>
        <w:t>2</w:t>
      </w:r>
      <w:r w:rsidR="000D7C20" w:rsidRPr="00C95231">
        <w:rPr>
          <w:b/>
          <w:bCs/>
        </w:rPr>
        <w:t>,</w:t>
      </w:r>
      <w:r w:rsidRPr="00C95231">
        <w:rPr>
          <w:b/>
          <w:bCs/>
        </w:rPr>
        <w:t xml:space="preserve"> </w:t>
      </w:r>
      <w:r w:rsidR="0007048A" w:rsidRPr="00C95231">
        <w:rPr>
          <w:b/>
          <w:bCs/>
        </w:rPr>
        <w:t>предусмотренны</w:t>
      </w:r>
      <w:r w:rsidR="00AA2DB1" w:rsidRPr="00C95231">
        <w:rPr>
          <w:b/>
          <w:bCs/>
        </w:rPr>
        <w:t>х</w:t>
      </w:r>
      <w:r w:rsidR="0007048A" w:rsidRPr="00C95231">
        <w:rPr>
          <w:b/>
          <w:bCs/>
        </w:rPr>
        <w:t xml:space="preserve"> </w:t>
      </w:r>
      <w:r w:rsidR="00D22416" w:rsidRPr="00C95231">
        <w:rPr>
          <w:b/>
          <w:bCs/>
        </w:rPr>
        <w:t>указанным</w:t>
      </w:r>
      <w:r w:rsidR="0007048A" w:rsidRPr="00C95231">
        <w:rPr>
          <w:b/>
          <w:bCs/>
        </w:rPr>
        <w:t xml:space="preserve"> законодательством.</w:t>
      </w:r>
    </w:p>
    <w:p w14:paraId="3AFDA18D" w14:textId="063E5B76" w:rsidR="0078310A" w:rsidRPr="00C95231" w:rsidRDefault="00EE6027">
      <w:pPr>
        <w:pStyle w:val="IASBNormalnpara"/>
      </w:pPr>
      <w:r w:rsidRPr="00C95231">
        <w:t>88D</w:t>
      </w:r>
      <w:r w:rsidRPr="00C95231">
        <w:tab/>
        <w:t xml:space="preserve">Для достижения цели раскрытия информации </w:t>
      </w:r>
      <w:r w:rsidR="00790E9A" w:rsidRPr="00C95231">
        <w:t xml:space="preserve">согласно </w:t>
      </w:r>
      <w:r w:rsidRPr="00C95231">
        <w:t>пункт</w:t>
      </w:r>
      <w:r w:rsidR="00790E9A" w:rsidRPr="00C95231">
        <w:t>у</w:t>
      </w:r>
      <w:r w:rsidRPr="00C95231">
        <w:t xml:space="preserve"> 88C организация должна раскрыть качественную и количественную информацию о своей по</w:t>
      </w:r>
      <w:r w:rsidR="00FB7C3C" w:rsidRPr="00C95231">
        <w:t xml:space="preserve">дверженности </w:t>
      </w:r>
      <w:r w:rsidR="00AA2DB1" w:rsidRPr="00C95231">
        <w:t xml:space="preserve">влиянию </w:t>
      </w:r>
      <w:r w:rsidRPr="00C95231">
        <w:t>налог</w:t>
      </w:r>
      <w:r w:rsidR="00AA2DB1" w:rsidRPr="00C95231">
        <w:t>ов</w:t>
      </w:r>
      <w:r w:rsidRPr="00C95231">
        <w:t xml:space="preserve"> на прибыль</w:t>
      </w:r>
      <w:r w:rsidR="00641C89" w:rsidRPr="00C95231">
        <w:t xml:space="preserve"> по</w:t>
      </w:r>
      <w:r w:rsidR="000D7C20" w:rsidRPr="00C95231">
        <w:t xml:space="preserve"> </w:t>
      </w:r>
      <w:r w:rsidR="00D22416" w:rsidRPr="00C95231">
        <w:t>К</w:t>
      </w:r>
      <w:r w:rsidR="00633E3E" w:rsidRPr="00C95231">
        <w:t>омпонент</w:t>
      </w:r>
      <w:r w:rsidR="00641C89" w:rsidRPr="00C95231">
        <w:t>у</w:t>
      </w:r>
      <w:r w:rsidR="00D22416" w:rsidRPr="00C95231">
        <w:t xml:space="preserve"> 2</w:t>
      </w:r>
      <w:r w:rsidRPr="00C95231">
        <w:t xml:space="preserve"> на конец отчетного периода. Такая информация не </w:t>
      </w:r>
      <w:r w:rsidR="00790E9A" w:rsidRPr="00C95231">
        <w:t xml:space="preserve">обязательно </w:t>
      </w:r>
      <w:r w:rsidRPr="00C95231">
        <w:t xml:space="preserve">должна отражать все </w:t>
      </w:r>
      <w:r w:rsidR="00790E9A" w:rsidRPr="00C95231">
        <w:t>конкретные</w:t>
      </w:r>
      <w:r w:rsidRPr="00C95231">
        <w:t xml:space="preserve"> требования законодательства </w:t>
      </w:r>
      <w:r w:rsidR="00D22416" w:rsidRPr="00C95231">
        <w:t>К</w:t>
      </w:r>
      <w:r w:rsidR="00633E3E" w:rsidRPr="00C95231">
        <w:t>омпонента</w:t>
      </w:r>
      <w:r w:rsidR="00D22416" w:rsidRPr="00C95231">
        <w:t xml:space="preserve"> 2</w:t>
      </w:r>
      <w:r w:rsidR="00A416B1" w:rsidRPr="00C95231">
        <w:t>;</w:t>
      </w:r>
      <w:r w:rsidRPr="00C95231">
        <w:t xml:space="preserve"> </w:t>
      </w:r>
      <w:r w:rsidR="00781EF3" w:rsidRPr="00C95231">
        <w:t xml:space="preserve">она </w:t>
      </w:r>
      <w:r w:rsidRPr="00C95231">
        <w:t>может быть представлена в виде диапазона</w:t>
      </w:r>
      <w:r w:rsidR="000D32CE" w:rsidRPr="00C95231">
        <w:t xml:space="preserve"> ориентировочных значений</w:t>
      </w:r>
      <w:r w:rsidRPr="00C95231">
        <w:t xml:space="preserve">. </w:t>
      </w:r>
      <w:r w:rsidR="000911F6" w:rsidRPr="00C95231">
        <w:t>В той части,</w:t>
      </w:r>
      <w:r w:rsidRPr="00C95231">
        <w:t xml:space="preserve"> </w:t>
      </w:r>
      <w:r w:rsidR="000911F6" w:rsidRPr="00C95231">
        <w:t xml:space="preserve">в которой </w:t>
      </w:r>
      <w:r w:rsidRPr="00C95231">
        <w:t xml:space="preserve">информация не является известной или обоснованно оцениваемой, организация должна </w:t>
      </w:r>
      <w:r w:rsidR="00790E9A" w:rsidRPr="00C95231">
        <w:t>включить</w:t>
      </w:r>
      <w:r w:rsidRPr="00C95231">
        <w:t xml:space="preserve"> заявление о данном факте и раскрыть информацию о </w:t>
      </w:r>
      <w:r w:rsidR="006D03C1" w:rsidRPr="00C95231">
        <w:t xml:space="preserve">достигнутом </w:t>
      </w:r>
      <w:r w:rsidR="000911F6" w:rsidRPr="00C95231">
        <w:t>результате</w:t>
      </w:r>
      <w:r w:rsidR="006D03C1" w:rsidRPr="00C95231">
        <w:t xml:space="preserve"> оценк</w:t>
      </w:r>
      <w:r w:rsidR="0011050F" w:rsidRPr="00C95231">
        <w:t>и</w:t>
      </w:r>
      <w:r w:rsidR="00130D42" w:rsidRPr="00C95231">
        <w:t xml:space="preserve"> своей</w:t>
      </w:r>
      <w:r w:rsidR="006D03C1" w:rsidRPr="00C95231">
        <w:t xml:space="preserve"> </w:t>
      </w:r>
      <w:r w:rsidR="000911F6" w:rsidRPr="00C95231">
        <w:t xml:space="preserve">такой </w:t>
      </w:r>
      <w:r w:rsidR="00FF1EA0" w:rsidRPr="00C95231">
        <w:t>подверженности.</w:t>
      </w:r>
    </w:p>
    <w:p w14:paraId="2F2B72F8" w14:textId="77777777" w:rsidR="0078310A" w:rsidRPr="00C95231" w:rsidRDefault="0078310A">
      <w:pPr>
        <w:pStyle w:val="IASBNormalnpara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C95231" w:rsidRPr="00C95231" w14:paraId="0FD580E0" w14:textId="77777777">
        <w:trPr>
          <w:tblHeader/>
        </w:trPr>
        <w:tc>
          <w:tcPr>
            <w:tcW w:w="50" w:type="pct"/>
            <w:tcBorders>
              <w:bottom w:val="single" w:sz="0" w:space="0" w:color="auto"/>
              <w:right w:val="single" w:sz="0" w:space="0" w:color="auto"/>
            </w:tcBorders>
          </w:tcPr>
          <w:p w14:paraId="30E65848" w14:textId="77777777" w:rsidR="0078310A" w:rsidRPr="00C95231" w:rsidRDefault="00EE6027">
            <w:pPr>
              <w:pStyle w:val="IASBTableHeaderArial"/>
            </w:pPr>
            <w:r w:rsidRPr="00C95231">
              <w:t>Примеры, иллюстрирующие пункты 88С–88D</w:t>
            </w:r>
          </w:p>
        </w:tc>
      </w:tr>
      <w:tr w:rsidR="0078310A" w:rsidRPr="00C95231" w14:paraId="7A91BC3B" w14:textId="77777777">
        <w:tc>
          <w:tcPr>
            <w:tcW w:w="50" w:type="pct"/>
            <w:tcBorders>
              <w:bottom w:val="single" w:sz="0" w:space="0" w:color="auto"/>
              <w:right w:val="single" w:sz="0" w:space="0" w:color="auto"/>
            </w:tcBorders>
          </w:tcPr>
          <w:p w14:paraId="0CBDC621" w14:textId="77777777" w:rsidR="0078310A" w:rsidRPr="00C95231" w:rsidRDefault="00EE6027">
            <w:pPr>
              <w:pStyle w:val="IASBTableNormal"/>
            </w:pPr>
            <w:r w:rsidRPr="00C95231">
              <w:t>Ниже приведены примеры информации, которая может быть раскрыта организацией для достижения цели и выполнения требований в пунктах 88C–88D:</w:t>
            </w:r>
          </w:p>
          <w:p w14:paraId="67668EAB" w14:textId="079EBD8D" w:rsidR="0078310A" w:rsidRPr="00C95231" w:rsidRDefault="00EE6027">
            <w:pPr>
              <w:pStyle w:val="IASBNormalL1"/>
              <w:jc w:val="left"/>
            </w:pPr>
            <w:r w:rsidRPr="00C95231">
              <w:lastRenderedPageBreak/>
              <w:t>(a)</w:t>
            </w:r>
            <w:r w:rsidRPr="00C95231">
              <w:tab/>
              <w:t xml:space="preserve">качественная информация, например информация о том, каким образом на организацию влияет законодательство </w:t>
            </w:r>
            <w:r w:rsidR="0016331E" w:rsidRPr="00C95231">
              <w:t>К</w:t>
            </w:r>
            <w:r w:rsidR="00633E3E" w:rsidRPr="00C95231">
              <w:t>омпонента</w:t>
            </w:r>
            <w:r w:rsidR="0016331E" w:rsidRPr="00C95231">
              <w:t xml:space="preserve"> 2</w:t>
            </w:r>
            <w:r w:rsidRPr="00C95231">
              <w:t xml:space="preserve">, а также основные юрисдикции, в которых </w:t>
            </w:r>
            <w:r w:rsidR="00B073FC" w:rsidRPr="00C95231">
              <w:t xml:space="preserve">организация </w:t>
            </w:r>
            <w:r w:rsidR="00FC6084" w:rsidRPr="00C95231">
              <w:t xml:space="preserve">может быть </w:t>
            </w:r>
            <w:r w:rsidR="00B073FC" w:rsidRPr="00C95231">
              <w:t xml:space="preserve">подвержена </w:t>
            </w:r>
            <w:r w:rsidR="00FC6084" w:rsidRPr="00C95231">
              <w:t xml:space="preserve">влиянию </w:t>
            </w:r>
            <w:r w:rsidR="00B073FC" w:rsidRPr="00C95231">
              <w:t>налогов</w:t>
            </w:r>
            <w:r w:rsidRPr="00C95231">
              <w:t xml:space="preserve"> на прибыль</w:t>
            </w:r>
            <w:r w:rsidR="00FC6084" w:rsidRPr="00C95231">
              <w:t xml:space="preserve"> по Компоненту 2</w:t>
            </w:r>
            <w:r w:rsidRPr="00C95231">
              <w:t>; и</w:t>
            </w:r>
          </w:p>
          <w:p w14:paraId="647C162D" w14:textId="77777777" w:rsidR="0078310A" w:rsidRPr="00C95231" w:rsidRDefault="00EE6027">
            <w:pPr>
              <w:pStyle w:val="IASBNormalL1"/>
              <w:jc w:val="left"/>
            </w:pPr>
            <w:r w:rsidRPr="00C95231">
              <w:t>(b)</w:t>
            </w:r>
            <w:r w:rsidRPr="00C95231">
              <w:tab/>
              <w:t>количественная информация</w:t>
            </w:r>
            <w:r w:rsidR="00FB0D4F" w:rsidRPr="00C95231">
              <w:t>, например</w:t>
            </w:r>
            <w:r w:rsidRPr="00C95231">
              <w:t>:</w:t>
            </w:r>
          </w:p>
          <w:p w14:paraId="076BB74F" w14:textId="5B36B781" w:rsidR="0078310A" w:rsidRPr="00C95231" w:rsidRDefault="00EE6027">
            <w:pPr>
              <w:pStyle w:val="IASBNormalL2"/>
              <w:jc w:val="left"/>
            </w:pPr>
            <w:r w:rsidRPr="00C95231">
              <w:t>(i)</w:t>
            </w:r>
            <w:r w:rsidRPr="00C95231">
              <w:tab/>
            </w:r>
            <w:r w:rsidR="002E7D56" w:rsidRPr="00C95231">
              <w:t>у</w:t>
            </w:r>
            <w:r w:rsidR="00FC6084" w:rsidRPr="00C95231">
              <w:t>казание доли</w:t>
            </w:r>
            <w:r w:rsidRPr="00C95231">
              <w:t xml:space="preserve"> прибыли организации,</w:t>
            </w:r>
            <w:r w:rsidR="00FC6084" w:rsidRPr="00C95231">
              <w:t xml:space="preserve"> которая может быть объектом обложения </w:t>
            </w:r>
            <w:r w:rsidRPr="00C95231">
              <w:t>налог</w:t>
            </w:r>
            <w:r w:rsidR="000D32CE" w:rsidRPr="00C95231">
              <w:t>ами</w:t>
            </w:r>
            <w:r w:rsidRPr="00C95231">
              <w:t xml:space="preserve"> на прибыль</w:t>
            </w:r>
            <w:r w:rsidR="00FC6084" w:rsidRPr="00C95231">
              <w:t xml:space="preserve"> по К</w:t>
            </w:r>
            <w:r w:rsidR="00633E3E" w:rsidRPr="00C95231">
              <w:t>омпонент</w:t>
            </w:r>
            <w:r w:rsidR="00FC6084" w:rsidRPr="00C95231">
              <w:t>у 2,</w:t>
            </w:r>
            <w:r w:rsidR="00633E3E" w:rsidRPr="00C95231">
              <w:t xml:space="preserve"> </w:t>
            </w:r>
            <w:r w:rsidRPr="00C95231">
              <w:t xml:space="preserve">и средняя эффективная ставка налога, применимая к </w:t>
            </w:r>
            <w:r w:rsidR="00B76675" w:rsidRPr="00C95231">
              <w:t>эт</w:t>
            </w:r>
            <w:r w:rsidR="00FC6084" w:rsidRPr="00C95231">
              <w:t>ой доле</w:t>
            </w:r>
            <w:r w:rsidR="00B76675" w:rsidRPr="00C95231">
              <w:t xml:space="preserve"> </w:t>
            </w:r>
            <w:r w:rsidR="00FC6084" w:rsidRPr="00C95231">
              <w:t>прибыли</w:t>
            </w:r>
            <w:r w:rsidR="00A564FE" w:rsidRPr="00C95231">
              <w:t>;</w:t>
            </w:r>
            <w:r w:rsidRPr="00C95231">
              <w:t xml:space="preserve"> </w:t>
            </w:r>
            <w:r w:rsidR="00B76675" w:rsidRPr="00C95231">
              <w:t>или</w:t>
            </w:r>
          </w:p>
          <w:p w14:paraId="4A6407F2" w14:textId="462847F8" w:rsidR="0078310A" w:rsidRPr="00C95231" w:rsidRDefault="00EE6027" w:rsidP="001168B1">
            <w:pPr>
              <w:pStyle w:val="IASBNormalL2"/>
              <w:jc w:val="left"/>
            </w:pPr>
            <w:r w:rsidRPr="00C95231">
              <w:t>(</w:t>
            </w:r>
            <w:proofErr w:type="spellStart"/>
            <w:r w:rsidRPr="00C95231">
              <w:t>ii</w:t>
            </w:r>
            <w:proofErr w:type="spellEnd"/>
            <w:r w:rsidRPr="00C95231">
              <w:t>)</w:t>
            </w:r>
            <w:r w:rsidRPr="00C95231">
              <w:tab/>
            </w:r>
            <w:r w:rsidR="001E798B" w:rsidRPr="00C95231">
              <w:t xml:space="preserve">указание того, </w:t>
            </w:r>
            <w:r w:rsidRPr="00C95231">
              <w:t xml:space="preserve">каким образом </w:t>
            </w:r>
            <w:r w:rsidR="00A416B1" w:rsidRPr="00C95231">
              <w:t xml:space="preserve">для организации </w:t>
            </w:r>
            <w:r w:rsidRPr="00C95231">
              <w:t xml:space="preserve">изменилась бы средняя эффективная ставка налога, если бы законодательство </w:t>
            </w:r>
            <w:r w:rsidR="0016331E" w:rsidRPr="00C95231">
              <w:t>К</w:t>
            </w:r>
            <w:r w:rsidR="00633E3E" w:rsidRPr="00C95231">
              <w:t>омпонента</w:t>
            </w:r>
            <w:r w:rsidR="0016331E" w:rsidRPr="00C95231">
              <w:t xml:space="preserve"> 2</w:t>
            </w:r>
            <w:r w:rsidR="00633E3E" w:rsidRPr="00C95231">
              <w:t xml:space="preserve"> </w:t>
            </w:r>
            <w:r w:rsidR="003A771D" w:rsidRPr="00C95231">
              <w:t>реформы</w:t>
            </w:r>
            <w:r w:rsidR="00FB0D4F" w:rsidRPr="00C95231">
              <w:t xml:space="preserve"> </w:t>
            </w:r>
            <w:r w:rsidR="00B76675" w:rsidRPr="00C95231">
              <w:t xml:space="preserve">уже </w:t>
            </w:r>
            <w:r w:rsidR="00B205F8" w:rsidRPr="00C95231">
              <w:t>действовало</w:t>
            </w:r>
            <w:r w:rsidRPr="00C95231">
              <w:t>.</w:t>
            </w:r>
          </w:p>
        </w:tc>
      </w:tr>
    </w:tbl>
    <w:p w14:paraId="43EF2429" w14:textId="77777777" w:rsidR="0078310A" w:rsidRPr="00C95231" w:rsidRDefault="0078310A">
      <w:pPr>
        <w:pStyle w:val="IASBNormalnpara"/>
      </w:pPr>
    </w:p>
    <w:p w14:paraId="484B1522" w14:textId="77777777" w:rsidR="0078310A" w:rsidRPr="00C95231" w:rsidRDefault="00EE6027">
      <w:pPr>
        <w:pStyle w:val="IASBNormalnpara"/>
      </w:pPr>
      <w:r w:rsidRPr="00C95231">
        <w:tab/>
        <w:t>...</w:t>
      </w:r>
    </w:p>
    <w:p w14:paraId="037683D6" w14:textId="77777777" w:rsidR="0078310A" w:rsidRPr="00C95231" w:rsidRDefault="00EE6027">
      <w:pPr>
        <w:pStyle w:val="IASBSectionTitle1NonInd"/>
      </w:pPr>
      <w:r w:rsidRPr="00C95231">
        <w:t>Дата вступления в силу</w:t>
      </w:r>
    </w:p>
    <w:p w14:paraId="74AC4AFB" w14:textId="77777777" w:rsidR="0078310A" w:rsidRPr="00C95231" w:rsidRDefault="00EE6027">
      <w:pPr>
        <w:pStyle w:val="IASBNormalnpara"/>
      </w:pPr>
      <w:r w:rsidRPr="00C95231">
        <w:tab/>
        <w:t>...</w:t>
      </w:r>
    </w:p>
    <w:p w14:paraId="10C57FC4" w14:textId="3C0D5F66" w:rsidR="0078310A" w:rsidRPr="00C95231" w:rsidRDefault="00EE6027">
      <w:pPr>
        <w:pStyle w:val="IASBNormalnpara"/>
      </w:pPr>
      <w:r w:rsidRPr="00C95231">
        <w:t>98M</w:t>
      </w:r>
      <w:r w:rsidRPr="00C95231">
        <w:tab/>
        <w:t xml:space="preserve">Документом </w:t>
      </w:r>
      <w:r w:rsidRPr="00C95231">
        <w:rPr>
          <w:i/>
        </w:rPr>
        <w:t xml:space="preserve">«Международная налоговая реформа – модельные правила </w:t>
      </w:r>
      <w:r w:rsidR="0016331E" w:rsidRPr="00C95231">
        <w:rPr>
          <w:i/>
        </w:rPr>
        <w:t>К</w:t>
      </w:r>
      <w:r w:rsidR="00633E3E" w:rsidRPr="00C95231">
        <w:rPr>
          <w:i/>
        </w:rPr>
        <w:t xml:space="preserve">омпонента </w:t>
      </w:r>
      <w:r w:rsidR="0016331E" w:rsidRPr="00C95231">
        <w:rPr>
          <w:i/>
        </w:rPr>
        <w:t>2</w:t>
      </w:r>
      <w:r w:rsidRPr="00C95231">
        <w:rPr>
          <w:i/>
        </w:rPr>
        <w:t>»</w:t>
      </w:r>
      <w:r w:rsidRPr="00C95231">
        <w:t>, выпущенным в мае 2023 года, добавлены пункты 4A и 88A–88D. Организация должна:</w:t>
      </w:r>
    </w:p>
    <w:p w14:paraId="03C329FE" w14:textId="115B1CB0" w:rsidR="0078310A" w:rsidRPr="00C95231" w:rsidRDefault="00EE6027">
      <w:pPr>
        <w:pStyle w:val="IASBNormalnparaL1"/>
      </w:pPr>
      <w:r w:rsidRPr="00C95231">
        <w:t>(a)</w:t>
      </w:r>
      <w:r w:rsidRPr="00C95231">
        <w:tab/>
        <w:t>примен</w:t>
      </w:r>
      <w:r w:rsidR="00B30FFB" w:rsidRPr="00C95231">
        <w:t>и</w:t>
      </w:r>
      <w:r w:rsidRPr="00C95231">
        <w:t xml:space="preserve">ть пункты 4A и 88A </w:t>
      </w:r>
      <w:r w:rsidR="00B30FFB" w:rsidRPr="00C95231">
        <w:t>с момента</w:t>
      </w:r>
      <w:r w:rsidRPr="00C95231">
        <w:t xml:space="preserve"> выпуска настоящих поправок и ретроспективно в соответствии с МСФО (IAS) 8; и</w:t>
      </w:r>
    </w:p>
    <w:p w14:paraId="28A4A18D" w14:textId="051AA908" w:rsidR="0078310A" w:rsidRPr="00C95231" w:rsidRDefault="00EE6027" w:rsidP="007A414B">
      <w:pPr>
        <w:pStyle w:val="IASBNormalnparaL1"/>
      </w:pPr>
      <w:r w:rsidRPr="00C95231">
        <w:t>(b)</w:t>
      </w:r>
      <w:r w:rsidRPr="00C95231">
        <w:tab/>
        <w:t>примен</w:t>
      </w:r>
      <w:r w:rsidR="00B30FFB" w:rsidRPr="00C95231">
        <w:t>и</w:t>
      </w:r>
      <w:r w:rsidRPr="00C95231">
        <w:t>ть пункты 88B–88D в отношении годовых отчетных периодов, начинающихся 1</w:t>
      </w:r>
      <w:r w:rsidR="002E7D56" w:rsidRPr="00C95231">
        <w:t> </w:t>
      </w:r>
      <w:r w:rsidRPr="00C95231">
        <w:t>января 2023 года или после этой даты. Организация не обязана раскрывать информацию, требуе</w:t>
      </w:r>
      <w:r w:rsidR="00B30FFB" w:rsidRPr="00C95231">
        <w:t>мую</w:t>
      </w:r>
      <w:r w:rsidRPr="00C95231">
        <w:t xml:space="preserve"> этими пунктами, в отношении </w:t>
      </w:r>
      <w:r w:rsidR="0016331E" w:rsidRPr="00C95231">
        <w:t xml:space="preserve">любого </w:t>
      </w:r>
      <w:r w:rsidRPr="00C95231">
        <w:t>промежуточного периода, заканчивающего 31 декабря 2023 года или до этой даты.</w:t>
      </w:r>
    </w:p>
    <w:sectPr w:rsidR="0078310A" w:rsidRPr="00C95231">
      <w:headerReference w:type="even" r:id="rId14"/>
      <w:headerReference w:type="default" r:id="rId15"/>
      <w:footerReference w:type="even" r:id="rId16"/>
      <w:footerReference w:type="default" r:id="rId17"/>
      <w:pgSz w:w="11880" w:h="1682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47EF9" w14:textId="77777777" w:rsidR="008D05EF" w:rsidRDefault="008D05EF">
      <w:r>
        <w:separator/>
      </w:r>
    </w:p>
  </w:endnote>
  <w:endnote w:type="continuationSeparator" w:id="0">
    <w:p w14:paraId="53FE0C3F" w14:textId="77777777" w:rsidR="008D05EF" w:rsidRDefault="008D05EF">
      <w:r>
        <w:continuationSeparator/>
      </w:r>
    </w:p>
  </w:endnote>
  <w:endnote w:type="continuationNotice" w:id="1">
    <w:p w14:paraId="3A1D5660" w14:textId="77777777" w:rsidR="008D05EF" w:rsidRDefault="008D05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AE761" w14:textId="77777777" w:rsidR="0078310A" w:rsidRDefault="00EE6027">
    <w:pPr>
      <w:pStyle w:val="Footer"/>
    </w:pPr>
    <w:r>
      <w:fldChar w:fldCharType="begin"/>
    </w:r>
    <w:r>
      <w:instrText>PAGE</w:instrText>
    </w:r>
    <w:r>
      <w:fldChar w:fldCharType="end"/>
    </w:r>
    <w:r>
      <w:tab/>
      <w:t>© IFRS Foundation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A123" w14:textId="77777777" w:rsidR="0078310A" w:rsidRDefault="00EE6027">
    <w:pPr>
      <w:pStyle w:val="Footer"/>
    </w:pPr>
    <w:r>
      <w:tab/>
      <w:t>© IFRS Foundation</w:t>
    </w:r>
    <w:r>
      <w:tab/>
    </w:r>
    <w:r>
      <w:fldChar w:fldCharType="begin"/>
    </w:r>
    <w:r>
      <w:instrText>PAGE</w:instrText>
    </w:r>
    <w:r>
      <w:fldChar w:fldCharType="separate"/>
    </w:r>
    <w:r w:rsidR="00EC5A99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7C9A6" w14:textId="77777777" w:rsidR="0078310A" w:rsidRDefault="00EE6027">
    <w:pPr>
      <w:pStyle w:val="Footer"/>
    </w:pPr>
    <w:r>
      <w:fldChar w:fldCharType="begin"/>
    </w:r>
    <w:r>
      <w:instrText>PAGE</w:instrText>
    </w:r>
    <w:r>
      <w:fldChar w:fldCharType="separate"/>
    </w:r>
    <w:r w:rsidR="002169AC">
      <w:rPr>
        <w:noProof/>
      </w:rPr>
      <w:t>2</w:t>
    </w:r>
    <w:r>
      <w:fldChar w:fldCharType="end"/>
    </w:r>
    <w:r>
      <w:tab/>
      <w:t>© IFRS Foundation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DE694" w14:textId="77777777" w:rsidR="0078310A" w:rsidRDefault="00EE6027">
    <w:pPr>
      <w:pStyle w:val="Footer"/>
    </w:pPr>
    <w:r>
      <w:tab/>
      <w:t>© IFRS Foundation</w:t>
    </w:r>
    <w:r>
      <w:tab/>
    </w:r>
    <w:r>
      <w:fldChar w:fldCharType="begin"/>
    </w:r>
    <w:r>
      <w:instrText>PAGE</w:instrText>
    </w:r>
    <w:r>
      <w:fldChar w:fldCharType="separate"/>
    </w:r>
    <w:r w:rsidR="002169AC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82710" w14:textId="77777777" w:rsidR="008D05EF" w:rsidRDefault="008D05EF">
      <w:r>
        <w:separator/>
      </w:r>
    </w:p>
  </w:footnote>
  <w:footnote w:type="continuationSeparator" w:id="0">
    <w:p w14:paraId="6D5480BB" w14:textId="77777777" w:rsidR="008D05EF" w:rsidRDefault="008D05EF">
      <w:r>
        <w:continuationSeparator/>
      </w:r>
    </w:p>
  </w:footnote>
  <w:footnote w:type="continuationNotice" w:id="1">
    <w:p w14:paraId="4817D116" w14:textId="77777777" w:rsidR="008D05EF" w:rsidRDefault="008D05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1AFBA" w14:textId="77777777" w:rsidR="0078310A" w:rsidRDefault="00EE6027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C66BE" w14:textId="77777777" w:rsidR="0078310A" w:rsidRDefault="007831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51A0" w14:textId="77777777" w:rsidR="0078310A" w:rsidRDefault="00EE6027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0678A3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15CA6A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D736AC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D4B494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F67201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51BE73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F93ACF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89C9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C76E4E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8241D3"/>
    <w:multiLevelType w:val="multilevel"/>
    <w:tmpl w:val="210AF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5467803">
    <w:abstractNumId w:val="8"/>
  </w:num>
  <w:num w:numId="2" w16cid:durableId="1987473103">
    <w:abstractNumId w:val="6"/>
  </w:num>
  <w:num w:numId="3" w16cid:durableId="826357939">
    <w:abstractNumId w:val="5"/>
  </w:num>
  <w:num w:numId="4" w16cid:durableId="1741320784">
    <w:abstractNumId w:val="4"/>
  </w:num>
  <w:num w:numId="5" w16cid:durableId="1159005634">
    <w:abstractNumId w:val="3"/>
  </w:num>
  <w:num w:numId="6" w16cid:durableId="1932202055">
    <w:abstractNumId w:val="7"/>
  </w:num>
  <w:num w:numId="7" w16cid:durableId="1017540617">
    <w:abstractNumId w:val="2"/>
  </w:num>
  <w:num w:numId="8" w16cid:durableId="636566850">
    <w:abstractNumId w:val="1"/>
  </w:num>
  <w:num w:numId="9" w16cid:durableId="1147554067">
    <w:abstractNumId w:val="0"/>
  </w:num>
  <w:num w:numId="10" w16cid:durableId="307587928">
    <w:abstractNumId w:val="9"/>
  </w:num>
  <w:num w:numId="11" w16cid:durableId="20893045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trackRevisions/>
  <w:doNotTrackFormatting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10A"/>
    <w:rsid w:val="0000123C"/>
    <w:rsid w:val="00001B70"/>
    <w:rsid w:val="00001D4B"/>
    <w:rsid w:val="00003B89"/>
    <w:rsid w:val="00006A3F"/>
    <w:rsid w:val="00012615"/>
    <w:rsid w:val="00020825"/>
    <w:rsid w:val="000209D6"/>
    <w:rsid w:val="000211DA"/>
    <w:rsid w:val="0004088A"/>
    <w:rsid w:val="00044D6A"/>
    <w:rsid w:val="00054DAF"/>
    <w:rsid w:val="000659E0"/>
    <w:rsid w:val="0007048A"/>
    <w:rsid w:val="000713B9"/>
    <w:rsid w:val="000714B3"/>
    <w:rsid w:val="0007272D"/>
    <w:rsid w:val="00075055"/>
    <w:rsid w:val="00085610"/>
    <w:rsid w:val="00086DC0"/>
    <w:rsid w:val="000911F6"/>
    <w:rsid w:val="00096130"/>
    <w:rsid w:val="00096224"/>
    <w:rsid w:val="000A1415"/>
    <w:rsid w:val="000A1A76"/>
    <w:rsid w:val="000A1CCA"/>
    <w:rsid w:val="000A492F"/>
    <w:rsid w:val="000A528C"/>
    <w:rsid w:val="000A5B3A"/>
    <w:rsid w:val="000A7294"/>
    <w:rsid w:val="000B103E"/>
    <w:rsid w:val="000B3169"/>
    <w:rsid w:val="000B55D9"/>
    <w:rsid w:val="000C4A5D"/>
    <w:rsid w:val="000C62A7"/>
    <w:rsid w:val="000D2CE1"/>
    <w:rsid w:val="000D32CE"/>
    <w:rsid w:val="000D3762"/>
    <w:rsid w:val="000D7C20"/>
    <w:rsid w:val="000E1047"/>
    <w:rsid w:val="000E56A6"/>
    <w:rsid w:val="000E5A4B"/>
    <w:rsid w:val="000F3590"/>
    <w:rsid w:val="00103432"/>
    <w:rsid w:val="00106AF5"/>
    <w:rsid w:val="00107C96"/>
    <w:rsid w:val="0011050F"/>
    <w:rsid w:val="00113F97"/>
    <w:rsid w:val="00115EE2"/>
    <w:rsid w:val="001168B1"/>
    <w:rsid w:val="00120582"/>
    <w:rsid w:val="00121BC0"/>
    <w:rsid w:val="00122137"/>
    <w:rsid w:val="0012232D"/>
    <w:rsid w:val="00123281"/>
    <w:rsid w:val="0012550E"/>
    <w:rsid w:val="001266BF"/>
    <w:rsid w:val="0012790F"/>
    <w:rsid w:val="00130D42"/>
    <w:rsid w:val="00133435"/>
    <w:rsid w:val="00134A8D"/>
    <w:rsid w:val="00135DD7"/>
    <w:rsid w:val="0014302D"/>
    <w:rsid w:val="00144F5E"/>
    <w:rsid w:val="0014534D"/>
    <w:rsid w:val="00154D0A"/>
    <w:rsid w:val="00155CD8"/>
    <w:rsid w:val="00155FEE"/>
    <w:rsid w:val="001613C1"/>
    <w:rsid w:val="0016331E"/>
    <w:rsid w:val="001658FA"/>
    <w:rsid w:val="00166D58"/>
    <w:rsid w:val="00167465"/>
    <w:rsid w:val="001759EE"/>
    <w:rsid w:val="00177F00"/>
    <w:rsid w:val="00180B9C"/>
    <w:rsid w:val="00186024"/>
    <w:rsid w:val="00194D75"/>
    <w:rsid w:val="001A0417"/>
    <w:rsid w:val="001A0C95"/>
    <w:rsid w:val="001C1356"/>
    <w:rsid w:val="001C2D28"/>
    <w:rsid w:val="001C3971"/>
    <w:rsid w:val="001C3E61"/>
    <w:rsid w:val="001D6B27"/>
    <w:rsid w:val="001D7B39"/>
    <w:rsid w:val="001E000C"/>
    <w:rsid w:val="001E0A3A"/>
    <w:rsid w:val="001E1848"/>
    <w:rsid w:val="001E1AB4"/>
    <w:rsid w:val="001E38E4"/>
    <w:rsid w:val="001E4747"/>
    <w:rsid w:val="001E47C6"/>
    <w:rsid w:val="001E798B"/>
    <w:rsid w:val="001F5D51"/>
    <w:rsid w:val="001F72C3"/>
    <w:rsid w:val="00207CD0"/>
    <w:rsid w:val="002120FC"/>
    <w:rsid w:val="00214866"/>
    <w:rsid w:val="002169AC"/>
    <w:rsid w:val="0022762D"/>
    <w:rsid w:val="00231C60"/>
    <w:rsid w:val="00232972"/>
    <w:rsid w:val="00240978"/>
    <w:rsid w:val="00243876"/>
    <w:rsid w:val="00261B67"/>
    <w:rsid w:val="00264D10"/>
    <w:rsid w:val="00266263"/>
    <w:rsid w:val="00274619"/>
    <w:rsid w:val="0027496E"/>
    <w:rsid w:val="00275993"/>
    <w:rsid w:val="00286470"/>
    <w:rsid w:val="0028762D"/>
    <w:rsid w:val="0029050D"/>
    <w:rsid w:val="00297B9E"/>
    <w:rsid w:val="002A546F"/>
    <w:rsid w:val="002A667E"/>
    <w:rsid w:val="002B01BC"/>
    <w:rsid w:val="002C0D93"/>
    <w:rsid w:val="002C1741"/>
    <w:rsid w:val="002D25DB"/>
    <w:rsid w:val="002D54B4"/>
    <w:rsid w:val="002E3E00"/>
    <w:rsid w:val="002E7D56"/>
    <w:rsid w:val="003002F4"/>
    <w:rsid w:val="00305338"/>
    <w:rsid w:val="00311076"/>
    <w:rsid w:val="00314001"/>
    <w:rsid w:val="00314307"/>
    <w:rsid w:val="00314654"/>
    <w:rsid w:val="003152DB"/>
    <w:rsid w:val="00331E78"/>
    <w:rsid w:val="00336415"/>
    <w:rsid w:val="00342B8A"/>
    <w:rsid w:val="00352694"/>
    <w:rsid w:val="00366DA0"/>
    <w:rsid w:val="00371B02"/>
    <w:rsid w:val="00373807"/>
    <w:rsid w:val="003749C6"/>
    <w:rsid w:val="0038320A"/>
    <w:rsid w:val="003858EA"/>
    <w:rsid w:val="003861EF"/>
    <w:rsid w:val="003919CC"/>
    <w:rsid w:val="00393357"/>
    <w:rsid w:val="00394450"/>
    <w:rsid w:val="003A023C"/>
    <w:rsid w:val="003A591F"/>
    <w:rsid w:val="003A73E4"/>
    <w:rsid w:val="003A771D"/>
    <w:rsid w:val="003A7925"/>
    <w:rsid w:val="003A7A5A"/>
    <w:rsid w:val="003B0901"/>
    <w:rsid w:val="003C0E73"/>
    <w:rsid w:val="003C123E"/>
    <w:rsid w:val="003D2D1C"/>
    <w:rsid w:val="003D57D6"/>
    <w:rsid w:val="003D5D61"/>
    <w:rsid w:val="003E4DB8"/>
    <w:rsid w:val="003E5753"/>
    <w:rsid w:val="003F1B85"/>
    <w:rsid w:val="003F4F8E"/>
    <w:rsid w:val="003F68B4"/>
    <w:rsid w:val="00423E81"/>
    <w:rsid w:val="00430926"/>
    <w:rsid w:val="00433D11"/>
    <w:rsid w:val="0044732D"/>
    <w:rsid w:val="004501D2"/>
    <w:rsid w:val="00450B5B"/>
    <w:rsid w:val="00462D73"/>
    <w:rsid w:val="00463965"/>
    <w:rsid w:val="004655C1"/>
    <w:rsid w:val="00467C38"/>
    <w:rsid w:val="0047010B"/>
    <w:rsid w:val="004727B6"/>
    <w:rsid w:val="00472846"/>
    <w:rsid w:val="00472C79"/>
    <w:rsid w:val="00473F64"/>
    <w:rsid w:val="00473F74"/>
    <w:rsid w:val="00476D92"/>
    <w:rsid w:val="00477538"/>
    <w:rsid w:val="00485E08"/>
    <w:rsid w:val="00490B29"/>
    <w:rsid w:val="004944B7"/>
    <w:rsid w:val="0049607F"/>
    <w:rsid w:val="004A7417"/>
    <w:rsid w:val="004B493D"/>
    <w:rsid w:val="004B70F5"/>
    <w:rsid w:val="004C2256"/>
    <w:rsid w:val="004C67EF"/>
    <w:rsid w:val="004D249C"/>
    <w:rsid w:val="004D52BD"/>
    <w:rsid w:val="004D6506"/>
    <w:rsid w:val="004E0F83"/>
    <w:rsid w:val="004F1885"/>
    <w:rsid w:val="004F4286"/>
    <w:rsid w:val="004F5BE2"/>
    <w:rsid w:val="00500C43"/>
    <w:rsid w:val="00517BCA"/>
    <w:rsid w:val="00525605"/>
    <w:rsid w:val="00525D45"/>
    <w:rsid w:val="00526BD4"/>
    <w:rsid w:val="00535656"/>
    <w:rsid w:val="00537B8B"/>
    <w:rsid w:val="005422E2"/>
    <w:rsid w:val="00546612"/>
    <w:rsid w:val="00555CF0"/>
    <w:rsid w:val="00561BC3"/>
    <w:rsid w:val="00567252"/>
    <w:rsid w:val="00573828"/>
    <w:rsid w:val="00576A63"/>
    <w:rsid w:val="005841FC"/>
    <w:rsid w:val="00586417"/>
    <w:rsid w:val="00590F85"/>
    <w:rsid w:val="00594F30"/>
    <w:rsid w:val="00595B34"/>
    <w:rsid w:val="00595F2A"/>
    <w:rsid w:val="005A16AA"/>
    <w:rsid w:val="005A1DDD"/>
    <w:rsid w:val="005A5F34"/>
    <w:rsid w:val="005B028E"/>
    <w:rsid w:val="005B2AC1"/>
    <w:rsid w:val="005B7263"/>
    <w:rsid w:val="005B7C56"/>
    <w:rsid w:val="005D0147"/>
    <w:rsid w:val="005D4A3A"/>
    <w:rsid w:val="005E2859"/>
    <w:rsid w:val="005E2D92"/>
    <w:rsid w:val="005E6041"/>
    <w:rsid w:val="005F446E"/>
    <w:rsid w:val="0060145F"/>
    <w:rsid w:val="00605C7F"/>
    <w:rsid w:val="00624439"/>
    <w:rsid w:val="0062568B"/>
    <w:rsid w:val="00631B51"/>
    <w:rsid w:val="0063250A"/>
    <w:rsid w:val="00633E3E"/>
    <w:rsid w:val="00635845"/>
    <w:rsid w:val="00636CAC"/>
    <w:rsid w:val="00641C89"/>
    <w:rsid w:val="00651FDA"/>
    <w:rsid w:val="006607A9"/>
    <w:rsid w:val="00677E36"/>
    <w:rsid w:val="006913B1"/>
    <w:rsid w:val="00693E02"/>
    <w:rsid w:val="006963B3"/>
    <w:rsid w:val="006A3328"/>
    <w:rsid w:val="006A4D77"/>
    <w:rsid w:val="006A5E02"/>
    <w:rsid w:val="006B1150"/>
    <w:rsid w:val="006B7C78"/>
    <w:rsid w:val="006C0D9C"/>
    <w:rsid w:val="006C2933"/>
    <w:rsid w:val="006C3308"/>
    <w:rsid w:val="006C3FF7"/>
    <w:rsid w:val="006D03C1"/>
    <w:rsid w:val="006D38A9"/>
    <w:rsid w:val="006E09E9"/>
    <w:rsid w:val="006E209B"/>
    <w:rsid w:val="006F2663"/>
    <w:rsid w:val="006F2E12"/>
    <w:rsid w:val="006F35DA"/>
    <w:rsid w:val="006F38AD"/>
    <w:rsid w:val="00712657"/>
    <w:rsid w:val="007158FE"/>
    <w:rsid w:val="007161DF"/>
    <w:rsid w:val="007165D6"/>
    <w:rsid w:val="0072250F"/>
    <w:rsid w:val="00723E4E"/>
    <w:rsid w:val="00730922"/>
    <w:rsid w:val="007407BE"/>
    <w:rsid w:val="0074270E"/>
    <w:rsid w:val="00742C4B"/>
    <w:rsid w:val="0075090F"/>
    <w:rsid w:val="00751F08"/>
    <w:rsid w:val="00755874"/>
    <w:rsid w:val="007616D4"/>
    <w:rsid w:val="007666CF"/>
    <w:rsid w:val="007672B5"/>
    <w:rsid w:val="007737A5"/>
    <w:rsid w:val="007746DD"/>
    <w:rsid w:val="00777426"/>
    <w:rsid w:val="0078101B"/>
    <w:rsid w:val="00781EF3"/>
    <w:rsid w:val="0078310A"/>
    <w:rsid w:val="0078695C"/>
    <w:rsid w:val="007869ED"/>
    <w:rsid w:val="00790E9A"/>
    <w:rsid w:val="00791199"/>
    <w:rsid w:val="007A0A46"/>
    <w:rsid w:val="007A414B"/>
    <w:rsid w:val="007A4581"/>
    <w:rsid w:val="007B1E43"/>
    <w:rsid w:val="007C4E61"/>
    <w:rsid w:val="007C6728"/>
    <w:rsid w:val="007D13AC"/>
    <w:rsid w:val="007D7AAA"/>
    <w:rsid w:val="007E10B6"/>
    <w:rsid w:val="007E140F"/>
    <w:rsid w:val="007F0B56"/>
    <w:rsid w:val="008008C7"/>
    <w:rsid w:val="00801F86"/>
    <w:rsid w:val="00810136"/>
    <w:rsid w:val="00810865"/>
    <w:rsid w:val="0081285F"/>
    <w:rsid w:val="00812E75"/>
    <w:rsid w:val="00821964"/>
    <w:rsid w:val="00822488"/>
    <w:rsid w:val="00830D89"/>
    <w:rsid w:val="008312C8"/>
    <w:rsid w:val="00831D91"/>
    <w:rsid w:val="008340ED"/>
    <w:rsid w:val="00854F25"/>
    <w:rsid w:val="008571AB"/>
    <w:rsid w:val="00860AF4"/>
    <w:rsid w:val="00863050"/>
    <w:rsid w:val="0086599C"/>
    <w:rsid w:val="008714FB"/>
    <w:rsid w:val="0087183A"/>
    <w:rsid w:val="008747BE"/>
    <w:rsid w:val="00883C38"/>
    <w:rsid w:val="008848F3"/>
    <w:rsid w:val="00884C72"/>
    <w:rsid w:val="008A24E3"/>
    <w:rsid w:val="008A4522"/>
    <w:rsid w:val="008A6F46"/>
    <w:rsid w:val="008B1B02"/>
    <w:rsid w:val="008B2C10"/>
    <w:rsid w:val="008B3DEB"/>
    <w:rsid w:val="008B42FE"/>
    <w:rsid w:val="008B49EA"/>
    <w:rsid w:val="008B51BE"/>
    <w:rsid w:val="008C27C4"/>
    <w:rsid w:val="008C3105"/>
    <w:rsid w:val="008D05EF"/>
    <w:rsid w:val="008D417B"/>
    <w:rsid w:val="008E1FA3"/>
    <w:rsid w:val="008F7EA4"/>
    <w:rsid w:val="0090558F"/>
    <w:rsid w:val="00915F22"/>
    <w:rsid w:val="00924200"/>
    <w:rsid w:val="00926816"/>
    <w:rsid w:val="00940897"/>
    <w:rsid w:val="00943857"/>
    <w:rsid w:val="00950DDE"/>
    <w:rsid w:val="009534C4"/>
    <w:rsid w:val="0095350A"/>
    <w:rsid w:val="00956929"/>
    <w:rsid w:val="00966264"/>
    <w:rsid w:val="0097213C"/>
    <w:rsid w:val="00974593"/>
    <w:rsid w:val="00976608"/>
    <w:rsid w:val="00985318"/>
    <w:rsid w:val="009873FF"/>
    <w:rsid w:val="0099470A"/>
    <w:rsid w:val="0099797E"/>
    <w:rsid w:val="009A2DB3"/>
    <w:rsid w:val="009B566A"/>
    <w:rsid w:val="009B66F9"/>
    <w:rsid w:val="009D1CE4"/>
    <w:rsid w:val="009D63A3"/>
    <w:rsid w:val="009E03EA"/>
    <w:rsid w:val="009E1DAF"/>
    <w:rsid w:val="009E25F0"/>
    <w:rsid w:val="009E436F"/>
    <w:rsid w:val="009E64E9"/>
    <w:rsid w:val="009E7774"/>
    <w:rsid w:val="009F08FB"/>
    <w:rsid w:val="009F2562"/>
    <w:rsid w:val="00A03BDA"/>
    <w:rsid w:val="00A03F5D"/>
    <w:rsid w:val="00A073F4"/>
    <w:rsid w:val="00A10E75"/>
    <w:rsid w:val="00A1415F"/>
    <w:rsid w:val="00A14CA8"/>
    <w:rsid w:val="00A21CD9"/>
    <w:rsid w:val="00A33BD1"/>
    <w:rsid w:val="00A361FB"/>
    <w:rsid w:val="00A416B1"/>
    <w:rsid w:val="00A471A1"/>
    <w:rsid w:val="00A47DB7"/>
    <w:rsid w:val="00A564FE"/>
    <w:rsid w:val="00A57B48"/>
    <w:rsid w:val="00A60E4C"/>
    <w:rsid w:val="00A61C7D"/>
    <w:rsid w:val="00A62B22"/>
    <w:rsid w:val="00A67329"/>
    <w:rsid w:val="00A83938"/>
    <w:rsid w:val="00A83F1C"/>
    <w:rsid w:val="00A92829"/>
    <w:rsid w:val="00AA2DB1"/>
    <w:rsid w:val="00AB01E9"/>
    <w:rsid w:val="00AB14F9"/>
    <w:rsid w:val="00AB45EA"/>
    <w:rsid w:val="00AC105C"/>
    <w:rsid w:val="00AC1649"/>
    <w:rsid w:val="00AC5563"/>
    <w:rsid w:val="00AC65A1"/>
    <w:rsid w:val="00AD0B64"/>
    <w:rsid w:val="00AE127E"/>
    <w:rsid w:val="00AE2BBA"/>
    <w:rsid w:val="00AE5D35"/>
    <w:rsid w:val="00AF0B11"/>
    <w:rsid w:val="00B021A7"/>
    <w:rsid w:val="00B06792"/>
    <w:rsid w:val="00B073FC"/>
    <w:rsid w:val="00B14414"/>
    <w:rsid w:val="00B16D00"/>
    <w:rsid w:val="00B17243"/>
    <w:rsid w:val="00B205F8"/>
    <w:rsid w:val="00B244E6"/>
    <w:rsid w:val="00B2614E"/>
    <w:rsid w:val="00B30FFB"/>
    <w:rsid w:val="00B414E6"/>
    <w:rsid w:val="00B54B8D"/>
    <w:rsid w:val="00B56010"/>
    <w:rsid w:val="00B65D77"/>
    <w:rsid w:val="00B672E1"/>
    <w:rsid w:val="00B7501F"/>
    <w:rsid w:val="00B75094"/>
    <w:rsid w:val="00B76675"/>
    <w:rsid w:val="00B766D8"/>
    <w:rsid w:val="00B773BC"/>
    <w:rsid w:val="00B806D0"/>
    <w:rsid w:val="00B80E02"/>
    <w:rsid w:val="00B82015"/>
    <w:rsid w:val="00B87FCE"/>
    <w:rsid w:val="00BA0048"/>
    <w:rsid w:val="00BA34EC"/>
    <w:rsid w:val="00BA4B73"/>
    <w:rsid w:val="00BA607A"/>
    <w:rsid w:val="00BA79D5"/>
    <w:rsid w:val="00BB591D"/>
    <w:rsid w:val="00BB6303"/>
    <w:rsid w:val="00BB79BD"/>
    <w:rsid w:val="00BC05FE"/>
    <w:rsid w:val="00BC1A8B"/>
    <w:rsid w:val="00BD076B"/>
    <w:rsid w:val="00BD094A"/>
    <w:rsid w:val="00BD2527"/>
    <w:rsid w:val="00BD7EAE"/>
    <w:rsid w:val="00BE05A7"/>
    <w:rsid w:val="00BE1071"/>
    <w:rsid w:val="00BE4AF8"/>
    <w:rsid w:val="00BF1C37"/>
    <w:rsid w:val="00BF5868"/>
    <w:rsid w:val="00BF79E2"/>
    <w:rsid w:val="00C002ED"/>
    <w:rsid w:val="00C021A7"/>
    <w:rsid w:val="00C025DB"/>
    <w:rsid w:val="00C11434"/>
    <w:rsid w:val="00C12660"/>
    <w:rsid w:val="00C135E3"/>
    <w:rsid w:val="00C23DA4"/>
    <w:rsid w:val="00C27933"/>
    <w:rsid w:val="00C30013"/>
    <w:rsid w:val="00C3191D"/>
    <w:rsid w:val="00C37D10"/>
    <w:rsid w:val="00C50BA8"/>
    <w:rsid w:val="00C528EF"/>
    <w:rsid w:val="00C710DF"/>
    <w:rsid w:val="00C7502A"/>
    <w:rsid w:val="00C7615D"/>
    <w:rsid w:val="00C84F17"/>
    <w:rsid w:val="00C86468"/>
    <w:rsid w:val="00C873E1"/>
    <w:rsid w:val="00C878D6"/>
    <w:rsid w:val="00C90587"/>
    <w:rsid w:val="00C91155"/>
    <w:rsid w:val="00C95231"/>
    <w:rsid w:val="00C9757F"/>
    <w:rsid w:val="00CA0C5C"/>
    <w:rsid w:val="00CA3186"/>
    <w:rsid w:val="00CB03A6"/>
    <w:rsid w:val="00CB102A"/>
    <w:rsid w:val="00CB1ABA"/>
    <w:rsid w:val="00CB1B12"/>
    <w:rsid w:val="00CB40B7"/>
    <w:rsid w:val="00CB4C52"/>
    <w:rsid w:val="00CB4DE4"/>
    <w:rsid w:val="00CB576B"/>
    <w:rsid w:val="00CC5655"/>
    <w:rsid w:val="00CC5DAF"/>
    <w:rsid w:val="00CD03BB"/>
    <w:rsid w:val="00CD1FCB"/>
    <w:rsid w:val="00CD5C69"/>
    <w:rsid w:val="00CE1EA5"/>
    <w:rsid w:val="00CE4130"/>
    <w:rsid w:val="00CE5A3E"/>
    <w:rsid w:val="00CF4CBF"/>
    <w:rsid w:val="00D02CB4"/>
    <w:rsid w:val="00D042A2"/>
    <w:rsid w:val="00D054DE"/>
    <w:rsid w:val="00D05B46"/>
    <w:rsid w:val="00D1232E"/>
    <w:rsid w:val="00D172E3"/>
    <w:rsid w:val="00D21309"/>
    <w:rsid w:val="00D22416"/>
    <w:rsid w:val="00D26F6E"/>
    <w:rsid w:val="00D31320"/>
    <w:rsid w:val="00D35B93"/>
    <w:rsid w:val="00D40BDC"/>
    <w:rsid w:val="00D42168"/>
    <w:rsid w:val="00D42475"/>
    <w:rsid w:val="00D44D17"/>
    <w:rsid w:val="00D53422"/>
    <w:rsid w:val="00D56126"/>
    <w:rsid w:val="00D6411E"/>
    <w:rsid w:val="00D77C49"/>
    <w:rsid w:val="00D839C0"/>
    <w:rsid w:val="00D85EEA"/>
    <w:rsid w:val="00D86BD5"/>
    <w:rsid w:val="00D908E6"/>
    <w:rsid w:val="00D92EE9"/>
    <w:rsid w:val="00D94886"/>
    <w:rsid w:val="00D97CE8"/>
    <w:rsid w:val="00DA0D49"/>
    <w:rsid w:val="00DB2F7A"/>
    <w:rsid w:val="00DB69B9"/>
    <w:rsid w:val="00DC0A0D"/>
    <w:rsid w:val="00DC4AB8"/>
    <w:rsid w:val="00DE0AA7"/>
    <w:rsid w:val="00DE7180"/>
    <w:rsid w:val="00DF4287"/>
    <w:rsid w:val="00DF7087"/>
    <w:rsid w:val="00E057A7"/>
    <w:rsid w:val="00E120BC"/>
    <w:rsid w:val="00E2439C"/>
    <w:rsid w:val="00E2489F"/>
    <w:rsid w:val="00E31509"/>
    <w:rsid w:val="00E367A9"/>
    <w:rsid w:val="00E373DD"/>
    <w:rsid w:val="00E377DD"/>
    <w:rsid w:val="00E45E2A"/>
    <w:rsid w:val="00E50B49"/>
    <w:rsid w:val="00E50C9F"/>
    <w:rsid w:val="00E539FD"/>
    <w:rsid w:val="00E53EA9"/>
    <w:rsid w:val="00E60151"/>
    <w:rsid w:val="00E61D86"/>
    <w:rsid w:val="00E71471"/>
    <w:rsid w:val="00E74986"/>
    <w:rsid w:val="00E76B82"/>
    <w:rsid w:val="00E85E15"/>
    <w:rsid w:val="00E86819"/>
    <w:rsid w:val="00EA2A14"/>
    <w:rsid w:val="00EA5706"/>
    <w:rsid w:val="00EA5B87"/>
    <w:rsid w:val="00EB071E"/>
    <w:rsid w:val="00EB3C7C"/>
    <w:rsid w:val="00EC273B"/>
    <w:rsid w:val="00EC5A99"/>
    <w:rsid w:val="00EC6635"/>
    <w:rsid w:val="00EC755C"/>
    <w:rsid w:val="00ED5D32"/>
    <w:rsid w:val="00EE1986"/>
    <w:rsid w:val="00EE22BB"/>
    <w:rsid w:val="00EE4637"/>
    <w:rsid w:val="00EE6027"/>
    <w:rsid w:val="00EE7CDE"/>
    <w:rsid w:val="00EF1574"/>
    <w:rsid w:val="00EF27C1"/>
    <w:rsid w:val="00F0296B"/>
    <w:rsid w:val="00F1648D"/>
    <w:rsid w:val="00F1675A"/>
    <w:rsid w:val="00F16A07"/>
    <w:rsid w:val="00F35ADF"/>
    <w:rsid w:val="00F374B1"/>
    <w:rsid w:val="00F41CBF"/>
    <w:rsid w:val="00F42208"/>
    <w:rsid w:val="00F45D82"/>
    <w:rsid w:val="00F47E16"/>
    <w:rsid w:val="00F52F09"/>
    <w:rsid w:val="00F64892"/>
    <w:rsid w:val="00F657FC"/>
    <w:rsid w:val="00F83DBF"/>
    <w:rsid w:val="00F9197E"/>
    <w:rsid w:val="00F93D85"/>
    <w:rsid w:val="00F949BC"/>
    <w:rsid w:val="00FA4341"/>
    <w:rsid w:val="00FA5531"/>
    <w:rsid w:val="00FB0D4F"/>
    <w:rsid w:val="00FB5B51"/>
    <w:rsid w:val="00FB7C3C"/>
    <w:rsid w:val="00FC278D"/>
    <w:rsid w:val="00FC4EA7"/>
    <w:rsid w:val="00FC53F4"/>
    <w:rsid w:val="00FC5803"/>
    <w:rsid w:val="00FC6084"/>
    <w:rsid w:val="00FC7952"/>
    <w:rsid w:val="00FD130B"/>
    <w:rsid w:val="00FD61B8"/>
    <w:rsid w:val="00FD750D"/>
    <w:rsid w:val="00FF1EA0"/>
    <w:rsid w:val="00FF3F51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15674"/>
  <w15:docId w15:val="{C10865D2-71F2-4732-909C-C05A3C14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882"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SBNormal">
    <w:name w:val="IASB Normal"/>
    <w:pPr>
      <w:tabs>
        <w:tab w:val="left" w:pos="4253"/>
      </w:tabs>
      <w:spacing w:before="100" w:after="100" w:line="240" w:lineRule="auto"/>
      <w:jc w:val="both"/>
    </w:pPr>
    <w:rPr>
      <w:sz w:val="19"/>
      <w:szCs w:val="20"/>
      <w:lang w:eastAsia="en-US"/>
    </w:rPr>
  </w:style>
  <w:style w:type="paragraph" w:customStyle="1" w:styleId="IASBNormalArial">
    <w:name w:val="IASB Normal Arial"/>
    <w:pPr>
      <w:tabs>
        <w:tab w:val="left" w:pos="4253"/>
      </w:tabs>
      <w:spacing w:before="100" w:after="100" w:line="240" w:lineRule="auto"/>
      <w:jc w:val="both"/>
    </w:pPr>
    <w:rPr>
      <w:rFonts w:ascii="Arial" w:hAnsi="Arial"/>
      <w:sz w:val="19"/>
      <w:szCs w:val="20"/>
      <w:lang w:eastAsia="en-US"/>
    </w:rPr>
  </w:style>
  <w:style w:type="paragraph" w:customStyle="1" w:styleId="IASBNormalnpara">
    <w:name w:val="IASB Normal npara"/>
    <w:basedOn w:val="IASBNormal"/>
    <w:pPr>
      <w:tabs>
        <w:tab w:val="clear" w:pos="4253"/>
      </w:tabs>
      <w:spacing w:after="0"/>
      <w:ind w:left="782" w:hanging="782"/>
    </w:pPr>
  </w:style>
  <w:style w:type="paragraph" w:customStyle="1" w:styleId="IASBSectionTitle1Ind">
    <w:name w:val="IASB Section Title 1 Ind"/>
    <w:basedOn w:val="Normal"/>
    <w:pPr>
      <w:keepNext/>
      <w:keepLines/>
      <w:pBdr>
        <w:bottom w:val="single" w:sz="4" w:space="0" w:color="auto"/>
      </w:pBdr>
      <w:spacing w:before="400" w:after="200"/>
      <w:ind w:left="782"/>
    </w:pPr>
    <w:rPr>
      <w:rFonts w:ascii="Arial" w:hAnsi="Arial" w:cs="Arial"/>
      <w:b/>
      <w:sz w:val="26"/>
      <w:szCs w:val="20"/>
    </w:rPr>
  </w:style>
  <w:style w:type="paragraph" w:customStyle="1" w:styleId="IASBSectionTitle1NonInd">
    <w:name w:val="IASB Section Title 1 NonInd"/>
    <w:basedOn w:val="Normal"/>
    <w:pPr>
      <w:keepNext/>
      <w:keepLines/>
      <w:pBdr>
        <w:bottom w:val="single" w:sz="4" w:space="0" w:color="auto"/>
      </w:pBdr>
      <w:spacing w:before="400" w:after="200"/>
    </w:pPr>
    <w:rPr>
      <w:rFonts w:ascii="Arial" w:hAnsi="Arial" w:cs="Arial"/>
      <w:b/>
      <w:sz w:val="26"/>
      <w:szCs w:val="20"/>
    </w:rPr>
  </w:style>
  <w:style w:type="paragraph" w:customStyle="1" w:styleId="IASBSectionTitle2NonInd">
    <w:name w:val="IASB Section Title 2 NonInd"/>
    <w:basedOn w:val="Normal"/>
    <w:pPr>
      <w:keepNext/>
      <w:keepLines/>
      <w:spacing w:before="300" w:after="200"/>
    </w:pPr>
    <w:rPr>
      <w:rFonts w:ascii="Arial" w:hAnsi="Arial" w:cs="Arial"/>
      <w:b/>
      <w:sz w:val="26"/>
      <w:szCs w:val="20"/>
    </w:rPr>
  </w:style>
  <w:style w:type="paragraph" w:customStyle="1" w:styleId="IASBSectionTitle2Ind">
    <w:name w:val="IASB Section Title 2 Ind"/>
    <w:basedOn w:val="IASBSectionTitle2NonInd"/>
    <w:pPr>
      <w:spacing w:before="240"/>
      <w:ind w:left="782"/>
    </w:pPr>
  </w:style>
  <w:style w:type="paragraph" w:customStyle="1" w:styleId="IASBSectionTitle3NonInd">
    <w:name w:val="IASB Section Title 3 NonInd"/>
    <w:basedOn w:val="Normal"/>
    <w:pPr>
      <w:keepNext/>
      <w:keepLines/>
      <w:spacing w:before="300" w:after="200"/>
    </w:pPr>
    <w:rPr>
      <w:rFonts w:ascii="Arial" w:hAnsi="Arial" w:cs="Arial"/>
      <w:b/>
      <w:sz w:val="22"/>
      <w:szCs w:val="20"/>
    </w:rPr>
  </w:style>
  <w:style w:type="paragraph" w:customStyle="1" w:styleId="IASBSectionTitle3Ind">
    <w:name w:val="IASB Section Title 3 Ind"/>
    <w:basedOn w:val="IASBSectionTitle3NonInd"/>
    <w:pPr>
      <w:spacing w:before="240"/>
      <w:ind w:left="782"/>
    </w:pPr>
  </w:style>
  <w:style w:type="paragraph" w:customStyle="1" w:styleId="IASBSectionTitle4NonInd">
    <w:name w:val="IASB Section Title 4 NonInd"/>
    <w:basedOn w:val="Normal"/>
    <w:pPr>
      <w:keepNext/>
      <w:keepLines/>
      <w:spacing w:before="300" w:after="200"/>
    </w:pPr>
    <w:rPr>
      <w:rFonts w:ascii="Arial" w:hAnsi="Arial" w:cs="Arial"/>
      <w:i/>
      <w:sz w:val="22"/>
      <w:szCs w:val="20"/>
    </w:rPr>
  </w:style>
  <w:style w:type="paragraph" w:customStyle="1" w:styleId="IASBSectionTitle4Ind">
    <w:name w:val="IASB Section Title 4 Ind"/>
    <w:basedOn w:val="IASBSectionTitle4NonInd"/>
    <w:pPr>
      <w:ind w:left="782"/>
    </w:pPr>
  </w:style>
  <w:style w:type="paragraph" w:customStyle="1" w:styleId="IASBSectionTitle5NonInd">
    <w:name w:val="IASB Section Title 5 NonInd"/>
    <w:basedOn w:val="Normal"/>
    <w:rsid w:val="00E20281"/>
    <w:pPr>
      <w:keepNext/>
      <w:keepLines/>
      <w:spacing w:before="300" w:after="200"/>
    </w:pPr>
    <w:rPr>
      <w:rFonts w:ascii="Arial" w:hAnsi="Arial" w:cs="Arial"/>
      <w:b/>
      <w:sz w:val="19"/>
      <w:szCs w:val="20"/>
    </w:rPr>
  </w:style>
  <w:style w:type="paragraph" w:customStyle="1" w:styleId="IASBSectionTitle5Ind">
    <w:name w:val="IASB Section Title 5 Ind"/>
    <w:basedOn w:val="IASBSectionTitle5NonInd"/>
    <w:rsid w:val="00E20281"/>
    <w:pPr>
      <w:ind w:left="782"/>
    </w:pPr>
  </w:style>
  <w:style w:type="paragraph" w:customStyle="1" w:styleId="IASBSectionTitle6NonInd">
    <w:name w:val="IASB Section Title 6 NonInd"/>
    <w:basedOn w:val="IASBSectionTitle5NonInd"/>
    <w:rPr>
      <w:b w:val="0"/>
      <w:i/>
    </w:rPr>
  </w:style>
  <w:style w:type="paragraph" w:customStyle="1" w:styleId="IASBSectionTitle6Ind">
    <w:name w:val="IASB Section Title 6 Ind"/>
    <w:basedOn w:val="IASBSectionTitle6NonInd"/>
    <w:pPr>
      <w:ind w:left="782"/>
    </w:pPr>
  </w:style>
  <w:style w:type="paragraph" w:customStyle="1" w:styleId="IASBTitle">
    <w:name w:val="IASB Title"/>
    <w:pPr>
      <w:keepNext/>
      <w:keepLines/>
      <w:spacing w:before="300" w:after="400" w:line="240" w:lineRule="auto"/>
    </w:pPr>
    <w:rPr>
      <w:rFonts w:cs="Arial"/>
      <w:sz w:val="36"/>
      <w:szCs w:val="20"/>
      <w:lang w:eastAsia="en-US"/>
    </w:rPr>
  </w:style>
  <w:style w:type="paragraph" w:customStyle="1" w:styleId="IASBNormalnparaL1">
    <w:name w:val="IASB Normal nparaL1"/>
    <w:basedOn w:val="IASBNormalnpara"/>
    <w:pPr>
      <w:ind w:left="1564"/>
    </w:pPr>
  </w:style>
  <w:style w:type="paragraph" w:customStyle="1" w:styleId="IASBNormalArialnparaL1">
    <w:name w:val="IASB Normal Arial nparaL1"/>
    <w:basedOn w:val="IASBNormalnpara"/>
    <w:pPr>
      <w:ind w:left="1564"/>
    </w:pPr>
    <w:rPr>
      <w:rFonts w:ascii="Arial" w:hAnsi="Arial"/>
    </w:rPr>
  </w:style>
  <w:style w:type="paragraph" w:customStyle="1" w:styleId="IASBNormalnparaP">
    <w:name w:val="IASB Normal nparaP"/>
    <w:basedOn w:val="IASBNormal"/>
    <w:pPr>
      <w:ind w:left="782"/>
    </w:pPr>
  </w:style>
  <w:style w:type="paragraph" w:customStyle="1" w:styleId="IASBIdentifier">
    <w:name w:val="IASB Identifier"/>
    <w:basedOn w:val="IASBTitle"/>
    <w:pPr>
      <w:spacing w:after="200"/>
    </w:pPr>
    <w:rPr>
      <w:rFonts w:ascii="Arial" w:hAnsi="Arial"/>
      <w:b/>
      <w:sz w:val="23"/>
    </w:rPr>
  </w:style>
  <w:style w:type="paragraph" w:customStyle="1" w:styleId="IASBTOCPrimaryPrimary">
    <w:name w:val="IASB TOC Primary Primary"/>
    <w:basedOn w:val="Normal"/>
    <w:pPr>
      <w:tabs>
        <w:tab w:val="right" w:pos="8647"/>
      </w:tabs>
      <w:spacing w:before="100" w:after="100"/>
    </w:pPr>
    <w:rPr>
      <w:rFonts w:ascii="Arial" w:hAnsi="Arial" w:cs="Arial"/>
      <w:b/>
      <w:caps/>
      <w:sz w:val="20"/>
      <w:szCs w:val="20"/>
    </w:rPr>
  </w:style>
  <w:style w:type="paragraph" w:customStyle="1" w:styleId="IASBTOCPrimaryMixedCase">
    <w:name w:val="IASB TOC Primary Mixed Case"/>
    <w:basedOn w:val="Normal"/>
    <w:pPr>
      <w:tabs>
        <w:tab w:val="right" w:pos="8647"/>
      </w:tabs>
      <w:spacing w:before="100" w:after="100"/>
    </w:pPr>
    <w:rPr>
      <w:rFonts w:ascii="Arial" w:hAnsi="Arial" w:cs="Arial"/>
      <w:b/>
      <w:sz w:val="20"/>
      <w:szCs w:val="20"/>
    </w:rPr>
  </w:style>
  <w:style w:type="paragraph" w:customStyle="1" w:styleId="IASBTOCPrimary">
    <w:name w:val="IASB TOC Primary"/>
    <w:basedOn w:val="Normal"/>
    <w:pPr>
      <w:tabs>
        <w:tab w:val="right" w:pos="8647"/>
      </w:tabs>
      <w:spacing w:before="100" w:after="100"/>
    </w:pPr>
    <w:rPr>
      <w:rFonts w:ascii="Arial" w:hAnsi="Arial" w:cs="Arial"/>
      <w:b/>
      <w:caps/>
      <w:sz w:val="18"/>
      <w:szCs w:val="20"/>
    </w:rPr>
  </w:style>
  <w:style w:type="paragraph" w:customStyle="1" w:styleId="IASBTOCParagraph">
    <w:name w:val="IASB TOC Paragraph"/>
    <w:basedOn w:val="Normal"/>
    <w:pPr>
      <w:spacing w:before="30" w:after="30"/>
    </w:pPr>
    <w:rPr>
      <w:rFonts w:ascii="Arial" w:hAnsi="Arial" w:cs="Arial"/>
      <w:i/>
      <w:sz w:val="18"/>
      <w:szCs w:val="20"/>
    </w:rPr>
  </w:style>
  <w:style w:type="paragraph" w:customStyle="1" w:styleId="IASBTOCSecondary">
    <w:name w:val="IASB TOC Secondary"/>
    <w:basedOn w:val="Normal"/>
    <w:pPr>
      <w:tabs>
        <w:tab w:val="right" w:pos="8647"/>
      </w:tabs>
      <w:spacing w:before="30" w:after="30"/>
    </w:pPr>
    <w:rPr>
      <w:rFonts w:ascii="Arial" w:hAnsi="Arial" w:cs="Arial"/>
      <w:b/>
      <w:sz w:val="18"/>
      <w:szCs w:val="20"/>
    </w:rPr>
  </w:style>
  <w:style w:type="paragraph" w:customStyle="1" w:styleId="IASBTOCTertiary">
    <w:name w:val="IASB TOC Tertiary"/>
    <w:basedOn w:val="Normal"/>
    <w:pPr>
      <w:tabs>
        <w:tab w:val="right" w:pos="8647"/>
      </w:tabs>
      <w:spacing w:before="30" w:after="30"/>
      <w:ind w:left="390"/>
    </w:pPr>
    <w:rPr>
      <w:rFonts w:ascii="Arial" w:hAnsi="Arial" w:cs="Arial"/>
      <w:sz w:val="18"/>
      <w:szCs w:val="20"/>
    </w:rPr>
  </w:style>
  <w:style w:type="paragraph" w:customStyle="1" w:styleId="IASBTOCExternal">
    <w:name w:val="IASB TOC External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0" w:after="30"/>
    </w:pPr>
    <w:rPr>
      <w:rFonts w:ascii="Arial" w:hAnsi="Arial" w:cs="Arial"/>
      <w:b/>
      <w:sz w:val="18"/>
      <w:szCs w:val="20"/>
    </w:rPr>
  </w:style>
  <w:style w:type="paragraph" w:customStyle="1" w:styleId="IASBRubric">
    <w:name w:val="IASB Rubric"/>
    <w:basedOn w:val="IASBNormal"/>
    <w:pPr>
      <w:pBdr>
        <w:top w:val="single" w:sz="2" w:space="8" w:color="auto"/>
        <w:left w:val="single" w:sz="2" w:space="5" w:color="auto"/>
        <w:bottom w:val="single" w:sz="2" w:space="5" w:color="auto"/>
        <w:right w:val="single" w:sz="2" w:space="5" w:color="auto"/>
      </w:pBdr>
    </w:pPr>
  </w:style>
  <w:style w:type="paragraph" w:customStyle="1" w:styleId="IASBNote">
    <w:name w:val="IASB Note"/>
    <w:basedOn w:val="IASBNormal"/>
    <w:rsid w:val="00E9784B"/>
  </w:style>
  <w:style w:type="paragraph" w:customStyle="1" w:styleId="IASBBlockquote">
    <w:name w:val="IASB Blockquote"/>
    <w:basedOn w:val="IASBNormal"/>
    <w:pPr>
      <w:ind w:left="1565"/>
    </w:pPr>
    <w:rPr>
      <w:sz w:val="16"/>
    </w:rPr>
  </w:style>
  <w:style w:type="character" w:customStyle="1" w:styleId="IASBEduinsert">
    <w:name w:val="IASB Edu insert"/>
    <w:qFormat/>
  </w:style>
  <w:style w:type="character" w:styleId="FootnoteReference">
    <w:name w:val="footnote reference"/>
    <w:basedOn w:val="DefaultParagraphFont"/>
    <w:uiPriority w:val="99"/>
    <w:semiHidden/>
    <w:unhideWhenUsed/>
    <w:rPr>
      <w:rFonts w:cs="Times New Roman"/>
      <w:vertAlign w:val="superscript"/>
    </w:rPr>
  </w:style>
  <w:style w:type="paragraph" w:styleId="FootnoteText">
    <w:name w:val="footnote text"/>
    <w:basedOn w:val="IASBSectionTitle2Ind"/>
    <w:next w:val="IASBBlockquote"/>
    <w:uiPriority w:val="99"/>
    <w:semiHidden/>
    <w:rsid w:val="00B35882"/>
    <w:pPr>
      <w:keepNext w:val="0"/>
      <w:spacing w:before="0" w:after="0"/>
      <w:ind w:hanging="782"/>
    </w:pPr>
    <w:rPr>
      <w:rFonts w:ascii="Times New Roman" w:hAnsi="Times New Roman" w:cs="Times New Roman"/>
      <w:b w:val="0"/>
      <w:sz w:val="16"/>
    </w:rPr>
  </w:style>
  <w:style w:type="paragraph" w:customStyle="1" w:styleId="edufootnotetext">
    <w:name w:val="edu footnote text"/>
    <w:basedOn w:val="IASBSectionTitle2Ind"/>
    <w:next w:val="IASBBlockquote"/>
    <w:link w:val="FootnoteTextChar"/>
    <w:uiPriority w:val="99"/>
    <w:semiHidden/>
    <w:rsid w:val="00713675"/>
    <w:pPr>
      <w:keepNext w:val="0"/>
      <w:keepLines w:val="0"/>
      <w:spacing w:before="0" w:after="0"/>
      <w:ind w:hanging="782"/>
    </w:pPr>
    <w:rPr>
      <w:sz w:val="16"/>
    </w:rPr>
  </w:style>
  <w:style w:type="character" w:customStyle="1" w:styleId="FootnoteTextChar">
    <w:name w:val="Footnote Text Char"/>
    <w:basedOn w:val="DefaultParagraphFont"/>
    <w:link w:val="edufootnotetext"/>
    <w:uiPriority w:val="99"/>
    <w:semiHidden/>
    <w:rPr>
      <w:sz w:val="20"/>
      <w:szCs w:val="20"/>
      <w:lang w:eastAsia="en-US"/>
    </w:rPr>
  </w:style>
  <w:style w:type="paragraph" w:customStyle="1" w:styleId="IASBNormalL1">
    <w:name w:val="IASB Normal L1"/>
    <w:basedOn w:val="IASBNormalnpara"/>
  </w:style>
  <w:style w:type="paragraph" w:customStyle="1" w:styleId="IASBNormalArialL1">
    <w:name w:val="IASB Normal Arial L1"/>
    <w:basedOn w:val="IASBNormalnpara"/>
    <w:rPr>
      <w:rFonts w:ascii="Arial" w:hAnsi="Arial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eastAsia="en-US"/>
    </w:rPr>
  </w:style>
  <w:style w:type="paragraph" w:customStyle="1" w:styleId="IASBRubricL1">
    <w:name w:val="IASB RubricL1"/>
    <w:basedOn w:val="IASBRubric"/>
    <w:pPr>
      <w:ind w:left="782" w:hanging="782"/>
      <w:jc w:val="left"/>
    </w:pPr>
    <w:rPr>
      <w:lang w:eastAsia="en-GB"/>
    </w:rPr>
  </w:style>
  <w:style w:type="paragraph" w:customStyle="1" w:styleId="IASBRubricL2">
    <w:name w:val="IASB RubricL2"/>
    <w:basedOn w:val="IASBRubricL1"/>
    <w:pPr>
      <w:tabs>
        <w:tab w:val="left" w:pos="782"/>
      </w:tabs>
      <w:ind w:left="1565" w:hanging="1565"/>
    </w:pPr>
  </w:style>
  <w:style w:type="paragraph" w:customStyle="1" w:styleId="IASBRubricL3">
    <w:name w:val="IASB RubricL3"/>
    <w:basedOn w:val="IASBRubricL2"/>
    <w:pPr>
      <w:tabs>
        <w:tab w:val="clear" w:pos="782"/>
        <w:tab w:val="left" w:pos="1565"/>
      </w:tabs>
      <w:ind w:left="2347" w:hanging="2347"/>
    </w:pPr>
  </w:style>
  <w:style w:type="paragraph" w:customStyle="1" w:styleId="IASBNormalnparaL2">
    <w:name w:val="IASB Normal nparaL2"/>
    <w:basedOn w:val="IASBNormalnparaL1"/>
    <w:pPr>
      <w:ind w:left="2347"/>
    </w:pPr>
  </w:style>
  <w:style w:type="paragraph" w:customStyle="1" w:styleId="IASBNormalnparaL3">
    <w:name w:val="IASB Normal nparaL3"/>
    <w:basedOn w:val="IASBNormalnparaL2"/>
    <w:pPr>
      <w:ind w:left="3129"/>
    </w:pPr>
  </w:style>
  <w:style w:type="paragraph" w:customStyle="1" w:styleId="IASBNormalnparaL4">
    <w:name w:val="IASB Normal nparaL4"/>
    <w:basedOn w:val="IASBNormalnparaL3"/>
    <w:pPr>
      <w:ind w:left="3912"/>
    </w:pPr>
  </w:style>
  <w:style w:type="paragraph" w:customStyle="1" w:styleId="IASBNormalnparaL5">
    <w:name w:val="IASB Normal nparaL5"/>
    <w:basedOn w:val="IASBNormalnparaL4"/>
    <w:pPr>
      <w:ind w:left="4694"/>
    </w:pPr>
  </w:style>
  <w:style w:type="paragraph" w:customStyle="1" w:styleId="IASBNormalArialnparaL2">
    <w:name w:val="IASB Normal Arial nparaL2"/>
    <w:basedOn w:val="IASBNormalnparaL1"/>
    <w:pPr>
      <w:ind w:left="2347"/>
    </w:pPr>
    <w:rPr>
      <w:rFonts w:ascii="Arial" w:hAnsi="Arial"/>
    </w:rPr>
  </w:style>
  <w:style w:type="paragraph" w:customStyle="1" w:styleId="IASBNormalArialnparaL3">
    <w:name w:val="IASB Normal Arial nparaL3"/>
    <w:basedOn w:val="IASBNormalnparaL2"/>
    <w:pPr>
      <w:ind w:left="3129"/>
    </w:pPr>
    <w:rPr>
      <w:rFonts w:ascii="Arial" w:hAnsi="Arial"/>
    </w:rPr>
  </w:style>
  <w:style w:type="paragraph" w:customStyle="1" w:styleId="IASBNormalArialnparaL4">
    <w:name w:val="IASB Normal Arial nparaL4"/>
    <w:basedOn w:val="IASBNormalnparaL3"/>
    <w:pPr>
      <w:ind w:left="3912"/>
    </w:pPr>
    <w:rPr>
      <w:rFonts w:ascii="Arial" w:hAnsi="Arial"/>
    </w:rPr>
  </w:style>
  <w:style w:type="paragraph" w:customStyle="1" w:styleId="IASBNormalArialnparaL5">
    <w:name w:val="IASB Normal Arial nparaL5"/>
    <w:basedOn w:val="IASBNormalnparaL4"/>
    <w:pPr>
      <w:ind w:left="4694"/>
    </w:pPr>
    <w:rPr>
      <w:rFonts w:ascii="Arial" w:hAnsi="Arial"/>
    </w:rPr>
  </w:style>
  <w:style w:type="paragraph" w:customStyle="1" w:styleId="IASBNormalnparaL1P">
    <w:name w:val="IASB Normal nparaL1P"/>
    <w:basedOn w:val="IASBNormalnparaL2"/>
    <w:pPr>
      <w:ind w:left="1565" w:firstLine="0"/>
    </w:pPr>
  </w:style>
  <w:style w:type="paragraph" w:customStyle="1" w:styleId="IASBNormalnparaL2P">
    <w:name w:val="IASB Normal nparaL2P"/>
    <w:basedOn w:val="IASBNormalnparaL1P"/>
    <w:pPr>
      <w:ind w:left="2347"/>
    </w:pPr>
  </w:style>
  <w:style w:type="paragraph" w:customStyle="1" w:styleId="IASBNormalnparaL3P">
    <w:name w:val="IASB Normal nparaL3P"/>
    <w:basedOn w:val="IASBNormalnparaL2P"/>
    <w:pPr>
      <w:ind w:left="3130"/>
    </w:pPr>
  </w:style>
  <w:style w:type="paragraph" w:customStyle="1" w:styleId="IASBNormalnparaL4P">
    <w:name w:val="IASB Normal nparaL4P"/>
    <w:basedOn w:val="IASBNormalnparaL3P"/>
    <w:pPr>
      <w:ind w:left="3912"/>
    </w:pPr>
  </w:style>
  <w:style w:type="paragraph" w:customStyle="1" w:styleId="IASBNormalnparaL5P">
    <w:name w:val="IASB Normal nparaL5P"/>
    <w:basedOn w:val="IASBNormalnparaL4P"/>
    <w:pPr>
      <w:ind w:left="4751"/>
    </w:pPr>
  </w:style>
  <w:style w:type="paragraph" w:customStyle="1" w:styleId="IASBBlockquoteL1">
    <w:name w:val="IASB BlockquoteL1"/>
    <w:basedOn w:val="IASBBlockquote"/>
    <w:pPr>
      <w:ind w:left="2347" w:hanging="782"/>
    </w:pPr>
  </w:style>
  <w:style w:type="paragraph" w:customStyle="1" w:styleId="IASBBlockquoteL2">
    <w:name w:val="IASB BlockquoteL2"/>
    <w:basedOn w:val="IASBBlockquoteL1"/>
    <w:pPr>
      <w:ind w:left="3129"/>
    </w:pPr>
  </w:style>
  <w:style w:type="paragraph" w:customStyle="1" w:styleId="IASBNormalL2">
    <w:name w:val="IASB Normal L2"/>
    <w:basedOn w:val="IASBNormalL1"/>
    <w:pPr>
      <w:ind w:left="1564"/>
    </w:pPr>
  </w:style>
  <w:style w:type="paragraph" w:customStyle="1" w:styleId="IASBNormalArialL2">
    <w:name w:val="IASB Normal Arial L2"/>
    <w:basedOn w:val="IASBNormalL1"/>
    <w:pPr>
      <w:ind w:left="1564"/>
    </w:pPr>
    <w:rPr>
      <w:rFonts w:ascii="Arial" w:hAnsi="Arial"/>
    </w:rPr>
  </w:style>
  <w:style w:type="paragraph" w:customStyle="1" w:styleId="IASBTOCQuartery">
    <w:name w:val="IASB TOC Quartery"/>
    <w:basedOn w:val="IASBTOCTertiary"/>
    <w:pPr>
      <w:ind w:left="851"/>
    </w:pPr>
  </w:style>
  <w:style w:type="paragraph" w:customStyle="1" w:styleId="IASBNoteTitle">
    <w:name w:val="IASB Note Title"/>
    <w:basedOn w:val="IASBTOCPrimary"/>
    <w:pPr>
      <w:jc w:val="center"/>
    </w:pPr>
    <w:rPr>
      <w:b w:val="0"/>
      <w:caps w:val="0"/>
      <w:sz w:val="24"/>
    </w:rPr>
  </w:style>
  <w:style w:type="paragraph" w:customStyle="1" w:styleId="IASBNormalL1P">
    <w:name w:val="IASB Normal L1P"/>
    <w:basedOn w:val="IASBNormalL1"/>
    <w:qFormat/>
    <w:pPr>
      <w:ind w:firstLine="0"/>
    </w:pPr>
  </w:style>
  <w:style w:type="paragraph" w:customStyle="1" w:styleId="IASBNormalL2P">
    <w:name w:val="IASB Normal L2P"/>
    <w:basedOn w:val="IASBNormalL1P"/>
    <w:qFormat/>
    <w:pPr>
      <w:ind w:left="1565"/>
    </w:pPr>
  </w:style>
  <w:style w:type="paragraph" w:customStyle="1" w:styleId="IASBNormalnparaC">
    <w:name w:val="IASB Normal nparaC"/>
    <w:basedOn w:val="IASBNormalnpara"/>
    <w:qFormat/>
    <w:pPr>
      <w:spacing w:before="0"/>
    </w:pPr>
  </w:style>
  <w:style w:type="paragraph" w:customStyle="1" w:styleId="IASBEdupara">
    <w:name w:val="IASB Edu para"/>
    <w:basedOn w:val="IASBNormal"/>
    <w:qFormat/>
  </w:style>
  <w:style w:type="paragraph" w:customStyle="1" w:styleId="IASBTableBoldTNR">
    <w:name w:val="IASB Table Bold TNR"/>
    <w:basedOn w:val="Normal"/>
    <w:qFormat/>
    <w:pPr>
      <w:spacing w:before="120"/>
    </w:pPr>
    <w:rPr>
      <w:b/>
      <w:sz w:val="19"/>
      <w:szCs w:val="20"/>
      <w:lang w:eastAsia="en-GB"/>
    </w:rPr>
  </w:style>
  <w:style w:type="paragraph" w:customStyle="1" w:styleId="IASBTableHeaderTNR">
    <w:name w:val="IASB Table Header TNR"/>
    <w:basedOn w:val="Normal"/>
    <w:qFormat/>
    <w:pPr>
      <w:keepNext/>
      <w:spacing w:before="120" w:after="200" w:line="276" w:lineRule="auto"/>
    </w:pPr>
    <w:rPr>
      <w:sz w:val="19"/>
      <w:szCs w:val="20"/>
      <w:lang w:eastAsia="en-GB"/>
    </w:rPr>
  </w:style>
  <w:style w:type="paragraph" w:customStyle="1" w:styleId="IASBTableTNR">
    <w:name w:val="IASB Table TNR"/>
    <w:basedOn w:val="Normal"/>
    <w:qFormat/>
    <w:pPr>
      <w:spacing w:before="120"/>
    </w:pPr>
    <w:rPr>
      <w:sz w:val="19"/>
      <w:szCs w:val="20"/>
      <w:lang w:eastAsia="en-GB"/>
    </w:rPr>
  </w:style>
  <w:style w:type="paragraph" w:customStyle="1" w:styleId="IASBTableNormal">
    <w:name w:val="IASB Table Normal"/>
    <w:basedOn w:val="Normal"/>
    <w:pPr>
      <w:spacing w:before="80" w:after="60"/>
    </w:pPr>
    <w:rPr>
      <w:sz w:val="19"/>
      <w:szCs w:val="20"/>
      <w:lang w:eastAsia="en-GB"/>
    </w:rPr>
  </w:style>
  <w:style w:type="paragraph" w:customStyle="1" w:styleId="IASBTableArial">
    <w:name w:val="IASB Table Arial"/>
    <w:basedOn w:val="Normal"/>
    <w:pPr>
      <w:spacing w:before="120"/>
    </w:pPr>
    <w:rPr>
      <w:rFonts w:ascii="Arial" w:hAnsi="Arial"/>
      <w:sz w:val="18"/>
      <w:szCs w:val="20"/>
      <w:lang w:eastAsia="en-GB"/>
    </w:rPr>
  </w:style>
  <w:style w:type="paragraph" w:customStyle="1" w:styleId="IASBTableBoldArial">
    <w:name w:val="IASB Table Bold Arial"/>
    <w:basedOn w:val="IASBTableArial"/>
    <w:qFormat/>
    <w:pPr>
      <w:spacing w:after="60"/>
    </w:pPr>
    <w:rPr>
      <w:b/>
    </w:rPr>
  </w:style>
  <w:style w:type="paragraph" w:customStyle="1" w:styleId="IASBTableHeaderArial">
    <w:name w:val="IASB Table Header Arial"/>
    <w:basedOn w:val="IASBTableArial"/>
    <w:qFormat/>
    <w:pPr>
      <w:keepNext/>
      <w:spacing w:after="100"/>
    </w:pPr>
    <w:rPr>
      <w:b/>
    </w:rPr>
  </w:style>
  <w:style w:type="character" w:styleId="EndnoteReference">
    <w:name w:val="endnote reference"/>
    <w:basedOn w:val="DefaultParagraphFont"/>
    <w:uiPriority w:val="99"/>
    <w:semiHidden/>
    <w:unhideWhenUsed/>
    <w:rsid w:val="004B3E7E"/>
    <w:rPr>
      <w:rFonts w:cs="Times New Roman"/>
      <w:vertAlign w:val="superscript"/>
    </w:rPr>
  </w:style>
  <w:style w:type="paragraph" w:customStyle="1" w:styleId="IASBNormalL3">
    <w:name w:val="IASB Normal L3"/>
    <w:basedOn w:val="IASBNormalL2"/>
    <w:qFormat/>
    <w:rsid w:val="0078108C"/>
    <w:pPr>
      <w:ind w:left="2268" w:hanging="708"/>
    </w:pPr>
  </w:style>
  <w:style w:type="paragraph" w:customStyle="1" w:styleId="IASBNormalArialL3">
    <w:name w:val="IASB Normal Arial L3"/>
    <w:basedOn w:val="IASBNormalL2"/>
    <w:qFormat/>
    <w:rsid w:val="0078108C"/>
    <w:pPr>
      <w:ind w:left="2268" w:hanging="708"/>
    </w:pPr>
    <w:rPr>
      <w:rFonts w:ascii="Arial" w:hAnsi="Arial"/>
    </w:rPr>
  </w:style>
  <w:style w:type="paragraph" w:customStyle="1" w:styleId="IASBNormalL3P">
    <w:name w:val="IASB Normal L3P"/>
    <w:basedOn w:val="IASBNormalL2P"/>
    <w:qFormat/>
    <w:rsid w:val="0078108C"/>
    <w:pPr>
      <w:ind w:left="2268"/>
    </w:pPr>
  </w:style>
  <w:style w:type="paragraph" w:customStyle="1" w:styleId="IASBNormalL4">
    <w:name w:val="IASB Normal L4"/>
    <w:basedOn w:val="IASBNormalL3"/>
    <w:qFormat/>
    <w:rsid w:val="0078108C"/>
    <w:pPr>
      <w:ind w:left="2977"/>
    </w:pPr>
  </w:style>
  <w:style w:type="paragraph" w:customStyle="1" w:styleId="IASBNormalArialL4">
    <w:name w:val="IASB Normal Arial L4"/>
    <w:basedOn w:val="IASBNormalL3"/>
    <w:qFormat/>
    <w:rsid w:val="0078108C"/>
    <w:pPr>
      <w:ind w:left="2977"/>
    </w:pPr>
    <w:rPr>
      <w:rFonts w:ascii="Arial" w:hAnsi="Arial"/>
    </w:rPr>
  </w:style>
  <w:style w:type="paragraph" w:customStyle="1" w:styleId="IASBNormalL4P">
    <w:name w:val="IASB Normal L4P"/>
    <w:basedOn w:val="IASBNormalL3P"/>
    <w:qFormat/>
    <w:rsid w:val="0078108C"/>
    <w:pPr>
      <w:ind w:left="297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5C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7F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A00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00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0048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0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048"/>
    <w:rPr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BA0048"/>
    <w:pPr>
      <w:spacing w:after="0" w:line="240" w:lineRule="auto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284443D39C047BFB7B26CC769F073" ma:contentTypeVersion="18" ma:contentTypeDescription="Create a new document." ma:contentTypeScope="" ma:versionID="6187c117f94730fb97e7ceeb0c2f4c80">
  <xsd:schema xmlns:xsd="http://www.w3.org/2001/XMLSchema" xmlns:xs="http://www.w3.org/2001/XMLSchema" xmlns:p="http://schemas.microsoft.com/office/2006/metadata/properties" xmlns:ns2="ec49eb38-6cb5-483f-a298-4a90bdd00051" xmlns:ns3="dd1af2b0-f65d-434c-8a17-aadcdb553b78" targetNamespace="http://schemas.microsoft.com/office/2006/metadata/properties" ma:root="true" ma:fieldsID="98ac505a59f6717c6cc8d67ace61b3ed" ns2:_="" ns3:_="">
    <xsd:import namespace="ec49eb38-6cb5-483f-a298-4a90bdd00051"/>
    <xsd:import namespace="dd1af2b0-f65d-434c-8a17-aadcdb553b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9eb38-6cb5-483f-a298-4a90bdd00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12f0513-a2ef-49c9-8f64-129a7e7844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af2b0-f65d-434c-8a17-aadcdb553b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256988c-21c8-4111-8ccb-b7eec4617890}" ma:internalName="TaxCatchAll" ma:showField="CatchAllData" ma:web="dd1af2b0-f65d-434c-8a17-aadcdb553b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49eb38-6cb5-483f-a298-4a90bdd00051">
      <Terms xmlns="http://schemas.microsoft.com/office/infopath/2007/PartnerControls"/>
    </lcf76f155ced4ddcb4097134ff3c332f>
    <TaxCatchAll xmlns="dd1af2b0-f65d-434c-8a17-aadcdb553b78" xsi:nil="true"/>
  </documentManagement>
</p:properties>
</file>

<file path=customXml/itemProps1.xml><?xml version="1.0" encoding="utf-8"?>
<ds:datastoreItem xmlns:ds="http://schemas.openxmlformats.org/officeDocument/2006/customXml" ds:itemID="{09311550-06A2-438B-BC7B-60A3FAE55F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850469-412B-4473-ABDB-41004D9FB632}"/>
</file>

<file path=customXml/itemProps3.xml><?xml version="1.0" encoding="utf-8"?>
<ds:datastoreItem xmlns:ds="http://schemas.openxmlformats.org/officeDocument/2006/customXml" ds:itemID="{3F3156A4-E1D5-4A73-95EF-9BB45EED7C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AF45E8-98F6-4139-A481-8C6E11C73445}">
  <ds:schemaRefs>
    <ds:schemaRef ds:uri="http://schemas.microsoft.com/office/2006/metadata/properties"/>
    <ds:schemaRef ds:uri="http://schemas.microsoft.com/office/infopath/2007/PartnerControls"/>
    <ds:schemaRef ds:uri="ec49eb38-6cb5-483f-a298-4a90bdd00051"/>
    <ds:schemaRef ds:uri="dd1af2b0-f65d-434c-8a17-aadcdb553b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Apache POI</dc:creator>
  <cp:lastModifiedBy>Larisa Bocharova</cp:lastModifiedBy>
  <cp:revision>4</cp:revision>
  <dcterms:created xsi:type="dcterms:W3CDTF">2023-12-18T11:52:00Z</dcterms:created>
  <dcterms:modified xsi:type="dcterms:W3CDTF">2024-01-12T13:12:00Z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0x01010083E284443D39C047BFB7B26CC769F073</vt:lpwstr>
  </property>
  <property fmtid="{D5CDD505-2E9C-101B-9397-08002B2CF9AE}" pid="3" name="MediaServiceImageTags">
    <vt:lpwstr/>
  </property>
</Properties>
</file>