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AEF3" w14:textId="77777777" w:rsidR="00DC0107" w:rsidRDefault="00DC0107" w:rsidP="00DC0107">
      <w:pPr>
        <w:spacing w:after="160" w:line="259" w:lineRule="auto"/>
        <w:jc w:val="center"/>
        <w:rPr>
          <w:b/>
          <w:bCs/>
          <w:sz w:val="36"/>
          <w:szCs w:val="36"/>
        </w:rPr>
      </w:pPr>
    </w:p>
    <w:p w14:paraId="11D0ED2D" w14:textId="77777777" w:rsidR="00DC0107" w:rsidRDefault="00DC0107" w:rsidP="00DC0107">
      <w:pPr>
        <w:spacing w:after="160" w:line="259" w:lineRule="auto"/>
        <w:jc w:val="center"/>
        <w:rPr>
          <w:b/>
          <w:bCs/>
          <w:sz w:val="36"/>
          <w:szCs w:val="36"/>
        </w:rPr>
      </w:pPr>
    </w:p>
    <w:p w14:paraId="5E512A04" w14:textId="77777777" w:rsidR="00DC0107" w:rsidRDefault="00DC0107" w:rsidP="00DC0107">
      <w:pPr>
        <w:spacing w:after="160" w:line="259" w:lineRule="auto"/>
        <w:jc w:val="center"/>
        <w:rPr>
          <w:b/>
          <w:bCs/>
          <w:sz w:val="36"/>
          <w:szCs w:val="36"/>
        </w:rPr>
      </w:pPr>
    </w:p>
    <w:p w14:paraId="737FE1D7" w14:textId="663D7227" w:rsidR="00DC0107" w:rsidRPr="00DC0107" w:rsidRDefault="00DC0107" w:rsidP="00DC0107">
      <w:pPr>
        <w:spacing w:after="160" w:line="259" w:lineRule="auto"/>
        <w:jc w:val="center"/>
        <w:rPr>
          <w:b/>
          <w:bCs/>
          <w:sz w:val="36"/>
          <w:szCs w:val="36"/>
        </w:rPr>
      </w:pPr>
      <w:r w:rsidRPr="00DC0107">
        <w:rPr>
          <w:b/>
          <w:bCs/>
          <w:sz w:val="36"/>
          <w:szCs w:val="36"/>
        </w:rPr>
        <w:t>Определение бухгалтерских оценок</w:t>
      </w:r>
    </w:p>
    <w:p w14:paraId="1ED97DDE" w14:textId="3986A738" w:rsidR="00DC0107" w:rsidRDefault="00DC0107" w:rsidP="00EE44A6">
      <w:pPr>
        <w:pStyle w:val="IASBSectionTitle1NonInd"/>
        <w:pBdr>
          <w:bottom w:val="none" w:sz="0" w:space="0" w:color="auto"/>
        </w:pBdr>
        <w:jc w:val="center"/>
        <w:rPr>
          <w:b w:val="0"/>
          <w:i/>
        </w:rPr>
      </w:pPr>
      <w:r w:rsidRPr="00DC0107">
        <w:rPr>
          <w:b w:val="0"/>
          <w:bCs/>
        </w:rPr>
        <w:t xml:space="preserve">Поправки к МСФО (IAS) 8 </w:t>
      </w:r>
      <w:r w:rsidRPr="00DC0107">
        <w:rPr>
          <w:b w:val="0"/>
          <w:bCs/>
          <w:i/>
        </w:rPr>
        <w:t>«Учетная политика, изменения в бухгалтерских оценках и ошибки»</w:t>
      </w:r>
      <w:r>
        <w:rPr>
          <w:i/>
        </w:rPr>
        <w:br w:type="page"/>
      </w:r>
    </w:p>
    <w:p w14:paraId="60F78F64" w14:textId="04094A9B" w:rsidR="008E74C1" w:rsidRDefault="00DF6FFA" w:rsidP="00DF6FFA">
      <w:pPr>
        <w:pStyle w:val="IASBSectionTitle1NonInd"/>
        <w:pBdr>
          <w:bottom w:val="none" w:sz="0" w:space="0" w:color="auto"/>
        </w:pBdr>
      </w:pPr>
      <w:r>
        <w:lastRenderedPageBreak/>
        <w:t xml:space="preserve">Поправки к МСФО (IAS) 8 </w:t>
      </w:r>
      <w:r>
        <w:rPr>
          <w:i/>
        </w:rPr>
        <w:t>«Учетная политика, изменения в бухгалтерских оценках и ошибки»</w:t>
      </w:r>
    </w:p>
    <w:p w14:paraId="1444DBE7" w14:textId="77777777" w:rsidR="008E74C1" w:rsidRDefault="008E74C1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8E74C1" w14:paraId="2733A74E" w14:textId="77777777">
        <w:tc>
          <w:tcPr>
            <w:tcW w:w="0" w:type="auto"/>
          </w:tcPr>
          <w:p w14:paraId="30B4E7F6" w14:textId="77777777" w:rsidR="008E74C1" w:rsidRDefault="00DF6FFA">
            <w:pPr>
              <w:pStyle w:val="IASBTableArial"/>
            </w:pPr>
            <w:r>
              <w:t>В пункты 5, 32, 34, 38 и 48, а также в заголовок перед пунктом 32 внесены изменения. Добавлены пункты 32A–32B, 34A и 54I, а также заголовки перед пунктами 34 и 36. В заголовок перед пунктом 39 внесены изменения, и он стал подзаголовком к заголовку, добавленному перед пунктом 34. Удаленный текст зачеркнут, новый текст подчеркнут.</w:t>
            </w:r>
          </w:p>
        </w:tc>
      </w:tr>
    </w:tbl>
    <w:p w14:paraId="155F2A0E" w14:textId="77777777" w:rsidR="008E74C1" w:rsidRDefault="00DF6FFA">
      <w:pPr>
        <w:pStyle w:val="IASBSectionTitle1NonInd"/>
      </w:pPr>
      <w:r>
        <w:t>Определения</w:t>
      </w:r>
    </w:p>
    <w:p w14:paraId="7EDD1C6B" w14:textId="77777777" w:rsidR="008E74C1" w:rsidRDefault="00DF6FFA">
      <w:pPr>
        <w:pStyle w:val="IASBNormalnpara"/>
      </w:pPr>
      <w:r>
        <w:rPr>
          <w:b/>
        </w:rPr>
        <w:t>5</w:t>
      </w:r>
      <w:r>
        <w:tab/>
      </w:r>
      <w:r>
        <w:rPr>
          <w:b/>
        </w:rPr>
        <w:t>В настоящем стандарте используются следующие термины в указанных значениях: </w:t>
      </w:r>
    </w:p>
    <w:p w14:paraId="03984410" w14:textId="77777777" w:rsidR="008E74C1" w:rsidRDefault="00DF6FFA">
      <w:pPr>
        <w:pStyle w:val="IASBNormalnparaP"/>
      </w:pPr>
      <w:r>
        <w:rPr>
          <w:b/>
        </w:rPr>
        <w:t>…</w:t>
      </w:r>
    </w:p>
    <w:p w14:paraId="0377D1CA" w14:textId="741AB6F5" w:rsidR="008E74C1" w:rsidRDefault="00DF6FFA">
      <w:pPr>
        <w:pStyle w:val="IASBNormalnparaP"/>
      </w:pPr>
      <w:r>
        <w:rPr>
          <w:b/>
          <w:i/>
          <w:u w:val="single"/>
        </w:rPr>
        <w:t>Бухгалтерские оценки</w:t>
      </w:r>
      <w:r>
        <w:rPr>
          <w:b/>
          <w:u w:val="single"/>
        </w:rPr>
        <w:t xml:space="preserve"> – это денежные суммы в финансовой отчетности, </w:t>
      </w:r>
      <w:r w:rsidR="001C4B22">
        <w:rPr>
          <w:b/>
          <w:u w:val="single"/>
        </w:rPr>
        <w:t>подверженные</w:t>
      </w:r>
      <w:r>
        <w:rPr>
          <w:b/>
          <w:u w:val="single"/>
        </w:rPr>
        <w:t xml:space="preserve"> неопределенност</w:t>
      </w:r>
      <w:r w:rsidR="001C4B22">
        <w:rPr>
          <w:b/>
          <w:u w:val="single"/>
        </w:rPr>
        <w:t>и</w:t>
      </w:r>
      <w:r w:rsidR="00926A78" w:rsidRPr="00767C33">
        <w:rPr>
          <w:b/>
          <w:u w:val="single"/>
        </w:rPr>
        <w:t xml:space="preserve"> </w:t>
      </w:r>
      <w:r w:rsidR="00926A78">
        <w:rPr>
          <w:b/>
          <w:u w:val="single"/>
        </w:rPr>
        <w:t>оценки</w:t>
      </w:r>
      <w:r>
        <w:rPr>
          <w:b/>
          <w:u w:val="single"/>
        </w:rPr>
        <w:t>.</w:t>
      </w:r>
    </w:p>
    <w:p w14:paraId="26B7D9CC" w14:textId="77777777" w:rsidR="008E74C1" w:rsidRDefault="00DF6FFA">
      <w:pPr>
        <w:pStyle w:val="IASBNormalnparaP"/>
      </w:pPr>
      <w:r>
        <w:rPr>
          <w:b/>
          <w:i/>
          <w:strike/>
        </w:rPr>
        <w:t xml:space="preserve">Изменение в бухгалтерской оценке </w:t>
      </w:r>
      <w:r>
        <w:rPr>
          <w:b/>
          <w:strike/>
        </w:rPr>
        <w:t>– корректировка балансовой стоимости актива или обязательства или величины, отражающей потребление актива в периоде, которая возникает в результате оценки текущего состояния активов и обязательств и ожидаемых будущих выгод и обязанностей, связанных с активами и обязательствами. Изменения в бухгалтерских оценках возникают в результате появления новой информации или развития событий и, следовательно, не являются исправлениями ошибок.</w:t>
      </w:r>
    </w:p>
    <w:p w14:paraId="762B2F6A" w14:textId="77777777" w:rsidR="008E74C1" w:rsidRDefault="00DF6FFA">
      <w:pPr>
        <w:pStyle w:val="IASBNormalnpara"/>
      </w:pPr>
      <w:r>
        <w:tab/>
        <w:t>…</w:t>
      </w:r>
    </w:p>
    <w:p w14:paraId="71C6DA35" w14:textId="77777777" w:rsidR="008E74C1" w:rsidRDefault="00DF6FFA">
      <w:pPr>
        <w:pStyle w:val="IASBSectionTitle1NonInd"/>
      </w:pPr>
      <w:r>
        <w:rPr>
          <w:u w:val="single"/>
        </w:rPr>
        <w:t xml:space="preserve">Бухгалтерские </w:t>
      </w:r>
      <w:proofErr w:type="spellStart"/>
      <w:r>
        <w:rPr>
          <w:u w:val="single"/>
        </w:rPr>
        <w:t>оценки</w:t>
      </w:r>
      <w:r>
        <w:rPr>
          <w:strike/>
        </w:rPr>
        <w:t>Изменения</w:t>
      </w:r>
      <w:proofErr w:type="spellEnd"/>
      <w:r>
        <w:rPr>
          <w:strike/>
        </w:rPr>
        <w:t xml:space="preserve"> в бухгалтерских оценках </w:t>
      </w:r>
    </w:p>
    <w:p w14:paraId="74AE2840" w14:textId="6FE8FD35" w:rsidR="008E74C1" w:rsidRDefault="00DF6FFA">
      <w:pPr>
        <w:pStyle w:val="IASBNormalnpara"/>
      </w:pPr>
      <w:r>
        <w:t>32</w:t>
      </w:r>
      <w:r>
        <w:tab/>
      </w:r>
      <w:r>
        <w:rPr>
          <w:u w:val="single"/>
        </w:rPr>
        <w:t xml:space="preserve">Учетная политика может </w:t>
      </w:r>
      <w:r w:rsidR="00926A78">
        <w:rPr>
          <w:u w:val="single"/>
        </w:rPr>
        <w:t xml:space="preserve">содержать </w:t>
      </w:r>
      <w:r>
        <w:rPr>
          <w:u w:val="single"/>
        </w:rPr>
        <w:t>требова</w:t>
      </w:r>
      <w:r w:rsidR="00926A78">
        <w:rPr>
          <w:u w:val="single"/>
        </w:rPr>
        <w:t>ния оценки</w:t>
      </w:r>
      <w:r w:rsidR="00C17E91" w:rsidRPr="0009400C">
        <w:rPr>
          <w:u w:val="single"/>
        </w:rPr>
        <w:t xml:space="preserve"> </w:t>
      </w:r>
      <w:r>
        <w:rPr>
          <w:u w:val="single"/>
        </w:rPr>
        <w:t>стат</w:t>
      </w:r>
      <w:r w:rsidR="00926A78">
        <w:rPr>
          <w:u w:val="single"/>
        </w:rPr>
        <w:t>ей</w:t>
      </w:r>
      <w:r>
        <w:rPr>
          <w:u w:val="single"/>
        </w:rPr>
        <w:t xml:space="preserve"> финансовой отчетности способом, предусматривающим неопределенность оценки, т</w:t>
      </w:r>
      <w:r w:rsidR="003B3E01">
        <w:rPr>
          <w:u w:val="single"/>
        </w:rPr>
        <w:t>о есть</w:t>
      </w:r>
      <w:r>
        <w:rPr>
          <w:u w:val="single"/>
        </w:rPr>
        <w:t xml:space="preserve"> учетная политика может требовать, чтобы такие статьи оценивались в денежных суммах, которые</w:t>
      </w:r>
      <w:r w:rsidR="00597D7F">
        <w:rPr>
          <w:u w:val="single"/>
        </w:rPr>
        <w:t xml:space="preserve"> не </w:t>
      </w:r>
      <w:r w:rsidR="0009400C">
        <w:rPr>
          <w:u w:val="single"/>
        </w:rPr>
        <w:t xml:space="preserve">являются наблюдаемыми </w:t>
      </w:r>
      <w:r w:rsidRPr="00F74C14">
        <w:rPr>
          <w:u w:val="single"/>
        </w:rPr>
        <w:t xml:space="preserve">напрямую и вместо этого должны </w:t>
      </w:r>
      <w:r w:rsidR="0009400C" w:rsidRPr="00F74C14">
        <w:rPr>
          <w:u w:val="single"/>
        </w:rPr>
        <w:t>быть определены с использованием</w:t>
      </w:r>
      <w:r w:rsidRPr="00F74C14">
        <w:rPr>
          <w:u w:val="single"/>
        </w:rPr>
        <w:t xml:space="preserve"> расчетной оценк</w:t>
      </w:r>
      <w:r w:rsidR="0009400C" w:rsidRPr="00F74C14">
        <w:rPr>
          <w:u w:val="single"/>
        </w:rPr>
        <w:t>и</w:t>
      </w:r>
      <w:r w:rsidRPr="00F74C14">
        <w:rPr>
          <w:u w:val="single"/>
        </w:rPr>
        <w:t xml:space="preserve">. В таком случае организация </w:t>
      </w:r>
      <w:r w:rsidRPr="00DC0107">
        <w:rPr>
          <w:u w:val="single"/>
        </w:rPr>
        <w:t>разрабатывает</w:t>
      </w:r>
      <w:r w:rsidRPr="00F74C14">
        <w:rPr>
          <w:u w:val="single"/>
        </w:rPr>
        <w:t xml:space="preserve"> бухгалтерские оценки для достижения цели, предусмотренной учетной политикой. </w:t>
      </w:r>
      <w:r w:rsidRPr="00F74C14">
        <w:rPr>
          <w:strike/>
        </w:rPr>
        <w:t xml:space="preserve">В результате неопределенностей, присущих хозяйственной деятельности, по многим статьям учета финансовой отчетности может быть получена не точная, а лишь расчетная оценка. </w:t>
      </w:r>
      <w:r w:rsidRPr="00DC0107">
        <w:rPr>
          <w:u w:val="single"/>
        </w:rPr>
        <w:t>Разработка</w:t>
      </w:r>
      <w:r>
        <w:rPr>
          <w:u w:val="single"/>
        </w:rPr>
        <w:t xml:space="preserve"> бухгалтерских оценок предполагает использование суждений или допущений, </w:t>
      </w:r>
      <w:proofErr w:type="spellStart"/>
      <w:r w:rsidR="00597D7F">
        <w:rPr>
          <w:u w:val="single"/>
        </w:rPr>
        <w:t>основанных</w:t>
      </w:r>
      <w:r w:rsidR="00597D7F">
        <w:rPr>
          <w:strike/>
        </w:rPr>
        <w:t>Расчетная</w:t>
      </w:r>
      <w:proofErr w:type="spellEnd"/>
      <w:r w:rsidR="00597D7F">
        <w:rPr>
          <w:strike/>
        </w:rPr>
        <w:t xml:space="preserve"> </w:t>
      </w:r>
      <w:r>
        <w:rPr>
          <w:strike/>
        </w:rPr>
        <w:t>оценка предполагает суждения, основывающиеся</w:t>
      </w:r>
      <w:r>
        <w:t xml:space="preserve"> на </w:t>
      </w:r>
      <w:r w:rsidR="004672CF">
        <w:t>наиболее актуальной</w:t>
      </w:r>
      <w:r>
        <w:t xml:space="preserve"> доступной надежной информации.</w:t>
      </w:r>
      <w:r w:rsidR="00A04A75">
        <w:t xml:space="preserve"> П</w:t>
      </w:r>
      <w:r>
        <w:rPr>
          <w:u w:val="single"/>
        </w:rPr>
        <w:t xml:space="preserve">римеры бухгалтерских </w:t>
      </w:r>
      <w:proofErr w:type="spellStart"/>
      <w:r>
        <w:rPr>
          <w:u w:val="single"/>
        </w:rPr>
        <w:t>оценок</w:t>
      </w:r>
      <w:r>
        <w:rPr>
          <w:strike/>
        </w:rPr>
        <w:t>Например</w:t>
      </w:r>
      <w:proofErr w:type="spellEnd"/>
      <w:r>
        <w:rPr>
          <w:strike/>
        </w:rPr>
        <w:t>, могут требоваться расчетные оценки</w:t>
      </w:r>
      <w:r>
        <w:t>:</w:t>
      </w:r>
    </w:p>
    <w:p w14:paraId="584B08F9" w14:textId="68DC872D" w:rsidR="008E74C1" w:rsidRDefault="00DF6FFA">
      <w:pPr>
        <w:pStyle w:val="IASBNormalnparaL1"/>
      </w:pPr>
      <w:r>
        <w:t>(a)</w:t>
      </w:r>
      <w:r>
        <w:tab/>
      </w:r>
      <w:r>
        <w:rPr>
          <w:u w:val="single"/>
        </w:rPr>
        <w:t xml:space="preserve">оценочный резерв под ожидаемые кредитные убытки </w:t>
      </w:r>
      <w:r w:rsidR="00AE117C">
        <w:rPr>
          <w:u w:val="single"/>
        </w:rPr>
        <w:t>при применении</w:t>
      </w:r>
      <w:r>
        <w:rPr>
          <w:u w:val="single"/>
        </w:rPr>
        <w:t xml:space="preserve"> МСФО</w:t>
      </w:r>
      <w:r w:rsidR="00EE44A6">
        <w:rPr>
          <w:u w:val="single"/>
          <w:lang w:val="en-US"/>
        </w:rPr>
        <w:t> </w:t>
      </w:r>
      <w:r>
        <w:rPr>
          <w:u w:val="single"/>
        </w:rPr>
        <w:t>(IFRS)</w:t>
      </w:r>
      <w:r w:rsidR="00EE44A6">
        <w:rPr>
          <w:u w:val="single"/>
          <w:lang w:val="en-US"/>
        </w:rPr>
        <w:t> </w:t>
      </w:r>
      <w:r>
        <w:rPr>
          <w:u w:val="single"/>
        </w:rPr>
        <w:t xml:space="preserve">9 </w:t>
      </w:r>
      <w:r>
        <w:rPr>
          <w:i/>
          <w:u w:val="single"/>
        </w:rPr>
        <w:t xml:space="preserve">«Финансовые </w:t>
      </w:r>
      <w:proofErr w:type="spellStart"/>
      <w:proofErr w:type="gramStart"/>
      <w:r>
        <w:rPr>
          <w:i/>
          <w:u w:val="single"/>
        </w:rPr>
        <w:t>инструменты»</w:t>
      </w:r>
      <w:r>
        <w:rPr>
          <w:strike/>
        </w:rPr>
        <w:t>безнадежных</w:t>
      </w:r>
      <w:proofErr w:type="spellEnd"/>
      <w:proofErr w:type="gramEnd"/>
      <w:r>
        <w:rPr>
          <w:strike/>
        </w:rPr>
        <w:t xml:space="preserve"> долгов</w:t>
      </w:r>
      <w:r>
        <w:t>;</w:t>
      </w:r>
    </w:p>
    <w:p w14:paraId="51A41DAF" w14:textId="38BB4CCA" w:rsidR="008E74C1" w:rsidRDefault="00DF6FFA">
      <w:pPr>
        <w:pStyle w:val="IASBNormalnparaL1"/>
      </w:pPr>
      <w:r>
        <w:t>(b)</w:t>
      </w:r>
      <w:r>
        <w:tab/>
      </w:r>
      <w:r>
        <w:rPr>
          <w:u w:val="single"/>
        </w:rPr>
        <w:t>чист</w:t>
      </w:r>
      <w:r w:rsidR="00852972">
        <w:rPr>
          <w:u w:val="single"/>
        </w:rPr>
        <w:t>ая</w:t>
      </w:r>
      <w:r>
        <w:rPr>
          <w:u w:val="single"/>
        </w:rPr>
        <w:t xml:space="preserve"> возможн</w:t>
      </w:r>
      <w:r w:rsidR="00852972">
        <w:rPr>
          <w:u w:val="single"/>
        </w:rPr>
        <w:t>ая</w:t>
      </w:r>
      <w:r>
        <w:rPr>
          <w:u w:val="single"/>
        </w:rPr>
        <w:t xml:space="preserve"> цен</w:t>
      </w:r>
      <w:r w:rsidR="00852972">
        <w:rPr>
          <w:u w:val="single"/>
        </w:rPr>
        <w:t>а</w:t>
      </w:r>
      <w:r>
        <w:rPr>
          <w:u w:val="single"/>
        </w:rPr>
        <w:t xml:space="preserve"> продажи единицы запасов </w:t>
      </w:r>
      <w:r w:rsidR="00AE117C">
        <w:rPr>
          <w:u w:val="single"/>
        </w:rPr>
        <w:t xml:space="preserve">при </w:t>
      </w:r>
      <w:r>
        <w:rPr>
          <w:u w:val="single"/>
        </w:rPr>
        <w:t>применен</w:t>
      </w:r>
      <w:r w:rsidR="00AE117C">
        <w:rPr>
          <w:u w:val="single"/>
        </w:rPr>
        <w:t>ии</w:t>
      </w:r>
      <w:r>
        <w:rPr>
          <w:u w:val="single"/>
        </w:rPr>
        <w:t xml:space="preserve"> МСФО</w:t>
      </w:r>
      <w:r w:rsidR="00EE44A6">
        <w:rPr>
          <w:u w:val="single"/>
          <w:lang w:val="en-US"/>
        </w:rPr>
        <w:t> </w:t>
      </w:r>
      <w:r>
        <w:rPr>
          <w:u w:val="single"/>
        </w:rPr>
        <w:t>(IAS)</w:t>
      </w:r>
      <w:r w:rsidR="00EE44A6">
        <w:rPr>
          <w:u w:val="single"/>
          <w:lang w:val="en-US"/>
        </w:rPr>
        <w:t> </w:t>
      </w:r>
      <w:r>
        <w:rPr>
          <w:u w:val="single"/>
        </w:rPr>
        <w:t xml:space="preserve">2 </w:t>
      </w:r>
      <w:r>
        <w:rPr>
          <w:i/>
          <w:u w:val="single"/>
        </w:rPr>
        <w:t>«</w:t>
      </w:r>
      <w:proofErr w:type="spellStart"/>
      <w:proofErr w:type="gramStart"/>
      <w:r>
        <w:rPr>
          <w:i/>
          <w:u w:val="single"/>
        </w:rPr>
        <w:t>Запасы»</w:t>
      </w:r>
      <w:r>
        <w:rPr>
          <w:strike/>
        </w:rPr>
        <w:t>устаревания</w:t>
      </w:r>
      <w:proofErr w:type="spellEnd"/>
      <w:proofErr w:type="gramEnd"/>
      <w:r>
        <w:rPr>
          <w:strike/>
        </w:rPr>
        <w:t xml:space="preserve"> запасов</w:t>
      </w:r>
      <w:r>
        <w:t>;</w:t>
      </w:r>
    </w:p>
    <w:p w14:paraId="2013ABA0" w14:textId="2F2620DE" w:rsidR="008E74C1" w:rsidRDefault="00DF6FFA">
      <w:pPr>
        <w:pStyle w:val="IASBNormalnparaL1"/>
      </w:pPr>
      <w:r>
        <w:t>(c)</w:t>
      </w:r>
      <w:r>
        <w:tab/>
      </w:r>
      <w:r>
        <w:rPr>
          <w:u w:val="single"/>
        </w:rPr>
        <w:t xml:space="preserve">справедливая стоимость актива или обязательства </w:t>
      </w:r>
      <w:r w:rsidR="00AE117C">
        <w:rPr>
          <w:u w:val="single"/>
        </w:rPr>
        <w:t xml:space="preserve">при </w:t>
      </w:r>
      <w:r>
        <w:rPr>
          <w:u w:val="single"/>
        </w:rPr>
        <w:t>применени</w:t>
      </w:r>
      <w:r w:rsidR="00AE117C">
        <w:rPr>
          <w:u w:val="single"/>
        </w:rPr>
        <w:t>и</w:t>
      </w:r>
      <w:r>
        <w:rPr>
          <w:u w:val="single"/>
        </w:rPr>
        <w:t xml:space="preserve"> МСФО (IFRS) 13 </w:t>
      </w:r>
      <w:r>
        <w:rPr>
          <w:i/>
          <w:u w:val="single"/>
        </w:rPr>
        <w:t xml:space="preserve">«Оценка справедливой </w:t>
      </w:r>
      <w:proofErr w:type="spellStart"/>
      <w:r>
        <w:rPr>
          <w:i/>
          <w:u w:val="single"/>
        </w:rPr>
        <w:t>стоимости»</w:t>
      </w:r>
      <w:r>
        <w:rPr>
          <w:strike/>
        </w:rPr>
        <w:t>справедливой</w:t>
      </w:r>
      <w:proofErr w:type="spellEnd"/>
      <w:r>
        <w:rPr>
          <w:strike/>
        </w:rPr>
        <w:t xml:space="preserve"> стоимости финансовых активов или финансовых обязательств</w:t>
      </w:r>
      <w:r>
        <w:t>;</w:t>
      </w:r>
    </w:p>
    <w:p w14:paraId="2DABE5EE" w14:textId="6617104B" w:rsidR="008E74C1" w:rsidRDefault="00DF6FFA">
      <w:pPr>
        <w:pStyle w:val="IASBNormalnparaL1"/>
      </w:pPr>
      <w:r>
        <w:t>(d)</w:t>
      </w:r>
      <w:r>
        <w:tab/>
      </w:r>
      <w:r>
        <w:rPr>
          <w:u w:val="single"/>
        </w:rPr>
        <w:t xml:space="preserve">расход по амортизации объекта основных средств </w:t>
      </w:r>
      <w:r w:rsidR="00AE117C">
        <w:rPr>
          <w:u w:val="single"/>
        </w:rPr>
        <w:t>при</w:t>
      </w:r>
      <w:r>
        <w:rPr>
          <w:u w:val="single"/>
        </w:rPr>
        <w:t xml:space="preserve"> применени</w:t>
      </w:r>
      <w:r w:rsidR="00AE117C">
        <w:rPr>
          <w:u w:val="single"/>
        </w:rPr>
        <w:t>и</w:t>
      </w:r>
      <w:r>
        <w:rPr>
          <w:u w:val="single"/>
        </w:rPr>
        <w:t xml:space="preserve"> МСФО</w:t>
      </w:r>
      <w:r w:rsidR="00EE44A6">
        <w:rPr>
          <w:u w:val="single"/>
          <w:lang w:val="en-US"/>
        </w:rPr>
        <w:t> </w:t>
      </w:r>
      <w:r>
        <w:rPr>
          <w:u w:val="single"/>
        </w:rPr>
        <w:t>(IAS)</w:t>
      </w:r>
      <w:r w:rsidR="00EE44A6">
        <w:rPr>
          <w:u w:val="single"/>
          <w:lang w:val="en-US"/>
        </w:rPr>
        <w:t> </w:t>
      </w:r>
      <w:r>
        <w:rPr>
          <w:u w:val="single"/>
        </w:rPr>
        <w:t>16</w:t>
      </w:r>
      <w:r w:rsidR="00EE44A6" w:rsidRPr="00EE44A6">
        <w:rPr>
          <w:u w:val="single"/>
        </w:rPr>
        <w:t xml:space="preserve"> </w:t>
      </w:r>
      <w:r w:rsidR="00EE44A6" w:rsidRPr="00031D5B">
        <w:rPr>
          <w:i/>
        </w:rPr>
        <w:t xml:space="preserve">«Основные </w:t>
      </w:r>
      <w:proofErr w:type="spellStart"/>
      <w:proofErr w:type="gramStart"/>
      <w:r w:rsidR="00EE44A6" w:rsidRPr="00031D5B">
        <w:rPr>
          <w:i/>
        </w:rPr>
        <w:t>средства»</w:t>
      </w:r>
      <w:r>
        <w:rPr>
          <w:strike/>
        </w:rPr>
        <w:t>сроков</w:t>
      </w:r>
      <w:proofErr w:type="spellEnd"/>
      <w:proofErr w:type="gramEnd"/>
      <w:r>
        <w:rPr>
          <w:strike/>
        </w:rPr>
        <w:t xml:space="preserve"> полезного использования или ожидаемых особенностей потребления будущих экономических выгод, заключенных в амортизируемых активах</w:t>
      </w:r>
      <w:r>
        <w:t>; и</w:t>
      </w:r>
    </w:p>
    <w:p w14:paraId="36A095E8" w14:textId="4451E0AE" w:rsidR="008E74C1" w:rsidRDefault="00DF6FFA">
      <w:pPr>
        <w:pStyle w:val="IASBNormalnparaL1"/>
      </w:pPr>
      <w:r>
        <w:t>(e)</w:t>
      </w:r>
      <w:r>
        <w:tab/>
      </w:r>
      <w:r>
        <w:rPr>
          <w:u w:val="single"/>
        </w:rPr>
        <w:t>оценочное обязательство в отношении</w:t>
      </w:r>
      <w:r>
        <w:t xml:space="preserve"> гарантийных обязательств </w:t>
      </w:r>
      <w:r w:rsidR="00AE117C">
        <w:t>п</w:t>
      </w:r>
      <w:r w:rsidR="00AE117C">
        <w:rPr>
          <w:u w:val="single"/>
        </w:rPr>
        <w:t>ри</w:t>
      </w:r>
      <w:r>
        <w:rPr>
          <w:u w:val="single"/>
        </w:rPr>
        <w:t xml:space="preserve"> применени</w:t>
      </w:r>
      <w:r w:rsidR="00AE117C">
        <w:rPr>
          <w:u w:val="single"/>
        </w:rPr>
        <w:t>и</w:t>
      </w:r>
      <w:r>
        <w:rPr>
          <w:u w:val="single"/>
        </w:rPr>
        <w:t xml:space="preserve"> МСФО (IAS) 37 </w:t>
      </w:r>
      <w:r>
        <w:rPr>
          <w:i/>
          <w:u w:val="single"/>
        </w:rPr>
        <w:t>«Оценочные обязательства, условные обязательства и условные активы»</w:t>
      </w:r>
      <w:r>
        <w:t>.</w:t>
      </w:r>
    </w:p>
    <w:p w14:paraId="49A3B2D5" w14:textId="0D8CEC73" w:rsidR="008E74C1" w:rsidRDefault="00DF6FFA">
      <w:pPr>
        <w:pStyle w:val="IASBNormalnpara"/>
      </w:pPr>
      <w:r>
        <w:rPr>
          <w:u w:val="single"/>
        </w:rPr>
        <w:t>32A</w:t>
      </w:r>
      <w:r>
        <w:rPr>
          <w:u w:val="single"/>
        </w:rPr>
        <w:tab/>
        <w:t xml:space="preserve">Организация использует методы оценки и исходные данные для разработки бухгалтерских оценок. Методы оценки включают методы расчетной оценки (например, методы, используемые для определения оценочного резерва под ожидаемые кредитные убытки </w:t>
      </w:r>
      <w:r w:rsidR="00852972">
        <w:rPr>
          <w:u w:val="single"/>
        </w:rPr>
        <w:t>в соответствии с</w:t>
      </w:r>
      <w:r>
        <w:rPr>
          <w:u w:val="single"/>
        </w:rPr>
        <w:t xml:space="preserve"> МСФО</w:t>
      </w:r>
      <w:r w:rsidR="00852972">
        <w:rPr>
          <w:u w:val="single"/>
        </w:rPr>
        <w:t> </w:t>
      </w:r>
      <w:r>
        <w:rPr>
          <w:u w:val="single"/>
        </w:rPr>
        <w:t>(IFRS)</w:t>
      </w:r>
      <w:r w:rsidR="00852972">
        <w:rPr>
          <w:u w:val="single"/>
        </w:rPr>
        <w:t> </w:t>
      </w:r>
      <w:r>
        <w:rPr>
          <w:u w:val="single"/>
        </w:rPr>
        <w:t xml:space="preserve">9) и методы оценки стоимости (например, методы, используемые для определения справедливой стоимости актива или обязательства </w:t>
      </w:r>
      <w:r w:rsidR="00852972">
        <w:rPr>
          <w:u w:val="single"/>
        </w:rPr>
        <w:t>в соответствии с</w:t>
      </w:r>
      <w:r>
        <w:rPr>
          <w:u w:val="single"/>
        </w:rPr>
        <w:t xml:space="preserve"> МСФО</w:t>
      </w:r>
      <w:r w:rsidR="00852972">
        <w:rPr>
          <w:u w:val="single"/>
        </w:rPr>
        <w:t> </w:t>
      </w:r>
      <w:r>
        <w:rPr>
          <w:u w:val="single"/>
        </w:rPr>
        <w:t>(IFRS)</w:t>
      </w:r>
      <w:r w:rsidR="00852972">
        <w:rPr>
          <w:u w:val="single"/>
        </w:rPr>
        <w:t> </w:t>
      </w:r>
      <w:r>
        <w:rPr>
          <w:u w:val="single"/>
        </w:rPr>
        <w:t>13).</w:t>
      </w:r>
    </w:p>
    <w:p w14:paraId="28106F25" w14:textId="2B0B1059" w:rsidR="008E74C1" w:rsidRDefault="00DF6FFA">
      <w:pPr>
        <w:pStyle w:val="IASBNormalnpara"/>
      </w:pPr>
      <w:r>
        <w:rPr>
          <w:u w:val="single"/>
        </w:rPr>
        <w:lastRenderedPageBreak/>
        <w:t>32B</w:t>
      </w:r>
      <w:r>
        <w:rPr>
          <w:u w:val="single"/>
        </w:rPr>
        <w:tab/>
        <w:t xml:space="preserve">В МСФО термин «расчетная оценка» иногда относится к оценке, которая не является бухгалтерской оценкой согласно определению в настоящем стандарте. Например, иногда </w:t>
      </w:r>
      <w:r w:rsidR="004C684E">
        <w:rPr>
          <w:u w:val="single"/>
        </w:rPr>
        <w:t>оценка</w:t>
      </w:r>
      <w:r>
        <w:rPr>
          <w:u w:val="single"/>
        </w:rPr>
        <w:t xml:space="preserve"> относится к исходным данным, используемым при разработке бухгалтерских оценок.</w:t>
      </w:r>
    </w:p>
    <w:p w14:paraId="1984A926" w14:textId="77777777" w:rsidR="008E74C1" w:rsidRDefault="00DF6FFA">
      <w:pPr>
        <w:pStyle w:val="IASBNormalnpara"/>
      </w:pPr>
      <w:r>
        <w:tab/>
        <w:t>…</w:t>
      </w:r>
    </w:p>
    <w:p w14:paraId="1159CDF5" w14:textId="77777777" w:rsidR="008E74C1" w:rsidRDefault="00DF6FFA">
      <w:pPr>
        <w:pStyle w:val="IASBSectionTitle2Ind"/>
      </w:pPr>
      <w:r>
        <w:rPr>
          <w:u w:val="single"/>
        </w:rPr>
        <w:t>Изменения в бухгалтерских оценках</w:t>
      </w:r>
    </w:p>
    <w:p w14:paraId="3D3ED77E" w14:textId="6E64C4D5" w:rsidR="008E74C1" w:rsidRDefault="00DF6FFA">
      <w:pPr>
        <w:pStyle w:val="IASBNormalnpara"/>
      </w:pPr>
      <w:r>
        <w:t>34</w:t>
      </w:r>
      <w:r>
        <w:tab/>
      </w:r>
      <w:r>
        <w:rPr>
          <w:u w:val="single"/>
        </w:rPr>
        <w:t xml:space="preserve">Организации может потребоваться изменить бухгалтерскую </w:t>
      </w:r>
      <w:proofErr w:type="spellStart"/>
      <w:r>
        <w:rPr>
          <w:u w:val="single"/>
        </w:rPr>
        <w:t>оценку</w:t>
      </w:r>
      <w:r>
        <w:rPr>
          <w:strike/>
          <w:u w:val="single"/>
        </w:rPr>
        <w:t>Расчетная</w:t>
      </w:r>
      <w:proofErr w:type="spellEnd"/>
      <w:r>
        <w:rPr>
          <w:strike/>
          <w:u w:val="single"/>
        </w:rPr>
        <w:t xml:space="preserve"> оценка может требовать пересмотра</w:t>
      </w:r>
      <w:r>
        <w:t xml:space="preserve">, если меняются обстоятельства, на которых </w:t>
      </w:r>
      <w:r w:rsidRPr="00243AA6">
        <w:t xml:space="preserve">она </w:t>
      </w:r>
      <w:r>
        <w:t>основывалась, или в результате появления новой информации</w:t>
      </w:r>
      <w:r>
        <w:rPr>
          <w:u w:val="single"/>
        </w:rPr>
        <w:t xml:space="preserve">, </w:t>
      </w:r>
      <w:r w:rsidR="00243AA6">
        <w:rPr>
          <w:u w:val="single"/>
        </w:rPr>
        <w:t xml:space="preserve">новых </w:t>
      </w:r>
      <w:r w:rsidR="005F7C58">
        <w:rPr>
          <w:u w:val="single"/>
        </w:rPr>
        <w:t>событий</w:t>
      </w:r>
      <w:r>
        <w:t xml:space="preserve"> или накопления опыта. По своей сути </w:t>
      </w:r>
      <w:r>
        <w:rPr>
          <w:u w:val="single"/>
        </w:rPr>
        <w:t xml:space="preserve">изменение </w:t>
      </w:r>
      <w:proofErr w:type="spellStart"/>
      <w:r>
        <w:rPr>
          <w:u w:val="single"/>
        </w:rPr>
        <w:t>бухгалтерской</w:t>
      </w:r>
      <w:r>
        <w:rPr>
          <w:strike/>
          <w:u w:val="single"/>
        </w:rPr>
        <w:t>пересмотр</w:t>
      </w:r>
      <w:proofErr w:type="spellEnd"/>
      <w:r>
        <w:rPr>
          <w:strike/>
          <w:u w:val="single"/>
        </w:rPr>
        <w:t xml:space="preserve"> расчетной</w:t>
      </w:r>
      <w:r>
        <w:t xml:space="preserve"> оценки не имеет отношения к предыдущим периодам и не является исправлением ошибки.</w:t>
      </w:r>
    </w:p>
    <w:p w14:paraId="2EDDCC0D" w14:textId="119C93F0" w:rsidR="008E74C1" w:rsidRDefault="00DF6FFA">
      <w:pPr>
        <w:pStyle w:val="IASBNormalnpara"/>
      </w:pPr>
      <w:r>
        <w:rPr>
          <w:u w:val="single"/>
        </w:rPr>
        <w:t>34A</w:t>
      </w:r>
      <w:r>
        <w:rPr>
          <w:u w:val="single"/>
        </w:rPr>
        <w:tab/>
      </w:r>
      <w:r w:rsidR="00243AA6" w:rsidRPr="00243AA6">
        <w:rPr>
          <w:u w:val="single"/>
        </w:rPr>
        <w:t>Влияние изменени</w:t>
      </w:r>
      <w:r w:rsidR="00163DBE">
        <w:rPr>
          <w:u w:val="single"/>
        </w:rPr>
        <w:t>й</w:t>
      </w:r>
      <w:r w:rsidR="00243AA6" w:rsidRPr="00243AA6">
        <w:rPr>
          <w:u w:val="single"/>
        </w:rPr>
        <w:t xml:space="preserve"> исходных </w:t>
      </w:r>
      <w:r w:rsidR="00243AA6" w:rsidRPr="00706E2E">
        <w:rPr>
          <w:u w:val="single"/>
        </w:rPr>
        <w:t>данных или метода оценки на величину бухгалтерской оценки является изменением в бухгалтерских оценках</w:t>
      </w:r>
      <w:r w:rsidRPr="00706E2E">
        <w:rPr>
          <w:u w:val="single"/>
        </w:rPr>
        <w:t>, кроме случаев, когда</w:t>
      </w:r>
      <w:r>
        <w:rPr>
          <w:u w:val="single"/>
        </w:rPr>
        <w:t xml:space="preserve"> такие изменения возникают вследствие исправления ошибок предыдущих периодов.</w:t>
      </w:r>
    </w:p>
    <w:p w14:paraId="0DE9C8F2" w14:textId="77777777" w:rsidR="008E74C1" w:rsidRDefault="00DF6FFA">
      <w:pPr>
        <w:pStyle w:val="IASBNormalnpara"/>
      </w:pPr>
      <w:r>
        <w:tab/>
        <w:t>…</w:t>
      </w:r>
    </w:p>
    <w:p w14:paraId="5CCEA48F" w14:textId="77777777" w:rsidR="008E74C1" w:rsidRDefault="00DF6FFA">
      <w:pPr>
        <w:pStyle w:val="IASBSectionTitle3Ind"/>
      </w:pPr>
      <w:r>
        <w:t xml:space="preserve"> </w:t>
      </w:r>
      <w:r>
        <w:rPr>
          <w:u w:val="single"/>
        </w:rPr>
        <w:t>Применение изменений в бухгалтерских оценках</w:t>
      </w:r>
      <w:r>
        <w:t xml:space="preserve"> </w:t>
      </w:r>
    </w:p>
    <w:p w14:paraId="7E8BE813" w14:textId="77777777" w:rsidR="008E74C1" w:rsidRDefault="00DF6FFA">
      <w:pPr>
        <w:pStyle w:val="IASBNormalnpara"/>
      </w:pPr>
      <w:r>
        <w:tab/>
        <w:t>…</w:t>
      </w:r>
    </w:p>
    <w:p w14:paraId="585310D8" w14:textId="77777777" w:rsidR="008E74C1" w:rsidRDefault="00DF6FFA">
      <w:pPr>
        <w:pStyle w:val="IASBNormalnpara"/>
      </w:pPr>
      <w:r>
        <w:t>38</w:t>
      </w:r>
      <w:r>
        <w:tab/>
        <w:t xml:space="preserve">Перспективное признание влияния изменения в бухгалтерской оценке означает, что данное изменение применяется к операциям, прочим событиям и условиям с даты </w:t>
      </w:r>
      <w:r>
        <w:rPr>
          <w:u w:val="single"/>
        </w:rPr>
        <w:t>этого</w:t>
      </w:r>
      <w:r>
        <w:t xml:space="preserve"> изменения</w:t>
      </w:r>
      <w:r>
        <w:rPr>
          <w:strike/>
        </w:rPr>
        <w:t xml:space="preserve"> в расчетной оценке</w:t>
      </w:r>
      <w:r>
        <w:t xml:space="preserve">. Изменение в бухгалтерской оценке может повлиять только на прибыль или убыток текущего периода или на прибыль или убыток текущего и будущих периодов. Например, изменение </w:t>
      </w:r>
      <w:r>
        <w:rPr>
          <w:u w:val="single"/>
        </w:rPr>
        <w:t xml:space="preserve">оценочного резерва под ожидаемые кредитные </w:t>
      </w:r>
      <w:proofErr w:type="spellStart"/>
      <w:r>
        <w:rPr>
          <w:u w:val="single"/>
        </w:rPr>
        <w:t>убытки</w:t>
      </w:r>
      <w:r>
        <w:rPr>
          <w:strike/>
        </w:rPr>
        <w:t>в</w:t>
      </w:r>
      <w:proofErr w:type="spellEnd"/>
      <w:r>
        <w:rPr>
          <w:strike/>
        </w:rPr>
        <w:t xml:space="preserve"> расчетной оценке суммы безнадежных долгов</w:t>
      </w:r>
      <w:r>
        <w:t xml:space="preserve"> влияет только на прибыль или убыток текущего периода и поэтому признается в текущем периоде. Однако изменение расчетного срока полезного использования или предполагаемых особенностей потребления будущих экономических выгод, заключенных в амортизируемом активе, влияет на расходы по амортизации в текущем периоде и в каждом будущем периоде в течение оставшегося срока полезного использования актива. В обоих случаях влияние изменения, относящееся к текущему периоду, признается как доход или расход в текущем периоде. Влияние изменения на будущие периоды, при его наличии, признается как доход или расход в этих будущих периодах.</w:t>
      </w:r>
    </w:p>
    <w:p w14:paraId="05BA16B3" w14:textId="77777777" w:rsidR="008E74C1" w:rsidRDefault="00DF6FFA">
      <w:pPr>
        <w:pStyle w:val="IASBSectionTitle2Ind"/>
      </w:pPr>
      <w:r>
        <w:rPr>
          <w:strike/>
        </w:rPr>
        <w:t>Раскрытие информации</w:t>
      </w:r>
    </w:p>
    <w:p w14:paraId="4F05778A" w14:textId="77777777" w:rsidR="008E74C1" w:rsidRDefault="00DF6FFA">
      <w:pPr>
        <w:pStyle w:val="IASBSectionTitle3Ind"/>
      </w:pPr>
      <w:r>
        <w:rPr>
          <w:u w:val="single"/>
        </w:rPr>
        <w:t>Раскрытие информации</w:t>
      </w:r>
    </w:p>
    <w:p w14:paraId="1FC7D0E9" w14:textId="77777777" w:rsidR="008E74C1" w:rsidRDefault="00DF6FFA">
      <w:pPr>
        <w:pStyle w:val="IASBNormalnpara"/>
      </w:pPr>
      <w:r>
        <w:tab/>
        <w:t>…</w:t>
      </w:r>
    </w:p>
    <w:p w14:paraId="4FA64413" w14:textId="77777777" w:rsidR="008E74C1" w:rsidRDefault="00DF6FFA">
      <w:pPr>
        <w:pStyle w:val="IASBSectionTitle1NonInd"/>
      </w:pPr>
      <w:r>
        <w:t>Ошибки</w:t>
      </w:r>
    </w:p>
    <w:p w14:paraId="388E670B" w14:textId="77777777" w:rsidR="008E74C1" w:rsidRDefault="00DF6FFA">
      <w:pPr>
        <w:pStyle w:val="IASBNormalnpara"/>
      </w:pPr>
      <w:r>
        <w:tab/>
        <w:t>…</w:t>
      </w:r>
    </w:p>
    <w:p w14:paraId="4A13D82D" w14:textId="09C6B555" w:rsidR="008E74C1" w:rsidRDefault="00DF6FFA">
      <w:pPr>
        <w:pStyle w:val="IASBNormalnpara"/>
      </w:pPr>
      <w:r>
        <w:t>48</w:t>
      </w:r>
      <w:r>
        <w:tab/>
        <w:t>Исправления ошибок отличаются от изменений в бухгалтерских оценках. Бухгалтерские оценки по своей сути являются приближенными значениями</w:t>
      </w:r>
      <w:r w:rsidRPr="009F67DB">
        <w:t xml:space="preserve">, </w:t>
      </w:r>
      <w:r w:rsidRPr="00767C33">
        <w:rPr>
          <w:strike/>
        </w:rPr>
        <w:t>для которых может потребоваться пересмотр</w:t>
      </w:r>
      <w:r w:rsidRPr="009F67DB">
        <w:rPr>
          <w:strike/>
        </w:rPr>
        <w:t xml:space="preserve"> </w:t>
      </w:r>
      <w:r w:rsidRPr="00767C33">
        <w:rPr>
          <w:strike/>
        </w:rPr>
        <w:t xml:space="preserve">по мере </w:t>
      </w:r>
      <w:proofErr w:type="spellStart"/>
      <w:r w:rsidRPr="00767C33">
        <w:rPr>
          <w:strike/>
        </w:rPr>
        <w:t>поступления</w:t>
      </w:r>
      <w:r w:rsidR="00243AA6" w:rsidRPr="00767C33">
        <w:rPr>
          <w:u w:val="single"/>
        </w:rPr>
        <w:t>которые</w:t>
      </w:r>
      <w:proofErr w:type="spellEnd"/>
      <w:r w:rsidR="00243AA6" w:rsidRPr="00767C33">
        <w:rPr>
          <w:u w:val="single"/>
        </w:rPr>
        <w:t xml:space="preserve"> может потребоваться изменить при поступлении</w:t>
      </w:r>
      <w:r>
        <w:t xml:space="preserve"> дополнительной информации. Например, прибыль или убыток, признанные в результате исхода условного факта хозяйственной жизни, не являются исправлением ошибки.</w:t>
      </w:r>
    </w:p>
    <w:p w14:paraId="7659259D" w14:textId="77777777" w:rsidR="008E74C1" w:rsidRDefault="00DF6FFA">
      <w:pPr>
        <w:pStyle w:val="IASBNormalnpara"/>
      </w:pPr>
      <w:r>
        <w:tab/>
        <w:t>…</w:t>
      </w:r>
    </w:p>
    <w:p w14:paraId="5504EE1F" w14:textId="77777777" w:rsidR="008E74C1" w:rsidRDefault="00DF6FFA">
      <w:pPr>
        <w:pStyle w:val="IASBSectionTitle1NonInd"/>
      </w:pPr>
      <w:r>
        <w:t>Дата вступления в силу и переходные положения</w:t>
      </w:r>
    </w:p>
    <w:p w14:paraId="392FFF4B" w14:textId="77777777" w:rsidR="008E74C1" w:rsidRDefault="00DF6FFA">
      <w:pPr>
        <w:pStyle w:val="IASBNormalnpara"/>
      </w:pPr>
      <w:r>
        <w:tab/>
        <w:t>…</w:t>
      </w:r>
    </w:p>
    <w:p w14:paraId="567FC560" w14:textId="4D175404" w:rsidR="008E74C1" w:rsidRDefault="00DF6FFA" w:rsidP="00AD2EA8">
      <w:pPr>
        <w:pStyle w:val="IASBNormalnpara"/>
      </w:pPr>
      <w:r>
        <w:rPr>
          <w:u w:val="single"/>
        </w:rPr>
        <w:t>54I</w:t>
      </w:r>
      <w:r>
        <w:tab/>
      </w:r>
      <w:r>
        <w:rPr>
          <w:u w:val="single"/>
        </w:rPr>
        <w:t xml:space="preserve">Документом </w:t>
      </w:r>
      <w:r>
        <w:rPr>
          <w:i/>
          <w:u w:val="single"/>
        </w:rPr>
        <w:t>«Определение бухгалтерских оценок»</w:t>
      </w:r>
      <w:r>
        <w:rPr>
          <w:u w:val="single"/>
        </w:rPr>
        <w:t>, выпущенным в феврале 2021 года, внесены изменения в пункты 5, 32, 34, 38 и 48 и добавлены пункты 32A, 32B и 34A. Организация должна применять данные поправки в отношении годовых отчетных периодов, начинающихся 1 января 2023</w:t>
      </w:r>
      <w:r w:rsidR="00270194">
        <w:rPr>
          <w:u w:val="single"/>
        </w:rPr>
        <w:t> </w:t>
      </w:r>
      <w:r>
        <w:rPr>
          <w:u w:val="single"/>
        </w:rPr>
        <w:t xml:space="preserve">года или после этой даты. Допускается досрочное применение. Организация должна применять </w:t>
      </w:r>
      <w:r>
        <w:rPr>
          <w:u w:val="single"/>
        </w:rPr>
        <w:lastRenderedPageBreak/>
        <w:t xml:space="preserve">данные </w:t>
      </w:r>
      <w:r w:rsidRPr="00F74C14">
        <w:rPr>
          <w:u w:val="single"/>
        </w:rPr>
        <w:t>поправки к изменениям в бухгалтерских оценках и изменениям в учетной политике, которые происходят на дату начала первого</w:t>
      </w:r>
      <w:r>
        <w:rPr>
          <w:u w:val="single"/>
        </w:rPr>
        <w:t xml:space="preserve"> годового отчетного периода, в котором организация впервые применяет данные поправки, или после этой даты.</w:t>
      </w:r>
    </w:p>
    <w:sectPr w:rsidR="008E74C1">
      <w:headerReference w:type="even" r:id="rId10"/>
      <w:headerReference w:type="default" r:id="rId11"/>
      <w:footerReference w:type="even" r:id="rId12"/>
      <w:footerReference w:type="default" r:id="rId13"/>
      <w:pgSz w:w="1188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265E" w14:textId="77777777" w:rsidR="00B20156" w:rsidRDefault="00B20156">
      <w:r>
        <w:separator/>
      </w:r>
    </w:p>
  </w:endnote>
  <w:endnote w:type="continuationSeparator" w:id="0">
    <w:p w14:paraId="27FEF184" w14:textId="77777777" w:rsidR="00B20156" w:rsidRDefault="00B2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8CCA" w14:textId="6210D9ED" w:rsidR="008E74C1" w:rsidRDefault="00DF6FFA">
    <w:pPr>
      <w:pStyle w:val="Footer"/>
    </w:pPr>
    <w:r>
      <w:fldChar w:fldCharType="begin"/>
    </w:r>
    <w:r>
      <w:instrText>PAGE</w:instrText>
    </w:r>
    <w:r>
      <w:fldChar w:fldCharType="separate"/>
    </w:r>
    <w:r w:rsidR="007B3934">
      <w:rPr>
        <w:noProof/>
      </w:rPr>
      <w:t>2</w:t>
    </w:r>
    <w:r>
      <w:fldChar w:fldCharType="end"/>
    </w:r>
    <w:r>
      <w:tab/>
      <w:t>© IFRS Foundation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99DE" w14:textId="3CA4F8F7" w:rsidR="008E74C1" w:rsidRDefault="00DF6FFA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7B39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70E1" w14:textId="77777777" w:rsidR="00B20156" w:rsidRDefault="00B20156">
      <w:r>
        <w:separator/>
      </w:r>
    </w:p>
  </w:footnote>
  <w:footnote w:type="continuationSeparator" w:id="0">
    <w:p w14:paraId="1A3818F5" w14:textId="77777777" w:rsidR="00B20156" w:rsidRDefault="00B2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A0D1" w14:textId="77777777" w:rsidR="008E74C1" w:rsidRDefault="008E7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E300" w14:textId="77777777" w:rsidR="008E74C1" w:rsidRDefault="00DF6FF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C1"/>
    <w:rsid w:val="00027D37"/>
    <w:rsid w:val="000572D6"/>
    <w:rsid w:val="000634FE"/>
    <w:rsid w:val="0009400C"/>
    <w:rsid w:val="000A4C0A"/>
    <w:rsid w:val="000B664E"/>
    <w:rsid w:val="00163DBE"/>
    <w:rsid w:val="001C4B22"/>
    <w:rsid w:val="00215A92"/>
    <w:rsid w:val="00243AA6"/>
    <w:rsid w:val="00270194"/>
    <w:rsid w:val="00294925"/>
    <w:rsid w:val="003950D3"/>
    <w:rsid w:val="003A04DF"/>
    <w:rsid w:val="003B3E01"/>
    <w:rsid w:val="00413090"/>
    <w:rsid w:val="004672CF"/>
    <w:rsid w:val="004C684E"/>
    <w:rsid w:val="0050402E"/>
    <w:rsid w:val="00506D97"/>
    <w:rsid w:val="00596C2B"/>
    <w:rsid w:val="00597D7F"/>
    <w:rsid w:val="005A6C13"/>
    <w:rsid w:val="005D40A5"/>
    <w:rsid w:val="005F7C58"/>
    <w:rsid w:val="00614E91"/>
    <w:rsid w:val="006265D1"/>
    <w:rsid w:val="00642ADB"/>
    <w:rsid w:val="00644A7E"/>
    <w:rsid w:val="00706E2E"/>
    <w:rsid w:val="007166C1"/>
    <w:rsid w:val="00723985"/>
    <w:rsid w:val="0075250C"/>
    <w:rsid w:val="00767C33"/>
    <w:rsid w:val="0079079C"/>
    <w:rsid w:val="007B3934"/>
    <w:rsid w:val="007C255D"/>
    <w:rsid w:val="00852972"/>
    <w:rsid w:val="008D6BC4"/>
    <w:rsid w:val="008E74C1"/>
    <w:rsid w:val="00926A78"/>
    <w:rsid w:val="00966D06"/>
    <w:rsid w:val="009B4F31"/>
    <w:rsid w:val="009E1C1F"/>
    <w:rsid w:val="009F67DB"/>
    <w:rsid w:val="00A04A75"/>
    <w:rsid w:val="00A71749"/>
    <w:rsid w:val="00AD2EA8"/>
    <w:rsid w:val="00AE117C"/>
    <w:rsid w:val="00B15FB5"/>
    <w:rsid w:val="00B20156"/>
    <w:rsid w:val="00BA3D84"/>
    <w:rsid w:val="00C17E91"/>
    <w:rsid w:val="00C20D44"/>
    <w:rsid w:val="00C73AF2"/>
    <w:rsid w:val="00CD024D"/>
    <w:rsid w:val="00CD67EC"/>
    <w:rsid w:val="00DA26EC"/>
    <w:rsid w:val="00DC0107"/>
    <w:rsid w:val="00DF6FFA"/>
    <w:rsid w:val="00E171FC"/>
    <w:rsid w:val="00E24D2E"/>
    <w:rsid w:val="00E7602C"/>
    <w:rsid w:val="00EB1571"/>
    <w:rsid w:val="00EE44A6"/>
    <w:rsid w:val="00F74C14"/>
    <w:rsid w:val="00F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51EA"/>
  <w15:docId w15:val="{808F1122-C244-4827-A5AC-64B5EECD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 w:line="240" w:lineRule="auto"/>
      <w:jc w:val="both"/>
    </w:pPr>
    <w:rPr>
      <w:sz w:val="19"/>
      <w:szCs w:val="20"/>
      <w:lang w:eastAsia="en-US"/>
    </w:rPr>
  </w:style>
  <w:style w:type="paragraph" w:customStyle="1" w:styleId="IASBNormalArial">
    <w:name w:val="IASB Normal Arial"/>
    <w:pPr>
      <w:tabs>
        <w:tab w:val="left" w:pos="4253"/>
      </w:tabs>
      <w:spacing w:before="100" w:after="100" w:line="240" w:lineRule="auto"/>
      <w:jc w:val="both"/>
    </w:pPr>
    <w:rPr>
      <w:rFonts w:ascii="Arial" w:hAnsi="Arial"/>
      <w:sz w:val="19"/>
      <w:szCs w:val="20"/>
      <w:lang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 w:line="240" w:lineRule="auto"/>
    </w:pPr>
    <w:rPr>
      <w:rFonts w:cs="Arial"/>
      <w:sz w:val="36"/>
      <w:szCs w:val="20"/>
      <w:lang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ArialnparaL1">
    <w:name w:val="IASB Normal Arial nparaL1"/>
    <w:basedOn w:val="IASBNormalnpara"/>
    <w:pPr>
      <w:ind w:left="1564"/>
    </w:pPr>
    <w:rPr>
      <w:rFonts w:ascii="Arial" w:hAnsi="Arial"/>
    </w:r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Primary">
    <w:name w:val="IASB TOC Primary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20"/>
      <w:szCs w:val="20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uiPriority w:val="99"/>
    <w:semiHidden/>
    <w:rsid w:val="00713675"/>
    <w:pPr>
      <w:keepNext w:val="0"/>
      <w:keepLines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paragraph" w:customStyle="1" w:styleId="edufootnotetext">
    <w:name w:val="edu 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sz w:val="16"/>
    </w:rPr>
  </w:style>
  <w:style w:type="character" w:customStyle="1" w:styleId="FootnoteTextChar">
    <w:name w:val="Footnote Text Char"/>
    <w:basedOn w:val="DefaultParagraphFont"/>
    <w:link w:val="edu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customStyle="1" w:styleId="IASBNormalArialL1">
    <w:name w:val="IASB Normal Arial L1"/>
    <w:basedOn w:val="IASBNormalnpara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ArialnparaL2">
    <w:name w:val="IASB Normal Arial nparaL2"/>
    <w:basedOn w:val="IASBNormalnparaL1"/>
    <w:pPr>
      <w:ind w:left="2347"/>
    </w:pPr>
    <w:rPr>
      <w:rFonts w:ascii="Arial" w:hAnsi="Arial"/>
    </w:rPr>
  </w:style>
  <w:style w:type="paragraph" w:customStyle="1" w:styleId="IASBNormalArialnparaL3">
    <w:name w:val="IASB Normal Arial nparaL3"/>
    <w:basedOn w:val="IASBNormalnparaL2"/>
    <w:pPr>
      <w:ind w:left="3129"/>
    </w:pPr>
    <w:rPr>
      <w:rFonts w:ascii="Arial" w:hAnsi="Arial"/>
    </w:rPr>
  </w:style>
  <w:style w:type="paragraph" w:customStyle="1" w:styleId="IASBNormalArialnparaL4">
    <w:name w:val="IASB Normal Arial nparaL4"/>
    <w:basedOn w:val="IASBNormalnparaL3"/>
    <w:pPr>
      <w:ind w:left="3912"/>
    </w:pPr>
    <w:rPr>
      <w:rFonts w:ascii="Arial" w:hAnsi="Arial"/>
    </w:rPr>
  </w:style>
  <w:style w:type="paragraph" w:customStyle="1" w:styleId="IASBNormalArialnparaL5">
    <w:name w:val="IASB Normal Arial nparaL5"/>
    <w:basedOn w:val="IASBNormalnparaL4"/>
    <w:pPr>
      <w:ind w:left="4694"/>
    </w:pPr>
    <w:rPr>
      <w:rFonts w:ascii="Arial" w:hAnsi="Arial"/>
    </w:r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NormalArialL2">
    <w:name w:val="IASB Normal Arial L2"/>
    <w:basedOn w:val="IASBNormalL1"/>
    <w:pPr>
      <w:ind w:left="1564"/>
    </w:pPr>
    <w:rPr>
      <w:rFonts w:ascii="Arial" w:hAnsi="Arial"/>
    </w:r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Normal">
    <w:name w:val="IASB Table Normal"/>
    <w:basedOn w:val="Normal"/>
    <w:pPr>
      <w:spacing w:before="80" w:after="6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pPr>
      <w:spacing w:after="60"/>
    </w:pPr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100"/>
    </w:pPr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ArialL3">
    <w:name w:val="IASB Normal Arial L3"/>
    <w:basedOn w:val="IASBNormalL2"/>
    <w:qFormat/>
    <w:rsid w:val="0078108C"/>
    <w:pPr>
      <w:ind w:left="2268" w:hanging="708"/>
    </w:pPr>
    <w:rPr>
      <w:rFonts w:ascii="Arial" w:hAnsi="Arial"/>
    </w:r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ArialL4">
    <w:name w:val="IASB Normal Arial L4"/>
    <w:basedOn w:val="IASBNormalL3"/>
    <w:qFormat/>
    <w:rsid w:val="0078108C"/>
    <w:pPr>
      <w:ind w:left="2977"/>
    </w:pPr>
    <w:rPr>
      <w:rFonts w:ascii="Arial" w:hAnsi="Arial"/>
    </w:r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paragraph" w:styleId="Revision">
    <w:name w:val="Revision"/>
    <w:hidden/>
    <w:uiPriority w:val="99"/>
    <w:semiHidden/>
    <w:rsid w:val="009E1C1F"/>
    <w:pPr>
      <w:spacing w:after="0" w:line="240" w:lineRule="auto"/>
    </w:pPr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2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5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55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55D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af2b0-f65d-434c-8a17-aadcdb553b78" xsi:nil="true"/>
    <lcf76f155ced4ddcb4097134ff3c332f xmlns="ec49eb38-6cb5-483f-a298-4a90bdd000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284443D39C047BFB7B26CC769F073" ma:contentTypeVersion="17" ma:contentTypeDescription="Create a new document." ma:contentTypeScope="" ma:versionID="e3cdb4ab884b898825e55b69f9fe61a7">
  <xsd:schema xmlns:xsd="http://www.w3.org/2001/XMLSchema" xmlns:xs="http://www.w3.org/2001/XMLSchema" xmlns:p="http://schemas.microsoft.com/office/2006/metadata/properties" xmlns:ns2="ec49eb38-6cb5-483f-a298-4a90bdd00051" xmlns:ns3="dd1af2b0-f65d-434c-8a17-aadcdb553b78" targetNamespace="http://schemas.microsoft.com/office/2006/metadata/properties" ma:root="true" ma:fieldsID="1f08cb3d13ae74dfede6920122535976" ns2:_="" ns3:_="">
    <xsd:import namespace="ec49eb38-6cb5-483f-a298-4a90bdd00051"/>
    <xsd:import namespace="dd1af2b0-f65d-434c-8a17-aadcdb553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eb38-6cb5-483f-a298-4a90bdd00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2f0513-a2ef-49c9-8f64-129a7e784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f2b0-f65d-434c-8a17-aadcdb553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56988c-21c8-4111-8ccb-b7eec4617890}" ma:internalName="TaxCatchAll" ma:showField="CatchAllData" ma:web="dd1af2b0-f65d-434c-8a17-aadcdb553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D491C-F702-4A4B-92C0-4B0449CAA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47E45-E964-4A0B-A717-50EDE0E1A0F0}">
  <ds:schemaRefs>
    <ds:schemaRef ds:uri="http://schemas.microsoft.com/office/2006/metadata/properties"/>
    <ds:schemaRef ds:uri="http://schemas.microsoft.com/office/infopath/2007/PartnerControls"/>
    <ds:schemaRef ds:uri="dd1af2b0-f65d-434c-8a17-aadcdb553b78"/>
    <ds:schemaRef ds:uri="ec49eb38-6cb5-483f-a298-4a90bdd00051"/>
  </ds:schemaRefs>
</ds:datastoreItem>
</file>

<file path=customXml/itemProps3.xml><?xml version="1.0" encoding="utf-8"?>
<ds:datastoreItem xmlns:ds="http://schemas.openxmlformats.org/officeDocument/2006/customXml" ds:itemID="{8C8B017C-56D4-4F9F-A4B3-5E7C158EA0FF}"/>
</file>

<file path=customXml/itemProps4.xml><?xml version="1.0" encoding="utf-8"?>
<ds:datastoreItem xmlns:ds="http://schemas.openxmlformats.org/officeDocument/2006/customXml" ds:itemID="{D1DB23CC-6F24-4562-BBDA-CAD484429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842</Words>
  <Characters>5748</Characters>
  <Application>Microsoft Office Word</Application>
  <DocSecurity>0</DocSecurity>
  <Lines>110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Larisa Bocharova</cp:lastModifiedBy>
  <cp:revision>4</cp:revision>
  <cp:lastPrinted>2022-09-07T15:16:00Z</cp:lastPrinted>
  <dcterms:created xsi:type="dcterms:W3CDTF">2023-02-20T12:14:00Z</dcterms:created>
  <dcterms:modified xsi:type="dcterms:W3CDTF">2023-02-20T12:18:00Z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0x01010083E284443D39C047BFB7B26CC769F073</vt:lpwstr>
  </property>
  <property fmtid="{D5CDD505-2E9C-101B-9397-08002B2CF9AE}" pid="3" name="Order">
    <vt:r8>1443800</vt:r8>
  </property>
</Properties>
</file>