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1124F" w14:textId="77777777" w:rsidR="00F53A56" w:rsidRPr="000448E9" w:rsidRDefault="00F81242" w:rsidP="00A57BC0">
      <w:pPr>
        <w:pStyle w:val="IASBSectionTitle1NonInd"/>
        <w:pBdr>
          <w:bottom w:val="none" w:sz="0" w:space="0" w:color="auto"/>
        </w:pBdr>
      </w:pPr>
      <w:r w:rsidRPr="000448E9">
        <w:t xml:space="preserve">Поправки к </w:t>
      </w:r>
      <w:r w:rsidRPr="000448E9">
        <w:br/>
        <w:t xml:space="preserve">МСФО (IAS) 1 </w:t>
      </w:r>
      <w:r w:rsidRPr="000448E9">
        <w:rPr>
          <w:i/>
        </w:rPr>
        <w:t>«Представление финансовой отчетности»</w:t>
      </w:r>
    </w:p>
    <w:p w14:paraId="4EE81200" w14:textId="77777777" w:rsidR="00F53A56" w:rsidRPr="000448E9" w:rsidRDefault="00F53A56">
      <w:pPr>
        <w:pStyle w:val="IASBNormalnpara"/>
      </w:pPr>
    </w:p>
    <w:tbl>
      <w:tblPr>
        <w:tblW w:w="92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834897" w14:paraId="146DBC7B" w14:textId="77777777" w:rsidTr="007947F8">
        <w:trPr>
          <w:trHeight w:val="374"/>
        </w:trPr>
        <w:tc>
          <w:tcPr>
            <w:tcW w:w="9214" w:type="dxa"/>
          </w:tcPr>
          <w:p w14:paraId="380777C5" w14:textId="44185026" w:rsidR="00F53A56" w:rsidRPr="000448E9" w:rsidRDefault="007947F8" w:rsidP="007947F8">
            <w:pPr>
              <w:pStyle w:val="IASBTableArial"/>
            </w:pPr>
            <w:r>
              <w:t>Пункт</w:t>
            </w:r>
            <w:r w:rsidR="00F81242" w:rsidRPr="000448E9">
              <w:t xml:space="preserve"> </w:t>
            </w:r>
            <w:r w:rsidRPr="007947F8">
              <w:t>139</w:t>
            </w:r>
            <w:r>
              <w:rPr>
                <w:lang w:val="en-US"/>
              </w:rPr>
              <w:t>U</w:t>
            </w:r>
            <w:r w:rsidRPr="007947F8">
              <w:t xml:space="preserve"> </w:t>
            </w:r>
            <w:r>
              <w:t>изменен</w:t>
            </w:r>
            <w:r w:rsidR="00F81242" w:rsidRPr="000448E9">
              <w:t>. Новый текст подчеркнут, удаленный текст зачеркнут.</w:t>
            </w:r>
          </w:p>
        </w:tc>
      </w:tr>
    </w:tbl>
    <w:p w14:paraId="0DEAB29A" w14:textId="77777777" w:rsidR="00F53A56" w:rsidRDefault="00F53A56">
      <w:pPr>
        <w:pStyle w:val="IASBNormalnpara"/>
      </w:pPr>
    </w:p>
    <w:p w14:paraId="6DB3E9B5" w14:textId="19F9E878" w:rsidR="008C32FD" w:rsidRPr="000448E9" w:rsidRDefault="008C32FD" w:rsidP="008C32FD">
      <w:pPr>
        <w:pStyle w:val="IASBNormalnpara"/>
      </w:pPr>
    </w:p>
    <w:p w14:paraId="06669276" w14:textId="77777777" w:rsidR="00F53A56" w:rsidRPr="000448E9" w:rsidRDefault="00F81242">
      <w:pPr>
        <w:pStyle w:val="IASBSectionTitle1NonInd"/>
      </w:pPr>
      <w:r w:rsidRPr="000448E9">
        <w:t>Переходные положения и дата вступления в силу</w:t>
      </w:r>
    </w:p>
    <w:p w14:paraId="75552165" w14:textId="561DC5FE" w:rsidR="00F53A56" w:rsidRPr="000448E9" w:rsidRDefault="00F81242" w:rsidP="00152CC5">
      <w:pPr>
        <w:pStyle w:val="IASBNormalnpara"/>
        <w:rPr>
          <w:u w:val="single"/>
        </w:rPr>
      </w:pPr>
      <w:r w:rsidRPr="000448E9">
        <w:rPr>
          <w:u w:val="single"/>
        </w:rPr>
        <w:t>139U</w:t>
      </w:r>
      <w:r w:rsidRPr="000448E9">
        <w:tab/>
      </w:r>
      <w:r w:rsidRPr="000448E9">
        <w:rPr>
          <w:u w:val="single"/>
        </w:rPr>
        <w:t xml:space="preserve">Документом </w:t>
      </w:r>
      <w:r w:rsidRPr="000448E9">
        <w:rPr>
          <w:i/>
          <w:u w:val="single"/>
        </w:rPr>
        <w:t>«Классификация обязательств как краткосрочных или долгосрочных»</w:t>
      </w:r>
      <w:r w:rsidRPr="000448E9">
        <w:rPr>
          <w:u w:val="single"/>
        </w:rPr>
        <w:t xml:space="preserve">, выпущенным в январе 2020 года, внесены изменения в пункты 69, 73, 74 и 76, а также добавлены пункты 72A, 75A, 76A и 76B. Организация должна применять данные поправки в отношении годовых отчетных периодов, начинающихся 1 января </w:t>
      </w:r>
      <w:r w:rsidRPr="007A7D2E">
        <w:rPr>
          <w:strike/>
          <w:u w:val="single"/>
        </w:rPr>
        <w:t>2022</w:t>
      </w:r>
      <w:r w:rsidR="007A7D2E" w:rsidRPr="007A7D2E">
        <w:rPr>
          <w:u w:val="single"/>
        </w:rPr>
        <w:t>2023</w:t>
      </w:r>
      <w:bookmarkStart w:id="0" w:name="_GoBack"/>
      <w:bookmarkEnd w:id="0"/>
      <w:r w:rsidRPr="000448E9">
        <w:rPr>
          <w:u w:val="single"/>
        </w:rPr>
        <w:t xml:space="preserve"> года или после этой даты, ретроспективно в соответствии с МСФО (IAS) 8. Допускается досрочное применение. Если организация применит данные поправки в отношении более раннего периода, она должна раскрыть этот факт</w:t>
      </w:r>
      <w:r w:rsidR="00152CC5">
        <w:rPr>
          <w:u w:val="single"/>
        </w:rPr>
        <w:t>.</w:t>
      </w:r>
    </w:p>
    <w:sectPr w:rsidR="00F53A56" w:rsidRPr="000448E9">
      <w:headerReference w:type="even" r:id="rId10"/>
      <w:headerReference w:type="default" r:id="rId11"/>
      <w:footerReference w:type="even" r:id="rId12"/>
      <w:footerReference w:type="default" r:id="rId13"/>
      <w:pgSz w:w="11880" w:h="16820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C236D3" w16cid:durableId="21ED2947"/>
  <w16cid:commentId w16cid:paraId="6287D71E" w16cid:durableId="21E54A56"/>
  <w16cid:commentId w16cid:paraId="3593B919" w16cid:durableId="21ED2A3D"/>
  <w16cid:commentId w16cid:paraId="068D7C78" w16cid:durableId="21ED2ADC"/>
  <w16cid:commentId w16cid:paraId="05515702" w16cid:durableId="21ED24C0"/>
  <w16cid:commentId w16cid:paraId="35B38819" w16cid:durableId="21ED2AA5"/>
  <w16cid:commentId w16cid:paraId="1296359B" w16cid:durableId="21E54A87"/>
  <w16cid:commentId w16cid:paraId="7764E961" w16cid:durableId="21ED24E7"/>
  <w16cid:commentId w16cid:paraId="7DA45AAB" w16cid:durableId="21ED2877"/>
  <w16cid:commentId w16cid:paraId="25665333" w16cid:durableId="21E54B5E"/>
  <w16cid:commentId w16cid:paraId="7E0806D2" w16cid:durableId="21ED2524"/>
  <w16cid:commentId w16cid:paraId="4C076B1C" w16cid:durableId="21ED2BDD"/>
  <w16cid:commentId w16cid:paraId="1E2F4378" w16cid:durableId="21ED252B"/>
  <w16cid:commentId w16cid:paraId="4FD85DD0" w16cid:durableId="21ED2C03"/>
  <w16cid:commentId w16cid:paraId="2D4417DA" w16cid:durableId="21ED2546"/>
  <w16cid:commentId w16cid:paraId="08B1D642" w16cid:durableId="21ED2D31"/>
  <w16cid:commentId w16cid:paraId="576925CD" w16cid:durableId="21ED2566"/>
  <w16cid:commentId w16cid:paraId="6AB11D5A" w16cid:durableId="21ED2E92"/>
  <w16cid:commentId w16cid:paraId="6BAE3E8C" w16cid:durableId="21ED2F7A"/>
  <w16cid:commentId w16cid:paraId="468AD8ED" w16cid:durableId="21ED2728"/>
  <w16cid:commentId w16cid:paraId="723836A4" w16cid:durableId="21ED2F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7A0DE" w14:textId="77777777" w:rsidR="00D80A34" w:rsidRDefault="00D80A34">
      <w:r>
        <w:separator/>
      </w:r>
    </w:p>
  </w:endnote>
  <w:endnote w:type="continuationSeparator" w:id="0">
    <w:p w14:paraId="373DEDB2" w14:textId="77777777" w:rsidR="00D80A34" w:rsidRDefault="00D8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BEA45" w14:textId="77777777" w:rsidR="008C32FD" w:rsidRDefault="008C32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D14F5" w14:textId="77777777" w:rsidR="008C32FD" w:rsidRPr="00896A8F" w:rsidRDefault="008C32FD">
    <w:pPr>
      <w:pStyle w:val="Footer"/>
      <w:rPr>
        <w:sz w:val="20"/>
        <w:szCs w:val="20"/>
      </w:rPr>
    </w:pPr>
    <w:r w:rsidRPr="00896A8F">
      <w:rPr>
        <w:sz w:val="20"/>
        <w:szCs w:val="20"/>
      </w:rPr>
      <w:tab/>
      <w:t>© IFRS Foundation</w:t>
    </w:r>
    <w:r w:rsidRPr="00896A8F">
      <w:rPr>
        <w:sz w:val="20"/>
        <w:szCs w:val="20"/>
      </w:rPr>
      <w:tab/>
    </w:r>
    <w:r w:rsidRPr="00896A8F">
      <w:rPr>
        <w:sz w:val="20"/>
        <w:szCs w:val="20"/>
      </w:rPr>
      <w:fldChar w:fldCharType="begin"/>
    </w:r>
    <w:r w:rsidRPr="00896A8F">
      <w:rPr>
        <w:sz w:val="20"/>
        <w:szCs w:val="20"/>
      </w:rPr>
      <w:instrText>PAGE</w:instrText>
    </w:r>
    <w:r w:rsidRPr="00896A8F">
      <w:rPr>
        <w:sz w:val="20"/>
        <w:szCs w:val="20"/>
      </w:rPr>
      <w:fldChar w:fldCharType="separate"/>
    </w:r>
    <w:r w:rsidR="007A7D2E">
      <w:rPr>
        <w:noProof/>
        <w:sz w:val="20"/>
        <w:szCs w:val="20"/>
      </w:rPr>
      <w:t>1</w:t>
    </w:r>
    <w:r w:rsidRPr="00896A8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8682F" w14:textId="77777777" w:rsidR="00D80A34" w:rsidRDefault="00D80A34">
      <w:r>
        <w:separator/>
      </w:r>
    </w:p>
  </w:footnote>
  <w:footnote w:type="continuationSeparator" w:id="0">
    <w:p w14:paraId="04220040" w14:textId="77777777" w:rsidR="00D80A34" w:rsidRDefault="00D8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CB8C3" w14:textId="77777777" w:rsidR="008C32FD" w:rsidRDefault="008C32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ADF95" w14:textId="77777777" w:rsidR="008C32FD" w:rsidRDefault="008C32FD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56"/>
    <w:rsid w:val="000023E2"/>
    <w:rsid w:val="000448E9"/>
    <w:rsid w:val="00060391"/>
    <w:rsid w:val="00062811"/>
    <w:rsid w:val="000D55EA"/>
    <w:rsid w:val="000E533D"/>
    <w:rsid w:val="000F59DF"/>
    <w:rsid w:val="00115A06"/>
    <w:rsid w:val="00152CC5"/>
    <w:rsid w:val="0018699F"/>
    <w:rsid w:val="00191EC0"/>
    <w:rsid w:val="001A43F1"/>
    <w:rsid w:val="001B75CC"/>
    <w:rsid w:val="001C2DDD"/>
    <w:rsid w:val="001F5E84"/>
    <w:rsid w:val="001F68A9"/>
    <w:rsid w:val="00233C43"/>
    <w:rsid w:val="0023796E"/>
    <w:rsid w:val="00242DB0"/>
    <w:rsid w:val="0027561D"/>
    <w:rsid w:val="002A5500"/>
    <w:rsid w:val="002C205C"/>
    <w:rsid w:val="00303F8C"/>
    <w:rsid w:val="003525F4"/>
    <w:rsid w:val="00364E24"/>
    <w:rsid w:val="003E0453"/>
    <w:rsid w:val="00411B23"/>
    <w:rsid w:val="004147F9"/>
    <w:rsid w:val="00454F61"/>
    <w:rsid w:val="004575FA"/>
    <w:rsid w:val="004E0268"/>
    <w:rsid w:val="00524B0A"/>
    <w:rsid w:val="00526CD1"/>
    <w:rsid w:val="00527D38"/>
    <w:rsid w:val="00584A19"/>
    <w:rsid w:val="00591EA5"/>
    <w:rsid w:val="005A33B5"/>
    <w:rsid w:val="005A7A0D"/>
    <w:rsid w:val="00612F41"/>
    <w:rsid w:val="0064706E"/>
    <w:rsid w:val="006E265A"/>
    <w:rsid w:val="006E630C"/>
    <w:rsid w:val="006F6B62"/>
    <w:rsid w:val="00715A62"/>
    <w:rsid w:val="0072035B"/>
    <w:rsid w:val="0075282E"/>
    <w:rsid w:val="007600EF"/>
    <w:rsid w:val="007840D3"/>
    <w:rsid w:val="00793E2A"/>
    <w:rsid w:val="007947F8"/>
    <w:rsid w:val="007A7D2E"/>
    <w:rsid w:val="007C3E49"/>
    <w:rsid w:val="007C77A9"/>
    <w:rsid w:val="00800E57"/>
    <w:rsid w:val="0080179E"/>
    <w:rsid w:val="00811779"/>
    <w:rsid w:val="0081421C"/>
    <w:rsid w:val="00834897"/>
    <w:rsid w:val="00836A9C"/>
    <w:rsid w:val="00845623"/>
    <w:rsid w:val="00850036"/>
    <w:rsid w:val="0086038A"/>
    <w:rsid w:val="00877981"/>
    <w:rsid w:val="00896A8F"/>
    <w:rsid w:val="008A7F2D"/>
    <w:rsid w:val="008C32FD"/>
    <w:rsid w:val="008D43B1"/>
    <w:rsid w:val="00944FB2"/>
    <w:rsid w:val="00945BF1"/>
    <w:rsid w:val="009A2862"/>
    <w:rsid w:val="009C7007"/>
    <w:rsid w:val="009E070D"/>
    <w:rsid w:val="009E5AB7"/>
    <w:rsid w:val="00A02697"/>
    <w:rsid w:val="00A16166"/>
    <w:rsid w:val="00A2573A"/>
    <w:rsid w:val="00A57BC0"/>
    <w:rsid w:val="00A8098C"/>
    <w:rsid w:val="00A97093"/>
    <w:rsid w:val="00AB58AF"/>
    <w:rsid w:val="00AB60B4"/>
    <w:rsid w:val="00AE10B8"/>
    <w:rsid w:val="00B2341E"/>
    <w:rsid w:val="00B519D6"/>
    <w:rsid w:val="00B86939"/>
    <w:rsid w:val="00BB4A6E"/>
    <w:rsid w:val="00BF2F67"/>
    <w:rsid w:val="00C71FBE"/>
    <w:rsid w:val="00C74A68"/>
    <w:rsid w:val="00D16711"/>
    <w:rsid w:val="00D537C6"/>
    <w:rsid w:val="00D669AE"/>
    <w:rsid w:val="00D6773F"/>
    <w:rsid w:val="00D80A34"/>
    <w:rsid w:val="00DA6C8D"/>
    <w:rsid w:val="00DB4D0F"/>
    <w:rsid w:val="00DF6135"/>
    <w:rsid w:val="00E26110"/>
    <w:rsid w:val="00E33D19"/>
    <w:rsid w:val="00E37880"/>
    <w:rsid w:val="00E53AFE"/>
    <w:rsid w:val="00E57B39"/>
    <w:rsid w:val="00E57FE5"/>
    <w:rsid w:val="00E75D33"/>
    <w:rsid w:val="00E85252"/>
    <w:rsid w:val="00E87CFF"/>
    <w:rsid w:val="00E9106E"/>
    <w:rsid w:val="00EA2E32"/>
    <w:rsid w:val="00ED5EA8"/>
    <w:rsid w:val="00F105FB"/>
    <w:rsid w:val="00F24B5F"/>
    <w:rsid w:val="00F53A56"/>
    <w:rsid w:val="00F56CA9"/>
    <w:rsid w:val="00F7410A"/>
    <w:rsid w:val="00F81242"/>
    <w:rsid w:val="00FB773E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809D"/>
  <w15:docId w15:val="{AE8C5700-FFED-490D-ABCF-E8CDAAE8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/>
      <w:jc w:val="both"/>
    </w:pPr>
    <w:rPr>
      <w:sz w:val="19"/>
      <w:lang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rsid w:val="00E20281"/>
    <w:pPr>
      <w:keepNext/>
      <w:keepLines/>
      <w:spacing w:before="300" w:after="200"/>
    </w:pPr>
    <w:rPr>
      <w:rFonts w:ascii="Arial" w:hAnsi="Arial" w:cs="Arial"/>
      <w:b/>
      <w:sz w:val="19"/>
      <w:szCs w:val="20"/>
    </w:rPr>
  </w:style>
  <w:style w:type="paragraph" w:customStyle="1" w:styleId="IASBSectionTitle5Ind">
    <w:name w:val="IASB Section Title 5 Ind"/>
    <w:basedOn w:val="IASBSectionTitle5NonInd"/>
    <w:rsid w:val="00E20281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/>
    </w:pPr>
    <w:rPr>
      <w:rFonts w:cs="Arial"/>
      <w:sz w:val="36"/>
      <w:lang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E9784B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link w:val="FootnoteTextChar"/>
    <w:uiPriority w:val="99"/>
    <w:semiHidden/>
    <w:rsid w:val="00713675"/>
    <w:pPr>
      <w:keepNext w:val="0"/>
      <w:keepLines w:val="0"/>
      <w:spacing w:before="0" w:after="0"/>
      <w:ind w:hanging="782"/>
    </w:pPr>
    <w:rPr>
      <w:rFonts w:ascii="Times New Roman" w:hAnsi="Times New Roman" w:cs="Times New Roman"/>
      <w:b w:val="0"/>
      <w:sz w:val="16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200" w:line="276" w:lineRule="auto"/>
    </w:pPr>
  </w:style>
  <w:style w:type="character" w:styleId="EndnoteReference">
    <w:name w:val="endnote reference"/>
    <w:uiPriority w:val="99"/>
    <w:semiHidden/>
    <w:unhideWhenUsed/>
    <w:rsid w:val="004B3E7E"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rsid w:val="0078108C"/>
    <w:pPr>
      <w:ind w:left="2268" w:hanging="708"/>
    </w:pPr>
  </w:style>
  <w:style w:type="paragraph" w:customStyle="1" w:styleId="IASBNormalL3P">
    <w:name w:val="IASB Normal L3P"/>
    <w:basedOn w:val="IASBNormalL2P"/>
    <w:qFormat/>
    <w:rsid w:val="0078108C"/>
    <w:pPr>
      <w:ind w:left="2268"/>
    </w:pPr>
  </w:style>
  <w:style w:type="paragraph" w:customStyle="1" w:styleId="IASBNormalL4">
    <w:name w:val="IASB Normal L4"/>
    <w:basedOn w:val="IASBNormalL3"/>
    <w:qFormat/>
    <w:rsid w:val="0078108C"/>
    <w:pPr>
      <w:ind w:left="2977"/>
    </w:pPr>
  </w:style>
  <w:style w:type="paragraph" w:customStyle="1" w:styleId="IASBNormalL4P">
    <w:name w:val="IASB Normal L4P"/>
    <w:basedOn w:val="IASBNormalL3P"/>
    <w:qFormat/>
    <w:rsid w:val="0078108C"/>
    <w:pPr>
      <w:ind w:left="2977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4B0A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17"/>
      <w:szCs w:val="17"/>
      <w:u w:val="single" w:color="000000"/>
      <w:lang w:bidi="en-US"/>
    </w:rPr>
  </w:style>
  <w:style w:type="character" w:customStyle="1" w:styleId="BodyTextChar">
    <w:name w:val="Body Text Char"/>
    <w:link w:val="BodyText"/>
    <w:uiPriority w:val="1"/>
    <w:semiHidden/>
    <w:rsid w:val="00524B0A"/>
    <w:rPr>
      <w:rFonts w:ascii="Bookman Old Style" w:eastAsia="Bookman Old Style" w:hAnsi="Bookman Old Style" w:cs="Bookman Old Style"/>
      <w:sz w:val="17"/>
      <w:szCs w:val="17"/>
      <w:u w:val="single" w:color="000000"/>
      <w:lang w:val="ru-RU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6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D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284443D39C047BFB7B26CC769F073" ma:contentTypeVersion="10" ma:contentTypeDescription="Create a new document." ma:contentTypeScope="" ma:versionID="b3bd5fd9ef3fd52cab5f92cbc23941d3">
  <xsd:schema xmlns:xsd="http://www.w3.org/2001/XMLSchema" xmlns:xs="http://www.w3.org/2001/XMLSchema" xmlns:p="http://schemas.microsoft.com/office/2006/metadata/properties" xmlns:ns2="ec49eb38-6cb5-483f-a298-4a90bdd00051" xmlns:ns3="dd1af2b0-f65d-434c-8a17-aadcdb553b78" targetNamespace="http://schemas.microsoft.com/office/2006/metadata/properties" ma:root="true" ma:fieldsID="2bff8edf94bd20f193e8dac5ca03f08c" ns2:_="" ns3:_="">
    <xsd:import namespace="ec49eb38-6cb5-483f-a298-4a90bdd00051"/>
    <xsd:import namespace="dd1af2b0-f65d-434c-8a17-aadcdb553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eb38-6cb5-483f-a298-4a90bdd00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f2b0-f65d-434c-8a17-aadcdb553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16C6-FDF0-4B68-8178-ECAF7BD1D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9eb38-6cb5-483f-a298-4a90bdd00051"/>
    <ds:schemaRef ds:uri="dd1af2b0-f65d-434c-8a17-aadcdb553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B2371-EEC9-4493-AE7E-4A7D7852F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CD5421-30C9-47AD-801E-9D873CC2A4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13012-7806-43C1-8968-391445C6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Бочарова Лариса</cp:lastModifiedBy>
  <cp:revision>2</cp:revision>
  <dcterms:created xsi:type="dcterms:W3CDTF">2020-07-29T13:00:00Z</dcterms:created>
  <dcterms:modified xsi:type="dcterms:W3CDTF">2020-07-29T13:00:00Z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0x01010083E284443D39C047BFB7B26CC769F073</vt:lpwstr>
  </property>
</Properties>
</file>