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32C8" w14:textId="0B7E80CF" w:rsidR="00A94A84" w:rsidRPr="00AB2FB7" w:rsidRDefault="00AE4AE5">
      <w:pPr>
        <w:pStyle w:val="IASBSectionTitle1NonInd"/>
      </w:pPr>
      <w:r w:rsidRPr="00AB2FB7">
        <w:t>Поправк</w:t>
      </w:r>
      <w:r w:rsidR="00247B62" w:rsidRPr="00AB2FB7">
        <w:t>а</w:t>
      </w:r>
      <w:r w:rsidRPr="00AB2FB7">
        <w:t xml:space="preserve"> к </w:t>
      </w:r>
      <w:r w:rsidR="00247B62" w:rsidRPr="00AB2FB7">
        <w:br/>
      </w:r>
      <w:r w:rsidRPr="00AB2FB7">
        <w:t xml:space="preserve">МСФО (IFRS) 1 </w:t>
      </w:r>
      <w:r w:rsidRPr="00AB2FB7">
        <w:rPr>
          <w:i/>
        </w:rPr>
        <w:t>«Первое применение Международных стандартов финансовой отчетности»</w:t>
      </w:r>
    </w:p>
    <w:p w14:paraId="1C8D20C3" w14:textId="77777777" w:rsidR="00A94A84" w:rsidRPr="00AB2FB7" w:rsidRDefault="00A94A84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B2FB7" w:rsidRPr="00AB2FB7" w14:paraId="31D4A28B" w14:textId="77777777">
        <w:tc>
          <w:tcPr>
            <w:tcW w:w="0" w:type="auto"/>
          </w:tcPr>
          <w:p w14:paraId="6D2EA74A" w14:textId="3A2008DE" w:rsidR="00A94A84" w:rsidRPr="00AB2FB7" w:rsidRDefault="00AE4AE5" w:rsidP="00B61127">
            <w:pPr>
              <w:pStyle w:val="IASBTableArial"/>
            </w:pPr>
            <w:r w:rsidRPr="00AB2FB7">
              <w:t>Пункт 39AG и пункт D13A в Приложении D добавлены. В пункт D1(f) внесены изменения. Новый текст подчеркнут, удаленный текст зачеркнут.</w:t>
            </w:r>
          </w:p>
        </w:tc>
      </w:tr>
    </w:tbl>
    <w:p w14:paraId="456C6E43" w14:textId="77777777" w:rsidR="00A94A84" w:rsidRPr="00AB2FB7" w:rsidRDefault="00A94A84">
      <w:pPr>
        <w:pStyle w:val="IASBNormalnpara"/>
      </w:pPr>
    </w:p>
    <w:p w14:paraId="6BCEC9EB" w14:textId="77777777" w:rsidR="00A94A84" w:rsidRPr="00AB2FB7" w:rsidRDefault="00AE4AE5">
      <w:pPr>
        <w:pStyle w:val="IASBSectionTitle1NonInd"/>
      </w:pPr>
      <w:r w:rsidRPr="00AB2FB7">
        <w:t>Дата вступления в силу</w:t>
      </w:r>
    </w:p>
    <w:p w14:paraId="77252472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66F40ECA" w14:textId="52F0FFB9" w:rsidR="00A94A84" w:rsidRPr="00AB2FB7" w:rsidRDefault="00AE4AE5">
      <w:pPr>
        <w:pStyle w:val="IASBNormalnpara"/>
      </w:pPr>
      <w:r w:rsidRPr="00AB2FB7">
        <w:rPr>
          <w:u w:val="single"/>
        </w:rPr>
        <w:t>39AG</w:t>
      </w:r>
      <w:r w:rsidRPr="00AB2FB7">
        <w:tab/>
      </w:r>
      <w:r w:rsidRPr="00AB2FB7">
        <w:rPr>
          <w:u w:val="single"/>
        </w:rPr>
        <w:t xml:space="preserve">Документом </w:t>
      </w:r>
      <w:r w:rsidRPr="00AB2FB7">
        <w:rPr>
          <w:i/>
          <w:u w:val="single"/>
        </w:rPr>
        <w:t>«Ежегодные усовершенствования Международных стандартов финансовой отчетности, период 2018-2020 гг.»</w:t>
      </w:r>
      <w:r w:rsidRPr="00AB2FB7">
        <w:rPr>
          <w:u w:val="single"/>
        </w:rPr>
        <w:t>, выпущенным в мае 2020 года, внесены изменения в пункт D1(f) и добавлен пункт D13А. Организация должна применять данн</w:t>
      </w:r>
      <w:r w:rsidR="00247B62" w:rsidRPr="00AB2FB7">
        <w:rPr>
          <w:u w:val="single"/>
        </w:rPr>
        <w:t>ую</w:t>
      </w:r>
      <w:r w:rsidRPr="00AB2FB7">
        <w:rPr>
          <w:u w:val="single"/>
        </w:rPr>
        <w:t xml:space="preserve"> поправк</w:t>
      </w:r>
      <w:r w:rsidR="00247B62" w:rsidRPr="00AB2FB7">
        <w:rPr>
          <w:u w:val="single"/>
        </w:rPr>
        <w:t>у</w:t>
      </w:r>
      <w:r w:rsidRPr="00AB2FB7">
        <w:rPr>
          <w:u w:val="single"/>
        </w:rPr>
        <w:t xml:space="preserve"> в отношении годовых отчетных периодов, начинающихся 1 января 2022 года или после этой даты. Допускается досрочное применение. Если организация применит данн</w:t>
      </w:r>
      <w:r w:rsidR="00452D41" w:rsidRPr="00AB2FB7">
        <w:rPr>
          <w:u w:val="single"/>
        </w:rPr>
        <w:t xml:space="preserve">ую </w:t>
      </w:r>
      <w:r w:rsidRPr="00AB2FB7">
        <w:rPr>
          <w:u w:val="single"/>
        </w:rPr>
        <w:t>поправк</w:t>
      </w:r>
      <w:r w:rsidR="00452D41" w:rsidRPr="00AB2FB7">
        <w:rPr>
          <w:u w:val="single"/>
        </w:rPr>
        <w:t>у</w:t>
      </w:r>
      <w:r w:rsidRPr="00AB2FB7">
        <w:rPr>
          <w:u w:val="single"/>
        </w:rPr>
        <w:t xml:space="preserve"> в отношении более раннего периода, она должна раскрыть этот факт.</w:t>
      </w:r>
    </w:p>
    <w:p w14:paraId="3BE85272" w14:textId="77777777" w:rsidR="00A94A84" w:rsidRPr="00AB2FB7" w:rsidRDefault="00A94A84">
      <w:pPr>
        <w:sectPr w:rsidR="00A94A84" w:rsidRPr="00AB2FB7">
          <w:headerReference w:type="default" r:id="rId10"/>
          <w:footerReference w:type="even" r:id="rId11"/>
          <w:footerReference w:type="default" r:id="rId12"/>
          <w:pgSz w:w="11880" w:h="16820"/>
          <w:pgMar w:top="1440" w:right="1440" w:bottom="1440" w:left="1440" w:header="720" w:footer="720" w:gutter="0"/>
          <w:cols w:space="720"/>
        </w:sectPr>
      </w:pPr>
    </w:p>
    <w:p w14:paraId="5AAFAAF1" w14:textId="77777777" w:rsidR="00A94A84" w:rsidRPr="00AB2FB7" w:rsidRDefault="00AE4AE5">
      <w:pPr>
        <w:pStyle w:val="IASBSectionTitle2NonInd"/>
      </w:pPr>
      <w:r w:rsidRPr="00AB2FB7">
        <w:lastRenderedPageBreak/>
        <w:t>Приложение D</w:t>
      </w:r>
      <w:r w:rsidRPr="00AB2FB7">
        <w:br/>
        <w:t>Освобождения от требований других МСФО</w:t>
      </w:r>
    </w:p>
    <w:p w14:paraId="203DBCFD" w14:textId="77777777" w:rsidR="00A94A84" w:rsidRPr="00AB2FB7" w:rsidRDefault="00AE4AE5">
      <w:pPr>
        <w:pStyle w:val="IASBNormal"/>
      </w:pPr>
      <w:r w:rsidRPr="00AB2FB7">
        <w:rPr>
          <w:i/>
        </w:rPr>
        <w:t>Настоящее приложение является неотъемлемой частью настоящего МСФО.</w:t>
      </w:r>
    </w:p>
    <w:p w14:paraId="7B87FCCA" w14:textId="77777777" w:rsidR="00A94A84" w:rsidRPr="00AB2FB7" w:rsidRDefault="00AE4AE5">
      <w:pPr>
        <w:pStyle w:val="IASBNormalnpara"/>
      </w:pPr>
      <w:r w:rsidRPr="00AB2FB7">
        <w:t>D1</w:t>
      </w:r>
      <w:r w:rsidRPr="00AB2FB7">
        <w:tab/>
        <w:t>Организация может принять решение об использовании одного или более из следующих освобождений:</w:t>
      </w:r>
    </w:p>
    <w:p w14:paraId="2AF9CB25" w14:textId="77777777" w:rsidR="00A94A84" w:rsidRPr="00AB2FB7" w:rsidRDefault="00AE4AE5">
      <w:pPr>
        <w:pStyle w:val="IASBNormalnparaL1"/>
      </w:pPr>
      <w:r w:rsidRPr="00AB2FB7">
        <w:t>...</w:t>
      </w:r>
      <w:r w:rsidRPr="00AB2FB7">
        <w:tab/>
      </w:r>
    </w:p>
    <w:p w14:paraId="4BF3045C" w14:textId="051F2699" w:rsidR="00A94A84" w:rsidRPr="00AB2FB7" w:rsidRDefault="00AE4AE5">
      <w:pPr>
        <w:pStyle w:val="IASBNormalnparaL1"/>
      </w:pPr>
      <w:r w:rsidRPr="00AB2FB7">
        <w:t>(f)</w:t>
      </w:r>
      <w:r w:rsidRPr="00AB2FB7">
        <w:tab/>
        <w:t>накопленные курсовые разницы по инвестициям в иностранные подразделения (пункты D12</w:t>
      </w:r>
      <w:r w:rsidR="00247B62" w:rsidRPr="00AB2FB7">
        <w:rPr>
          <w:u w:val="single"/>
        </w:rPr>
        <w:t>–</w:t>
      </w:r>
      <w:r w:rsidRPr="00AB2FB7">
        <w:rPr>
          <w:u w:val="single"/>
        </w:rPr>
        <w:t>D13A</w:t>
      </w:r>
      <w:r w:rsidRPr="00AB2FB7">
        <w:rPr>
          <w:strike/>
        </w:rPr>
        <w:t xml:space="preserve"> и D13</w:t>
      </w:r>
      <w:r w:rsidRPr="00AB2FB7">
        <w:t>);</w:t>
      </w:r>
    </w:p>
    <w:p w14:paraId="44FB26EC" w14:textId="77777777" w:rsidR="00A94A84" w:rsidRPr="00AB2FB7" w:rsidRDefault="00AE4AE5">
      <w:pPr>
        <w:pStyle w:val="IASBNormalnparaL1"/>
      </w:pPr>
      <w:r w:rsidRPr="00AB2FB7">
        <w:t>...</w:t>
      </w:r>
      <w:r w:rsidRPr="00AB2FB7">
        <w:tab/>
      </w:r>
    </w:p>
    <w:p w14:paraId="7210FBFB" w14:textId="77777777" w:rsidR="00A94A84" w:rsidRPr="00AB2FB7" w:rsidRDefault="00AE4AE5">
      <w:pPr>
        <w:pStyle w:val="IASBSectionTitle2Ind"/>
      </w:pPr>
      <w:r w:rsidRPr="00AB2FB7">
        <w:t>Накопленные курсовые разницы по инвестициям в иностранные подразделения</w:t>
      </w:r>
    </w:p>
    <w:p w14:paraId="109FBAA2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5AC7826F" w14:textId="04147820" w:rsidR="00A94A84" w:rsidRPr="00AB2FB7" w:rsidRDefault="00AE4AE5">
      <w:pPr>
        <w:pStyle w:val="IASBNormalnpara"/>
      </w:pPr>
      <w:r w:rsidRPr="00AB2FB7">
        <w:rPr>
          <w:u w:val="single"/>
        </w:rPr>
        <w:t>D13A</w:t>
      </w:r>
      <w:r w:rsidRPr="00AB2FB7">
        <w:tab/>
      </w:r>
      <w:r w:rsidRPr="00AB2FB7">
        <w:rPr>
          <w:u w:val="single"/>
        </w:rPr>
        <w:t>Вместо применения пункта D12 или пункта D13 дочерняя организация, которая использует освобождение</w:t>
      </w:r>
      <w:r w:rsidR="00BB724F" w:rsidRPr="00AB2FB7">
        <w:rPr>
          <w:u w:val="single"/>
        </w:rPr>
        <w:t xml:space="preserve">, предусмотренное </w:t>
      </w:r>
      <w:r w:rsidRPr="00AB2FB7">
        <w:rPr>
          <w:u w:val="single"/>
        </w:rPr>
        <w:t>пункт</w:t>
      </w:r>
      <w:r w:rsidR="00BB724F" w:rsidRPr="00AB2FB7">
        <w:rPr>
          <w:u w:val="single"/>
        </w:rPr>
        <w:t>ом</w:t>
      </w:r>
      <w:r w:rsidRPr="00AB2FB7">
        <w:rPr>
          <w:u w:val="single"/>
        </w:rPr>
        <w:t xml:space="preserve"> D16(a), может </w:t>
      </w:r>
      <w:r w:rsidR="00BB724F" w:rsidRPr="00AB2FB7">
        <w:rPr>
          <w:u w:val="single"/>
        </w:rPr>
        <w:t>принять решение</w:t>
      </w:r>
      <w:r w:rsidR="009F5458" w:rsidRPr="009F5458">
        <w:rPr>
          <w:u w:val="single"/>
        </w:rPr>
        <w:t xml:space="preserve"> </w:t>
      </w:r>
      <w:r w:rsidR="009F5458">
        <w:rPr>
          <w:u w:val="single"/>
        </w:rPr>
        <w:t>о том, чтобы</w:t>
      </w:r>
      <w:r w:rsidR="00BB724F" w:rsidRPr="00AB2FB7">
        <w:rPr>
          <w:u w:val="single"/>
        </w:rPr>
        <w:t xml:space="preserve"> </w:t>
      </w:r>
      <w:r w:rsidRPr="00AB2FB7">
        <w:rPr>
          <w:u w:val="single"/>
        </w:rPr>
        <w:t xml:space="preserve">оценивать накопленные курсовые разницы </w:t>
      </w:r>
      <w:r w:rsidR="009F5458">
        <w:rPr>
          <w:u w:val="single"/>
        </w:rPr>
        <w:t>по</w:t>
      </w:r>
      <w:r w:rsidR="00BB724F" w:rsidRPr="00AB2FB7">
        <w:rPr>
          <w:u w:val="single"/>
        </w:rPr>
        <w:t xml:space="preserve"> все</w:t>
      </w:r>
      <w:r w:rsidR="009F5458">
        <w:rPr>
          <w:u w:val="single"/>
        </w:rPr>
        <w:t>м</w:t>
      </w:r>
      <w:r w:rsidR="00BB724F" w:rsidRPr="00AB2FB7">
        <w:rPr>
          <w:u w:val="single"/>
        </w:rPr>
        <w:t xml:space="preserve"> </w:t>
      </w:r>
      <w:r w:rsidRPr="00AB2FB7">
        <w:rPr>
          <w:u w:val="single"/>
        </w:rPr>
        <w:t>иностранны</w:t>
      </w:r>
      <w:r w:rsidR="009F5458">
        <w:rPr>
          <w:u w:val="single"/>
        </w:rPr>
        <w:t>м</w:t>
      </w:r>
      <w:r w:rsidRPr="00AB2FB7">
        <w:rPr>
          <w:u w:val="single"/>
        </w:rPr>
        <w:t xml:space="preserve"> подразделени</w:t>
      </w:r>
      <w:r w:rsidR="009F5458">
        <w:rPr>
          <w:u w:val="single"/>
        </w:rPr>
        <w:t>ям</w:t>
      </w:r>
      <w:r w:rsidRPr="00AB2FB7">
        <w:rPr>
          <w:u w:val="single"/>
        </w:rPr>
        <w:t xml:space="preserve"> </w:t>
      </w:r>
      <w:r w:rsidR="009F5458" w:rsidRPr="00AB2FB7">
        <w:rPr>
          <w:u w:val="single"/>
        </w:rPr>
        <w:t xml:space="preserve">в своей финансовой отчетности </w:t>
      </w:r>
      <w:r w:rsidRPr="00AB2FB7">
        <w:rPr>
          <w:u w:val="single"/>
        </w:rPr>
        <w:t xml:space="preserve">по балансовой стоимости, </w:t>
      </w:r>
      <w:r w:rsidR="00BB724F" w:rsidRPr="00AB2FB7">
        <w:rPr>
          <w:u w:val="single"/>
        </w:rPr>
        <w:t xml:space="preserve">в </w:t>
      </w:r>
      <w:r w:rsidRPr="00AB2FB7">
        <w:rPr>
          <w:u w:val="single"/>
        </w:rPr>
        <w:t>котор</w:t>
      </w:r>
      <w:r w:rsidR="00BB724F" w:rsidRPr="00AB2FB7">
        <w:rPr>
          <w:u w:val="single"/>
        </w:rPr>
        <w:t>ой они</w:t>
      </w:r>
      <w:r w:rsidRPr="00AB2FB7">
        <w:rPr>
          <w:u w:val="single"/>
        </w:rPr>
        <w:t xml:space="preserve"> б</w:t>
      </w:r>
      <w:r w:rsidR="00BB724F" w:rsidRPr="00AB2FB7">
        <w:rPr>
          <w:u w:val="single"/>
        </w:rPr>
        <w:t xml:space="preserve">ыли бы </w:t>
      </w:r>
      <w:r w:rsidRPr="00AB2FB7">
        <w:rPr>
          <w:u w:val="single"/>
        </w:rPr>
        <w:t>включен</w:t>
      </w:r>
      <w:r w:rsidR="00BB724F" w:rsidRPr="00AB2FB7">
        <w:rPr>
          <w:u w:val="single"/>
        </w:rPr>
        <w:t>ы</w:t>
      </w:r>
      <w:r w:rsidRPr="00AB2FB7">
        <w:rPr>
          <w:u w:val="single"/>
        </w:rPr>
        <w:t xml:space="preserve"> в консолидированную финансовую отчетность материнской организации, исходя из даты перехода материнской организации</w:t>
      </w:r>
      <w:r w:rsidR="00BB724F" w:rsidRPr="00AB2FB7">
        <w:rPr>
          <w:u w:val="single"/>
        </w:rPr>
        <w:t xml:space="preserve"> на МСФО</w:t>
      </w:r>
      <w:r w:rsidRPr="00AB2FB7">
        <w:rPr>
          <w:u w:val="single"/>
        </w:rPr>
        <w:t xml:space="preserve">, </w:t>
      </w:r>
      <w:r w:rsidR="00BB724F" w:rsidRPr="00AB2FB7">
        <w:rPr>
          <w:u w:val="single"/>
        </w:rPr>
        <w:t xml:space="preserve">если не было сделано никаких </w:t>
      </w:r>
      <w:r w:rsidRPr="00AB2FB7">
        <w:rPr>
          <w:u w:val="single"/>
        </w:rPr>
        <w:t>корректиров</w:t>
      </w:r>
      <w:r w:rsidR="00BB724F" w:rsidRPr="00AB2FB7">
        <w:rPr>
          <w:u w:val="single"/>
        </w:rPr>
        <w:t>о</w:t>
      </w:r>
      <w:r w:rsidRPr="00AB2FB7">
        <w:rPr>
          <w:u w:val="single"/>
        </w:rPr>
        <w:t>к</w:t>
      </w:r>
      <w:r w:rsidR="00BB724F" w:rsidRPr="00AB2FB7">
        <w:rPr>
          <w:u w:val="single"/>
        </w:rPr>
        <w:t xml:space="preserve"> для целей </w:t>
      </w:r>
      <w:r w:rsidRPr="00AB2FB7">
        <w:rPr>
          <w:u w:val="single"/>
        </w:rPr>
        <w:t xml:space="preserve">консолидации и </w:t>
      </w:r>
      <w:r w:rsidR="00BB724F" w:rsidRPr="00AB2FB7">
        <w:rPr>
          <w:u w:val="single"/>
        </w:rPr>
        <w:t xml:space="preserve">отражения результатов </w:t>
      </w:r>
      <w:r w:rsidRPr="00AB2FB7">
        <w:rPr>
          <w:u w:val="single"/>
        </w:rPr>
        <w:t xml:space="preserve">объединения бизнесов, в </w:t>
      </w:r>
      <w:r w:rsidR="00BB724F" w:rsidRPr="00AB2FB7">
        <w:rPr>
          <w:u w:val="single"/>
        </w:rPr>
        <w:t>рамках</w:t>
      </w:r>
      <w:r w:rsidRPr="00AB2FB7">
        <w:rPr>
          <w:u w:val="single"/>
        </w:rPr>
        <w:t xml:space="preserve"> которого материнская организация приобрела </w:t>
      </w:r>
      <w:r w:rsidR="00BB724F" w:rsidRPr="00AB2FB7">
        <w:rPr>
          <w:u w:val="single"/>
        </w:rPr>
        <w:t>указанную</w:t>
      </w:r>
      <w:r w:rsidRPr="00AB2FB7">
        <w:rPr>
          <w:u w:val="single"/>
        </w:rPr>
        <w:t xml:space="preserve"> дочернюю организацию. Аналогичн</w:t>
      </w:r>
      <w:r w:rsidR="00BB724F" w:rsidRPr="00AB2FB7">
        <w:rPr>
          <w:u w:val="single"/>
        </w:rPr>
        <w:t xml:space="preserve">ая возможность </w:t>
      </w:r>
      <w:r w:rsidRPr="00AB2FB7">
        <w:rPr>
          <w:u w:val="single"/>
        </w:rPr>
        <w:t xml:space="preserve">выбора </w:t>
      </w:r>
      <w:r w:rsidR="00BB724F" w:rsidRPr="00AB2FB7">
        <w:rPr>
          <w:u w:val="single"/>
        </w:rPr>
        <w:t xml:space="preserve">имеется у </w:t>
      </w:r>
      <w:r w:rsidRPr="00AB2FB7">
        <w:rPr>
          <w:u w:val="single"/>
        </w:rPr>
        <w:t>ассоциированной организации или совместного предприятия, котор</w:t>
      </w:r>
      <w:r w:rsidR="00BB724F" w:rsidRPr="00AB2FB7">
        <w:rPr>
          <w:u w:val="single"/>
        </w:rPr>
        <w:t>ые</w:t>
      </w:r>
      <w:r w:rsidRPr="00AB2FB7">
        <w:rPr>
          <w:u w:val="single"/>
        </w:rPr>
        <w:t xml:space="preserve"> использу</w:t>
      </w:r>
      <w:r w:rsidR="00BB724F" w:rsidRPr="00AB2FB7">
        <w:rPr>
          <w:u w:val="single"/>
        </w:rPr>
        <w:t>ю</w:t>
      </w:r>
      <w:r w:rsidRPr="00AB2FB7">
        <w:rPr>
          <w:u w:val="single"/>
        </w:rPr>
        <w:t>т освобождение</w:t>
      </w:r>
      <w:r w:rsidR="009F5458">
        <w:rPr>
          <w:u w:val="single"/>
        </w:rPr>
        <w:t>, предусмотренное пунктом</w:t>
      </w:r>
      <w:r w:rsidRPr="00AB2FB7">
        <w:rPr>
          <w:u w:val="single"/>
        </w:rPr>
        <w:t xml:space="preserve"> D16(a).</w:t>
      </w:r>
    </w:p>
    <w:p w14:paraId="32E3D542" w14:textId="77777777" w:rsidR="00A94A84" w:rsidRPr="00AB2FB7" w:rsidRDefault="00AE4AE5">
      <w:pPr>
        <w:pStyle w:val="IASBNormalnparaP"/>
      </w:pPr>
      <w:r w:rsidRPr="00AB2FB7">
        <w:t>...</w:t>
      </w:r>
    </w:p>
    <w:p w14:paraId="69792542" w14:textId="77777777" w:rsidR="00A94A84" w:rsidRPr="00AB2FB7" w:rsidRDefault="00A94A84">
      <w:pPr>
        <w:sectPr w:rsidR="00A94A84" w:rsidRPr="00AB2FB7">
          <w:headerReference w:type="even" r:id="rId13"/>
          <w:headerReference w:type="default" r:id="rId14"/>
          <w:footerReference w:type="even" r:id="rId15"/>
          <w:footerReference w:type="default" r:id="rId16"/>
          <w:pgSz w:w="11880" w:h="16820"/>
          <w:pgMar w:top="1440" w:right="1440" w:bottom="1440" w:left="1440" w:header="720" w:footer="720" w:gutter="0"/>
          <w:cols w:space="720"/>
        </w:sectPr>
      </w:pPr>
    </w:p>
    <w:p w14:paraId="63D39332" w14:textId="557B2717" w:rsidR="00A94A84" w:rsidRPr="00AB2FB7" w:rsidRDefault="00AE4AE5">
      <w:pPr>
        <w:pStyle w:val="IASBSectionTitle1NonInd"/>
      </w:pPr>
      <w:r w:rsidRPr="00AB2FB7">
        <w:lastRenderedPageBreak/>
        <w:t>Поправк</w:t>
      </w:r>
      <w:r w:rsidR="00247B62" w:rsidRPr="00AB2FB7">
        <w:t>а</w:t>
      </w:r>
      <w:r w:rsidRPr="00AB2FB7">
        <w:t xml:space="preserve"> к </w:t>
      </w:r>
      <w:r w:rsidR="00247B62" w:rsidRPr="00AB2FB7">
        <w:br/>
      </w:r>
      <w:r w:rsidRPr="00AB2FB7">
        <w:t xml:space="preserve">МСФО (IFRS) 9 </w:t>
      </w:r>
      <w:r w:rsidRPr="00AB2FB7">
        <w:rPr>
          <w:i/>
        </w:rPr>
        <w:t>«Финансовые инструменты»</w:t>
      </w:r>
    </w:p>
    <w:p w14:paraId="46C2BF01" w14:textId="77777777" w:rsidR="00A94A84" w:rsidRPr="00AB2FB7" w:rsidRDefault="00A94A84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94A84" w:rsidRPr="00AB2FB7" w14:paraId="327F41A9" w14:textId="77777777">
        <w:tc>
          <w:tcPr>
            <w:tcW w:w="0" w:type="auto"/>
          </w:tcPr>
          <w:p w14:paraId="38265B09" w14:textId="78DB7048" w:rsidR="00A94A84" w:rsidRPr="00AB2FB7" w:rsidRDefault="00AE4AE5">
            <w:pPr>
              <w:pStyle w:val="IASBTableArial"/>
            </w:pPr>
            <w:r w:rsidRPr="00AB2FB7">
              <w:t>Добавлены пункт 7.1.9, пункт 7.2.35 и заголовок</w:t>
            </w:r>
            <w:r w:rsidR="00247B62" w:rsidRPr="00AB2FB7">
              <w:t xml:space="preserve"> к нему</w:t>
            </w:r>
            <w:r w:rsidR="00AC3D6D">
              <w:t>,</w:t>
            </w:r>
            <w:r w:rsidRPr="00AB2FB7">
              <w:t xml:space="preserve"> и пункт B3.3.6A. В пункт B3.3.6 внесены изменения. Новый текст подчеркнут. Требования пункта B3.3.6A изменены не были, но были перенесены из пункта B3.3.6.</w:t>
            </w:r>
          </w:p>
        </w:tc>
      </w:tr>
    </w:tbl>
    <w:p w14:paraId="5706BE9E" w14:textId="77777777" w:rsidR="00A94A84" w:rsidRPr="00AB2FB7" w:rsidRDefault="00A94A84">
      <w:pPr>
        <w:pStyle w:val="IASBNormalnpara"/>
      </w:pPr>
    </w:p>
    <w:p w14:paraId="38CBA584" w14:textId="77777777" w:rsidR="00A94A84" w:rsidRPr="00AB2FB7" w:rsidRDefault="00AE4AE5">
      <w:pPr>
        <w:pStyle w:val="IASBSectionTitle2NonInd"/>
      </w:pPr>
      <w:r w:rsidRPr="00AB2FB7">
        <w:t>Глава 7 Дата вступления в силу и переходные положения</w:t>
      </w:r>
    </w:p>
    <w:p w14:paraId="779984ED" w14:textId="77777777" w:rsidR="00A94A84" w:rsidRPr="00AB2FB7" w:rsidRDefault="00AE4AE5">
      <w:pPr>
        <w:pStyle w:val="IASBSectionTitle1NonInd"/>
      </w:pPr>
      <w:r w:rsidRPr="00AB2FB7">
        <w:t>7.1 Дата вступления в силу</w:t>
      </w:r>
    </w:p>
    <w:p w14:paraId="578D7F58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6A5B278F" w14:textId="76422A26" w:rsidR="00A94A84" w:rsidRPr="00AB2FB7" w:rsidRDefault="00AE4AE5">
      <w:pPr>
        <w:pStyle w:val="IASBNormalnpara"/>
      </w:pPr>
      <w:r w:rsidRPr="00AB2FB7">
        <w:t>7.1.9</w:t>
      </w:r>
      <w:r w:rsidRPr="00AB2FB7">
        <w:tab/>
      </w:r>
      <w:r w:rsidRPr="00AB2FB7">
        <w:rPr>
          <w:u w:val="single"/>
        </w:rPr>
        <w:t xml:space="preserve">Документом </w:t>
      </w:r>
      <w:r w:rsidRPr="00AB2FB7">
        <w:rPr>
          <w:i/>
          <w:u w:val="single"/>
        </w:rPr>
        <w:t>«Ежегодные усовершенствования Международных стандартов финансовой отчетности, период 2018-2020 гг.»</w:t>
      </w:r>
      <w:r w:rsidRPr="00AB2FB7">
        <w:rPr>
          <w:u w:val="single"/>
        </w:rPr>
        <w:t>, выпущенным в мае 2020 года, добавлены пункты 7.2.35 и B3.3.6A и внесены изменения в пункт B3.3.6. Организация должна применять данн</w:t>
      </w:r>
      <w:r w:rsidR="00452D41" w:rsidRPr="00AB2FB7">
        <w:rPr>
          <w:u w:val="single"/>
        </w:rPr>
        <w:t>ую</w:t>
      </w:r>
      <w:r w:rsidRPr="00AB2FB7">
        <w:rPr>
          <w:u w:val="single"/>
        </w:rPr>
        <w:t xml:space="preserve"> поправк</w:t>
      </w:r>
      <w:r w:rsidR="00452D41" w:rsidRPr="00AB2FB7">
        <w:rPr>
          <w:u w:val="single"/>
        </w:rPr>
        <w:t>у</w:t>
      </w:r>
      <w:r w:rsidRPr="00AB2FB7">
        <w:rPr>
          <w:u w:val="single"/>
        </w:rPr>
        <w:t xml:space="preserve"> в отношении годовых отчетных периодов, начинающихся 1 января 2022 года или после этой даты. Допускается досрочное применение. Если организация применит данн</w:t>
      </w:r>
      <w:r w:rsidR="00452D41" w:rsidRPr="00AB2FB7">
        <w:rPr>
          <w:u w:val="single"/>
        </w:rPr>
        <w:t>ую</w:t>
      </w:r>
      <w:r w:rsidRPr="00AB2FB7">
        <w:rPr>
          <w:u w:val="single"/>
        </w:rPr>
        <w:t xml:space="preserve"> поправк</w:t>
      </w:r>
      <w:r w:rsidR="00452D41" w:rsidRPr="00AB2FB7">
        <w:rPr>
          <w:u w:val="single"/>
        </w:rPr>
        <w:t>у</w:t>
      </w:r>
      <w:r w:rsidRPr="00AB2FB7">
        <w:rPr>
          <w:u w:val="single"/>
        </w:rPr>
        <w:t xml:space="preserve"> в отношении более раннего периода, она должна раскрыть этот факт.</w:t>
      </w:r>
    </w:p>
    <w:p w14:paraId="46099BEC" w14:textId="77777777" w:rsidR="00A94A84" w:rsidRPr="00AB2FB7" w:rsidRDefault="00AE4AE5">
      <w:pPr>
        <w:pStyle w:val="IASBSectionTitle1NonInd"/>
      </w:pPr>
      <w:r w:rsidRPr="00AB2FB7">
        <w:t>7.2 Переходные положения</w:t>
      </w:r>
    </w:p>
    <w:p w14:paraId="79AF9A0D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60B5E573" w14:textId="0CE3C9BF" w:rsidR="00A94A84" w:rsidRPr="00AB2FB7" w:rsidRDefault="00AE4AE5">
      <w:pPr>
        <w:pStyle w:val="IASBSectionTitle2Ind"/>
      </w:pPr>
      <w:r w:rsidRPr="00AB2FB7">
        <w:rPr>
          <w:u w:val="single"/>
        </w:rPr>
        <w:t xml:space="preserve">Переходные положения при применении </w:t>
      </w:r>
      <w:r w:rsidR="00CB4EC1" w:rsidRPr="00AB2FB7">
        <w:rPr>
          <w:i/>
          <w:iCs/>
          <w:u w:val="single"/>
        </w:rPr>
        <w:t>«</w:t>
      </w:r>
      <w:r w:rsidRPr="00AB2FB7">
        <w:rPr>
          <w:i/>
          <w:iCs/>
          <w:u w:val="single"/>
        </w:rPr>
        <w:t>Ежегодных усовершенствований Международный стандартов финансовой отчетности</w:t>
      </w:r>
      <w:r w:rsidR="00CB4EC1" w:rsidRPr="00AB2FB7">
        <w:rPr>
          <w:i/>
          <w:iCs/>
          <w:u w:val="single"/>
        </w:rPr>
        <w:t>»</w:t>
      </w:r>
    </w:p>
    <w:p w14:paraId="3D304904" w14:textId="31742299" w:rsidR="00A94A84" w:rsidRPr="00AB2FB7" w:rsidRDefault="00AE4AE5">
      <w:pPr>
        <w:pStyle w:val="IASBNormalnpara"/>
      </w:pPr>
      <w:r w:rsidRPr="00AB2FB7">
        <w:rPr>
          <w:u w:val="single"/>
        </w:rPr>
        <w:t>7.2.35</w:t>
      </w:r>
      <w:r w:rsidRPr="00AB2FB7">
        <w:tab/>
      </w:r>
      <w:r w:rsidRPr="00AB2FB7">
        <w:rPr>
          <w:u w:val="single"/>
        </w:rPr>
        <w:t xml:space="preserve">Организация должна применять </w:t>
      </w:r>
      <w:r w:rsidRPr="00AB2FB7">
        <w:rPr>
          <w:i/>
          <w:iCs/>
          <w:u w:val="single"/>
        </w:rPr>
        <w:t>«Ежегодные усовершенствования Международных стандартов финансовой отчетности, период 2018-2020 гг.»</w:t>
      </w:r>
      <w:r w:rsidRPr="00AB2FB7">
        <w:rPr>
          <w:u w:val="single"/>
        </w:rPr>
        <w:t xml:space="preserve"> </w:t>
      </w:r>
      <w:r w:rsidR="009F5458">
        <w:rPr>
          <w:u w:val="single"/>
        </w:rPr>
        <w:t>к тем</w:t>
      </w:r>
      <w:r w:rsidRPr="00AB2FB7">
        <w:rPr>
          <w:u w:val="single"/>
        </w:rPr>
        <w:t xml:space="preserve"> финансовы</w:t>
      </w:r>
      <w:r w:rsidR="009F5458">
        <w:rPr>
          <w:u w:val="single"/>
        </w:rPr>
        <w:t>м</w:t>
      </w:r>
      <w:r w:rsidRPr="00AB2FB7">
        <w:rPr>
          <w:u w:val="single"/>
        </w:rPr>
        <w:t xml:space="preserve"> обязательств</w:t>
      </w:r>
      <w:r w:rsidR="009F5458">
        <w:rPr>
          <w:u w:val="single"/>
        </w:rPr>
        <w:t>ам</w:t>
      </w:r>
      <w:r w:rsidRPr="00AB2FB7">
        <w:rPr>
          <w:u w:val="single"/>
        </w:rPr>
        <w:t>, которые модифицир</w:t>
      </w:r>
      <w:r w:rsidR="009F5458">
        <w:rPr>
          <w:u w:val="single"/>
        </w:rPr>
        <w:t>ованы</w:t>
      </w:r>
      <w:r w:rsidRPr="00AB2FB7">
        <w:rPr>
          <w:u w:val="single"/>
        </w:rPr>
        <w:t xml:space="preserve"> или </w:t>
      </w:r>
      <w:r w:rsidR="00CB4EC1" w:rsidRPr="00AB2FB7">
        <w:rPr>
          <w:u w:val="single"/>
        </w:rPr>
        <w:t>замен</w:t>
      </w:r>
      <w:r w:rsidR="009F5458">
        <w:rPr>
          <w:u w:val="single"/>
        </w:rPr>
        <w:t>ены</w:t>
      </w:r>
      <w:r w:rsidRPr="00AB2FB7">
        <w:rPr>
          <w:u w:val="single"/>
        </w:rPr>
        <w:t xml:space="preserve"> на дату </w:t>
      </w:r>
      <w:r w:rsidR="009F5458">
        <w:rPr>
          <w:u w:val="single"/>
        </w:rPr>
        <w:t xml:space="preserve">или после даты </w:t>
      </w:r>
      <w:r w:rsidRPr="00AB2FB7">
        <w:rPr>
          <w:u w:val="single"/>
        </w:rPr>
        <w:t>начала годового отчетного периода, в котором организация впервые применяет данные поправки.</w:t>
      </w:r>
    </w:p>
    <w:p w14:paraId="006DE8F0" w14:textId="77777777" w:rsidR="00A94A84" w:rsidRPr="00AB2FB7" w:rsidRDefault="00A94A84">
      <w:pPr>
        <w:sectPr w:rsidR="00A94A84" w:rsidRPr="00AB2FB7">
          <w:headerReference w:type="even" r:id="rId17"/>
          <w:headerReference w:type="default" r:id="rId18"/>
          <w:footerReference w:type="even" r:id="rId19"/>
          <w:footerReference w:type="default" r:id="rId20"/>
          <w:pgSz w:w="11880" w:h="16820"/>
          <w:pgMar w:top="1440" w:right="1440" w:bottom="1440" w:left="1440" w:header="720" w:footer="720" w:gutter="0"/>
          <w:cols w:space="720"/>
        </w:sectPr>
      </w:pPr>
    </w:p>
    <w:p w14:paraId="138DE16F" w14:textId="77777777" w:rsidR="00A94A84" w:rsidRPr="00AB2FB7" w:rsidRDefault="00AE4AE5">
      <w:pPr>
        <w:pStyle w:val="IASBSectionTitle2NonInd"/>
      </w:pPr>
      <w:r w:rsidRPr="00AB2FB7">
        <w:lastRenderedPageBreak/>
        <w:t>Приложение B</w:t>
      </w:r>
      <w:r w:rsidRPr="00AB2FB7">
        <w:br/>
        <w:t>Руководство по применению</w:t>
      </w:r>
    </w:p>
    <w:p w14:paraId="450E132D" w14:textId="77777777" w:rsidR="00A94A84" w:rsidRPr="00AB2FB7" w:rsidRDefault="00AE4AE5">
      <w:pPr>
        <w:pStyle w:val="IASBNormal"/>
      </w:pPr>
      <w:r w:rsidRPr="00AB2FB7">
        <w:rPr>
          <w:i/>
        </w:rPr>
        <w:t>Настоящее приложение является неотъемлемой частью данного стандарта.</w:t>
      </w:r>
    </w:p>
    <w:p w14:paraId="48027F00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22CEF679" w14:textId="77777777" w:rsidR="00A94A84" w:rsidRPr="00AB2FB7" w:rsidRDefault="00AE4AE5">
      <w:pPr>
        <w:pStyle w:val="IASBSectionTitle1NonInd"/>
      </w:pPr>
      <w:r w:rsidRPr="00AB2FB7">
        <w:t>Признание и прекращение признания (Глава 3)</w:t>
      </w:r>
    </w:p>
    <w:p w14:paraId="78D240C4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350BA3FA" w14:textId="77777777" w:rsidR="00A94A84" w:rsidRPr="00AB2FB7" w:rsidRDefault="00AE4AE5">
      <w:pPr>
        <w:pStyle w:val="IASBSectionTitle2Ind"/>
      </w:pPr>
      <w:r w:rsidRPr="00AB2FB7">
        <w:t>Прекращение признания финансовых обязательств (Раздел 3.3)</w:t>
      </w:r>
    </w:p>
    <w:p w14:paraId="1A9E8291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4E03B8DC" w14:textId="09C41CE7" w:rsidR="00A94A84" w:rsidRPr="00AB2FB7" w:rsidRDefault="00AE4AE5">
      <w:pPr>
        <w:pStyle w:val="IASBNormalnpara"/>
      </w:pPr>
      <w:r w:rsidRPr="00AB2FB7">
        <w:t>B3.3.6</w:t>
      </w:r>
      <w:r w:rsidRPr="00AB2FB7">
        <w:tab/>
        <w:t>Применительно к целям пункта 3.3.2, условия считаются существенно отличающимися, если приведенная стоимость денежных потоков в соответствии с новыми условиями, включая выплаты комиссионного вознаграждения за вычетом полученного комиссионного вознаграждения, дисконтированных по первоначальной эффективной процентной ставке, отличается по меньшей мере на 10% от дисконтированной приведенной стоимости оставшихся денежных потоков по первоначальному финансовому обязательству.</w:t>
      </w:r>
      <w:r w:rsidRPr="00AB2FB7">
        <w:rPr>
          <w:u w:val="single"/>
        </w:rPr>
        <w:t xml:space="preserve"> При определении </w:t>
      </w:r>
      <w:r w:rsidR="00CB4EC1" w:rsidRPr="00AB2FB7">
        <w:rPr>
          <w:u w:val="single"/>
        </w:rPr>
        <w:t xml:space="preserve">величины </w:t>
      </w:r>
      <w:r w:rsidR="0065126C">
        <w:rPr>
          <w:u w:val="single"/>
        </w:rPr>
        <w:t xml:space="preserve">указанных </w:t>
      </w:r>
      <w:r w:rsidRPr="00AB2FB7">
        <w:rPr>
          <w:u w:val="single"/>
        </w:rPr>
        <w:t>выпла</w:t>
      </w:r>
      <w:r w:rsidR="0065126C">
        <w:rPr>
          <w:u w:val="single"/>
        </w:rPr>
        <w:t>т</w:t>
      </w:r>
      <w:r w:rsidRPr="00AB2FB7">
        <w:rPr>
          <w:u w:val="single"/>
        </w:rPr>
        <w:t xml:space="preserve"> комиссионного вознаграждения за вычетом полученного комиссионного вознаграждения </w:t>
      </w:r>
      <w:r w:rsidR="0065126C">
        <w:rPr>
          <w:u w:val="single"/>
        </w:rPr>
        <w:t>заемщик</w:t>
      </w:r>
      <w:r w:rsidR="0065126C" w:rsidRPr="00AB2FB7">
        <w:rPr>
          <w:u w:val="single"/>
        </w:rPr>
        <w:t xml:space="preserve"> </w:t>
      </w:r>
      <w:r w:rsidR="00CB4EC1" w:rsidRPr="00AB2FB7">
        <w:rPr>
          <w:u w:val="single"/>
        </w:rPr>
        <w:t>учитывает</w:t>
      </w:r>
      <w:r w:rsidRPr="00AB2FB7">
        <w:rPr>
          <w:u w:val="single"/>
        </w:rPr>
        <w:t xml:space="preserve"> только сумм</w:t>
      </w:r>
      <w:r w:rsidR="0065126C">
        <w:rPr>
          <w:u w:val="single"/>
        </w:rPr>
        <w:t>ы</w:t>
      </w:r>
      <w:r w:rsidRPr="00AB2FB7">
        <w:rPr>
          <w:u w:val="single"/>
        </w:rPr>
        <w:t xml:space="preserve"> комиссионного вознаграждения, </w:t>
      </w:r>
      <w:r w:rsidR="00CB4EC1" w:rsidRPr="00AB2FB7">
        <w:rPr>
          <w:u w:val="single"/>
        </w:rPr>
        <w:t xml:space="preserve">выплата или получение </w:t>
      </w:r>
      <w:r w:rsidRPr="00AB2FB7">
        <w:rPr>
          <w:u w:val="single"/>
        </w:rPr>
        <w:t>котор</w:t>
      </w:r>
      <w:r w:rsidR="0065126C">
        <w:rPr>
          <w:u w:val="single"/>
        </w:rPr>
        <w:t>ых</w:t>
      </w:r>
      <w:r w:rsidR="00CB4EC1" w:rsidRPr="00AB2FB7">
        <w:rPr>
          <w:u w:val="single"/>
        </w:rPr>
        <w:t xml:space="preserve"> производились </w:t>
      </w:r>
      <w:r w:rsidRPr="00AB2FB7">
        <w:rPr>
          <w:u w:val="single"/>
        </w:rPr>
        <w:t>между</w:t>
      </w:r>
      <w:r w:rsidR="00AB2FB7" w:rsidRPr="00AB2FB7">
        <w:rPr>
          <w:u w:val="single"/>
        </w:rPr>
        <w:t xml:space="preserve"> </w:t>
      </w:r>
      <w:r w:rsidR="0065126C">
        <w:rPr>
          <w:u w:val="single"/>
        </w:rPr>
        <w:t xml:space="preserve">этим заемщиком и соответствующим </w:t>
      </w:r>
      <w:r w:rsidRPr="00AB2FB7">
        <w:rPr>
          <w:u w:val="single"/>
        </w:rPr>
        <w:t xml:space="preserve">кредитором, включая комиссионное вознаграждение, </w:t>
      </w:r>
      <w:r w:rsidR="00CB4EC1" w:rsidRPr="00AB2FB7">
        <w:rPr>
          <w:u w:val="single"/>
        </w:rPr>
        <w:t>вы</w:t>
      </w:r>
      <w:r w:rsidRPr="00AB2FB7">
        <w:rPr>
          <w:u w:val="single"/>
        </w:rPr>
        <w:t xml:space="preserve">плаченное или полученное </w:t>
      </w:r>
      <w:proofErr w:type="gramStart"/>
      <w:r w:rsidR="00E1034D">
        <w:rPr>
          <w:u w:val="single"/>
        </w:rPr>
        <w:t>заемщиком</w:t>
      </w:r>
      <w:proofErr w:type="gramEnd"/>
      <w:r w:rsidR="00E1034D" w:rsidRPr="00AB2FB7">
        <w:rPr>
          <w:u w:val="single"/>
        </w:rPr>
        <w:t xml:space="preserve"> </w:t>
      </w:r>
      <w:r w:rsidRPr="00AB2FB7">
        <w:rPr>
          <w:u w:val="single"/>
        </w:rPr>
        <w:t xml:space="preserve">или </w:t>
      </w:r>
      <w:r w:rsidR="00E1034D">
        <w:rPr>
          <w:u w:val="single"/>
        </w:rPr>
        <w:t>кредитором</w:t>
      </w:r>
      <w:r w:rsidR="00E1034D" w:rsidRPr="00AB2FB7">
        <w:rPr>
          <w:u w:val="single"/>
        </w:rPr>
        <w:t xml:space="preserve"> </w:t>
      </w:r>
      <w:r w:rsidRPr="00AB2FB7">
        <w:rPr>
          <w:u w:val="single"/>
        </w:rPr>
        <w:t>от имени друг</w:t>
      </w:r>
      <w:r w:rsidR="00407C3C">
        <w:rPr>
          <w:u w:val="single"/>
        </w:rPr>
        <w:t xml:space="preserve"> друга</w:t>
      </w:r>
      <w:r w:rsidRPr="00AB2FB7">
        <w:rPr>
          <w:u w:val="single"/>
        </w:rPr>
        <w:t>.</w:t>
      </w:r>
    </w:p>
    <w:p w14:paraId="7FD7B4FF" w14:textId="3160C1C0" w:rsidR="00A94A84" w:rsidRPr="00AB2FB7" w:rsidRDefault="00AE4AE5">
      <w:pPr>
        <w:pStyle w:val="IASBNormalnpara"/>
      </w:pPr>
      <w:r w:rsidRPr="00AB2FB7">
        <w:rPr>
          <w:u w:val="single"/>
        </w:rPr>
        <w:t>B3.3.6A</w:t>
      </w:r>
      <w:r w:rsidRPr="00AB2FB7">
        <w:tab/>
      </w:r>
      <w:proofErr w:type="gramStart"/>
      <w:r w:rsidRPr="00AB2FB7">
        <w:t>Если</w:t>
      </w:r>
      <w:proofErr w:type="gramEnd"/>
      <w:r w:rsidRPr="00AB2FB7">
        <w:t xml:space="preserve"> замена одного долгового инструмента на </w:t>
      </w:r>
      <w:r w:rsidR="00E1034D">
        <w:t>другой</w:t>
      </w:r>
      <w:r w:rsidR="00E1034D" w:rsidRPr="00AB2FB7">
        <w:t xml:space="preserve"> </w:t>
      </w:r>
      <w:r w:rsidRPr="00AB2FB7">
        <w:t xml:space="preserve">или модификация его условий отражается в учете как его погашение, то </w:t>
      </w:r>
      <w:r w:rsidR="00E1034D">
        <w:t xml:space="preserve">все </w:t>
      </w:r>
      <w:r w:rsidRPr="00AB2FB7">
        <w:t xml:space="preserve">понесенные затраты или выплаченное комиссионное вознаграждение признаются как часть прибыли или убытка от погашения </w:t>
      </w:r>
      <w:r w:rsidR="00AC3D6D">
        <w:t>соответствующего</w:t>
      </w:r>
      <w:r w:rsidR="00AC3D6D" w:rsidRPr="00AB2FB7">
        <w:t xml:space="preserve"> </w:t>
      </w:r>
      <w:r w:rsidRPr="00AB2FB7">
        <w:t xml:space="preserve">долгового </w:t>
      </w:r>
      <w:r w:rsidR="00AC3D6D">
        <w:t>обязательства</w:t>
      </w:r>
      <w:r w:rsidRPr="00AB2FB7">
        <w:t xml:space="preserve">. Если замена одного долгового инструмента на </w:t>
      </w:r>
      <w:r w:rsidR="00E1034D">
        <w:t>другой</w:t>
      </w:r>
      <w:r w:rsidR="00E1034D" w:rsidRPr="00AB2FB7">
        <w:t xml:space="preserve"> </w:t>
      </w:r>
      <w:r w:rsidRPr="00AB2FB7">
        <w:t xml:space="preserve">или модификация его условий не отражается в учете как погашение, то на сумму </w:t>
      </w:r>
      <w:r w:rsidR="00E1034D">
        <w:t xml:space="preserve">всех </w:t>
      </w:r>
      <w:r w:rsidRPr="00AB2FB7">
        <w:t>понесенных затрат или выплаченного комиссионного вознаграждения корректируется балансовая стоимость соответствующего</w:t>
      </w:r>
      <w:r w:rsidR="00AC3D6D">
        <w:t xml:space="preserve"> долгового</w:t>
      </w:r>
      <w:r w:rsidRPr="00AB2FB7">
        <w:t xml:space="preserve"> обязательства, и эта корректировка амортизируется на протяжении оставшегося срока действия модифицированного обяза</w:t>
      </w:r>
      <w:bookmarkStart w:id="0" w:name="_GoBack"/>
      <w:bookmarkEnd w:id="0"/>
      <w:r w:rsidRPr="00AB2FB7">
        <w:t>тельства.</w:t>
      </w:r>
    </w:p>
    <w:p w14:paraId="033CD995" w14:textId="5AB9EB26" w:rsidR="001355A5" w:rsidRPr="00AB2FB7" w:rsidRDefault="001355A5" w:rsidP="001355A5">
      <w:pPr>
        <w:pStyle w:val="IASBNormalnparaP"/>
        <w:sectPr w:rsidR="001355A5" w:rsidRPr="00AB2FB7">
          <w:headerReference w:type="default" r:id="rId21"/>
          <w:footerReference w:type="even" r:id="rId22"/>
          <w:footerReference w:type="default" r:id="rId23"/>
          <w:pgSz w:w="11880" w:h="16820"/>
          <w:pgMar w:top="1440" w:right="1440" w:bottom="1440" w:left="1440" w:header="720" w:footer="720" w:gutter="0"/>
          <w:cols w:space="720"/>
        </w:sectPr>
      </w:pPr>
    </w:p>
    <w:p w14:paraId="6B92C0F3" w14:textId="2BDFC793" w:rsidR="00A94A84" w:rsidRPr="00AB2FB7" w:rsidRDefault="00AE4AE5">
      <w:pPr>
        <w:pStyle w:val="IASBSectionTitle1NonInd"/>
      </w:pPr>
      <w:r w:rsidRPr="00AB2FB7">
        <w:lastRenderedPageBreak/>
        <w:t xml:space="preserve">Поправка к </w:t>
      </w:r>
      <w:r w:rsidR="00452D41" w:rsidRPr="00AB2FB7">
        <w:br/>
      </w:r>
      <w:r w:rsidRPr="00AB2FB7">
        <w:t xml:space="preserve">МСФО (IAS) 41 </w:t>
      </w:r>
      <w:r w:rsidRPr="00AB2FB7">
        <w:rPr>
          <w:i/>
        </w:rPr>
        <w:t>«Сельское хозяйство»</w:t>
      </w:r>
    </w:p>
    <w:p w14:paraId="78011B91" w14:textId="77777777" w:rsidR="00A94A84" w:rsidRPr="00AB2FB7" w:rsidRDefault="00A94A84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B2FB7" w:rsidRPr="00AB2FB7" w14:paraId="4B246648" w14:textId="77777777">
        <w:tc>
          <w:tcPr>
            <w:tcW w:w="0" w:type="auto"/>
          </w:tcPr>
          <w:p w14:paraId="5D8B7C17" w14:textId="77777777" w:rsidR="00A94A84" w:rsidRPr="00AB2FB7" w:rsidRDefault="00AE4AE5">
            <w:pPr>
              <w:pStyle w:val="IASBTableArial"/>
            </w:pPr>
            <w:r w:rsidRPr="00AB2FB7">
              <w:t>В пункт 22 внесены изменения, пункт 65 добавлен. Новый текст подчеркнут, удаленный текст зачеркнут.</w:t>
            </w:r>
          </w:p>
        </w:tc>
      </w:tr>
    </w:tbl>
    <w:p w14:paraId="4E74AF86" w14:textId="77777777" w:rsidR="00A94A84" w:rsidRPr="00AB2FB7" w:rsidRDefault="00A94A84">
      <w:pPr>
        <w:pStyle w:val="IASBNormalnpara"/>
      </w:pPr>
    </w:p>
    <w:p w14:paraId="6D7E7993" w14:textId="77777777" w:rsidR="00A94A84" w:rsidRPr="00AB2FB7" w:rsidRDefault="00AE4AE5">
      <w:pPr>
        <w:pStyle w:val="IASBSectionTitle1NonInd"/>
      </w:pPr>
      <w:r w:rsidRPr="00AB2FB7">
        <w:t>Признание и оценка</w:t>
      </w:r>
    </w:p>
    <w:p w14:paraId="280AEAB3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45DA96E4" w14:textId="77777777" w:rsidR="00A94A84" w:rsidRPr="00AB2FB7" w:rsidRDefault="00AE4AE5">
      <w:pPr>
        <w:pStyle w:val="IASBNormalnpara"/>
      </w:pPr>
      <w:r w:rsidRPr="00AB2FB7">
        <w:t>22</w:t>
      </w:r>
      <w:r w:rsidRPr="00AB2FB7">
        <w:tab/>
        <w:t>Организация не включает в расчет денежные потоки, связанные с финансированием активов</w:t>
      </w:r>
      <w:r w:rsidRPr="00AB2FB7">
        <w:rPr>
          <w:strike/>
        </w:rPr>
        <w:t>, налогообложением</w:t>
      </w:r>
      <w:r w:rsidRPr="00AB2FB7">
        <w:t xml:space="preserve"> или восстановлением биологических активов после сбора продукции (например, затраты на новую лесопосадку после сбора продукции).</w:t>
      </w:r>
    </w:p>
    <w:p w14:paraId="6DDB75B4" w14:textId="77777777" w:rsidR="00A94A84" w:rsidRPr="00AB2FB7" w:rsidRDefault="00AE4AE5">
      <w:pPr>
        <w:pStyle w:val="IASBNormalnparaP"/>
      </w:pPr>
      <w:r w:rsidRPr="00AB2FB7">
        <w:t>...</w:t>
      </w:r>
    </w:p>
    <w:p w14:paraId="173F622B" w14:textId="77777777" w:rsidR="00A94A84" w:rsidRPr="00AB2FB7" w:rsidRDefault="00AE4AE5">
      <w:pPr>
        <w:pStyle w:val="IASBSectionTitle1NonInd"/>
      </w:pPr>
      <w:r w:rsidRPr="00AB2FB7">
        <w:t>Дата вступления в силу и переходные положения</w:t>
      </w:r>
    </w:p>
    <w:p w14:paraId="75A5D51F" w14:textId="77777777" w:rsidR="00A94A84" w:rsidRPr="00AB2FB7" w:rsidRDefault="00AE4AE5">
      <w:pPr>
        <w:pStyle w:val="IASBNormalnpara"/>
      </w:pPr>
      <w:r w:rsidRPr="00AB2FB7">
        <w:tab/>
        <w:t>...</w:t>
      </w:r>
    </w:p>
    <w:p w14:paraId="75EE0DBB" w14:textId="0C66575A" w:rsidR="00A94A84" w:rsidRPr="00AB2FB7" w:rsidRDefault="00AE4AE5">
      <w:pPr>
        <w:pStyle w:val="IASBNormalnpara"/>
      </w:pPr>
      <w:r w:rsidRPr="00AB2FB7">
        <w:rPr>
          <w:u w:val="single"/>
        </w:rPr>
        <w:t>65</w:t>
      </w:r>
      <w:r w:rsidRPr="00AB2FB7">
        <w:tab/>
      </w:r>
      <w:r w:rsidRPr="00AB2FB7">
        <w:rPr>
          <w:u w:val="single"/>
        </w:rPr>
        <w:t xml:space="preserve">Документом </w:t>
      </w:r>
      <w:r w:rsidRPr="00AB2FB7">
        <w:rPr>
          <w:i/>
          <w:u w:val="single"/>
        </w:rPr>
        <w:t>«Ежегодные усовершенствования Международных стандартов финансовой отчетности, период 2018-2020 гг.»</w:t>
      </w:r>
      <w:r w:rsidRPr="00AB2FB7">
        <w:rPr>
          <w:u w:val="single"/>
        </w:rPr>
        <w:t xml:space="preserve">, выпущенным в мае 2020 года, внесены изменения в пункт 22. Организация должна применять данную поправку в отношении оценки справедливой стоимости на дату </w:t>
      </w:r>
      <w:r w:rsidR="00F35A08">
        <w:rPr>
          <w:u w:val="single"/>
        </w:rPr>
        <w:t xml:space="preserve">или после даты </w:t>
      </w:r>
      <w:r w:rsidRPr="00AB2FB7">
        <w:rPr>
          <w:u w:val="single"/>
        </w:rPr>
        <w:t>начала</w:t>
      </w:r>
      <w:r w:rsidR="00452D41" w:rsidRPr="00AB2FB7">
        <w:rPr>
          <w:u w:val="single"/>
        </w:rPr>
        <w:t xml:space="preserve"> </w:t>
      </w:r>
      <w:r w:rsidRPr="00AB2FB7">
        <w:rPr>
          <w:u w:val="single"/>
        </w:rPr>
        <w:t>первого годового отчетного периода, начинающегося 1 января 2022 года или после этой даты. Допускается досрочное применение. Если организация применит данн</w:t>
      </w:r>
      <w:r w:rsidR="00452D41" w:rsidRPr="00AB2FB7">
        <w:rPr>
          <w:u w:val="single"/>
        </w:rPr>
        <w:t>ую</w:t>
      </w:r>
      <w:r w:rsidRPr="00AB2FB7">
        <w:rPr>
          <w:u w:val="single"/>
        </w:rPr>
        <w:t xml:space="preserve"> поправк</w:t>
      </w:r>
      <w:r w:rsidR="00452D41" w:rsidRPr="00AB2FB7">
        <w:rPr>
          <w:u w:val="single"/>
        </w:rPr>
        <w:t>у</w:t>
      </w:r>
      <w:r w:rsidRPr="00AB2FB7">
        <w:rPr>
          <w:u w:val="single"/>
        </w:rPr>
        <w:t xml:space="preserve"> в отношении более раннего периода, она должна раскрыть этот факт.</w:t>
      </w:r>
    </w:p>
    <w:sectPr w:rsidR="00A94A84" w:rsidRPr="00AB2FB7">
      <w:headerReference w:type="even" r:id="rId24"/>
      <w:headerReference w:type="default" r:id="rId25"/>
      <w:footerReference w:type="even" r:id="rId26"/>
      <w:footerReference w:type="default" r:id="rId27"/>
      <w:pgSz w:w="11880" w:h="1682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FE4E8" w16cid:durableId="2282BEE5"/>
  <w16cid:commentId w16cid:paraId="0C23712B" w16cid:durableId="2282C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8147E" w14:textId="77777777" w:rsidR="00BF4784" w:rsidRDefault="00BF4784">
      <w:r>
        <w:separator/>
      </w:r>
    </w:p>
  </w:endnote>
  <w:endnote w:type="continuationSeparator" w:id="0">
    <w:p w14:paraId="4118EB27" w14:textId="77777777" w:rsidR="00BF4784" w:rsidRDefault="00BF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7DB19" w14:textId="0AE4BE7A" w:rsidR="00A94A84" w:rsidRDefault="00AE4AE5">
    <w:pPr>
      <w:pStyle w:val="Footer"/>
    </w:pPr>
    <w:r>
      <w:fldChar w:fldCharType="begin"/>
    </w:r>
    <w:r>
      <w:instrText>PAGE</w:instrText>
    </w:r>
    <w:r>
      <w:fldChar w:fldCharType="separate"/>
    </w:r>
    <w:r w:rsidR="009E122F">
      <w:t>6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9AEB" w14:textId="17509F1B" w:rsidR="00A94A84" w:rsidRDefault="00AE4AE5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F8488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D4BDD" w14:textId="0DB15A42" w:rsidR="00A94A84" w:rsidRDefault="00AE4AE5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F8488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67FFA" w14:textId="22913743" w:rsidR="00A94A84" w:rsidRDefault="00AE4AE5">
    <w:pPr>
      <w:pStyle w:val="Footer"/>
    </w:pPr>
    <w:r>
      <w:fldChar w:fldCharType="begin"/>
    </w:r>
    <w:r>
      <w:instrText>PAGE</w:instrText>
    </w:r>
    <w:r>
      <w:fldChar w:fldCharType="separate"/>
    </w:r>
    <w:r w:rsidR="00F84882">
      <w:rPr>
        <w:noProof/>
      </w:rPr>
      <w:t>2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B950" w14:textId="046C0373" w:rsidR="00A94A84" w:rsidRDefault="00AE4AE5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9E122F"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84DA" w14:textId="03944847" w:rsidR="00A94A84" w:rsidRDefault="00AE4AE5">
    <w:pPr>
      <w:pStyle w:val="Footer"/>
    </w:pPr>
    <w:r>
      <w:fldChar w:fldCharType="begin"/>
    </w:r>
    <w:r>
      <w:instrText>PAGE</w:instrText>
    </w:r>
    <w:r>
      <w:fldChar w:fldCharType="separate"/>
    </w:r>
    <w:r w:rsidR="00E97866">
      <w:t>4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B535" w14:textId="5936ABA4" w:rsidR="00A94A84" w:rsidRDefault="00AE4AE5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F84882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BF2C3" w14:textId="2163890C" w:rsidR="00A94A84" w:rsidRDefault="00AE4AE5">
    <w:pPr>
      <w:pStyle w:val="Footer"/>
    </w:pPr>
    <w:r>
      <w:fldChar w:fldCharType="begin"/>
    </w:r>
    <w:r>
      <w:instrText>PAGE</w:instrText>
    </w:r>
    <w:r>
      <w:fldChar w:fldCharType="separate"/>
    </w:r>
    <w:r w:rsidR="00F84882">
      <w:rPr>
        <w:noProof/>
      </w:rPr>
      <w:t>4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AF166" w14:textId="68BD1AFF" w:rsidR="00A94A84" w:rsidRDefault="00AE4AE5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E97866">
      <w:t>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BA83" w14:textId="163DE2DD" w:rsidR="00A94A84" w:rsidRDefault="00AE4AE5">
    <w:pPr>
      <w:pStyle w:val="Footer"/>
    </w:pPr>
    <w:r>
      <w:fldChar w:fldCharType="begin"/>
    </w:r>
    <w:r>
      <w:instrText>PAGE</w:instrText>
    </w:r>
    <w:r>
      <w:fldChar w:fldCharType="separate"/>
    </w:r>
    <w:r w:rsidR="009E122F">
      <w:t>16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A1087" w14:textId="77777777" w:rsidR="00BF4784" w:rsidRDefault="00BF4784">
      <w:r>
        <w:separator/>
      </w:r>
    </w:p>
  </w:footnote>
  <w:footnote w:type="continuationSeparator" w:id="0">
    <w:p w14:paraId="629A2362" w14:textId="77777777" w:rsidR="00BF4784" w:rsidRDefault="00BF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D922E" w14:textId="77777777" w:rsidR="00A94A84" w:rsidRDefault="00AE4AE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17FC" w14:textId="77777777" w:rsidR="00A94A84" w:rsidRDefault="00A94A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A5D9" w14:textId="7707A65B" w:rsidR="00A94A84" w:rsidRPr="001265DD" w:rsidRDefault="00AE4AE5" w:rsidP="00AC69E2">
    <w:pPr>
      <w:pStyle w:val="Header"/>
      <w:jc w:val="center"/>
      <w:rPr>
        <w:bCs/>
        <w:sz w:val="18"/>
        <w:szCs w:val="18"/>
      </w:rPr>
    </w:pPr>
    <w:r>
      <w:rPr>
        <w:sz w:val="18"/>
        <w:szCs w:val="18"/>
      </w:rPr>
      <w:tab/>
    </w:r>
    <w:r>
      <w:rPr>
        <w:bCs/>
        <w:sz w:val="18"/>
        <w:szCs w:val="18"/>
      </w:rPr>
      <w:t>Ежегодные усовершенствования Международных стандартов финансовой отчетности, период 2018-2020 гг.</w:t>
    </w:r>
    <w:r>
      <w:rPr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F70F7" w14:textId="2B6710BD" w:rsidR="00A94A84" w:rsidRPr="001265DD" w:rsidRDefault="001029A5" w:rsidP="001029A5">
    <w:pPr>
      <w:pStyle w:val="Header"/>
      <w:jc w:val="center"/>
      <w:rPr>
        <w:bCs/>
        <w:sz w:val="18"/>
        <w:szCs w:val="18"/>
      </w:rPr>
    </w:pPr>
    <w:r>
      <w:rPr>
        <w:bCs/>
        <w:sz w:val="18"/>
        <w:szCs w:val="18"/>
      </w:rPr>
      <w:t>Ежегодные усовершенствования Международных стандартов финансовой отчетности, период 2018-2020 гг. — май 2020 года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3116" w14:textId="0C1D3108" w:rsidR="00A94A84" w:rsidRPr="001265DD" w:rsidRDefault="00AE4AE5" w:rsidP="00AC69E2">
    <w:pPr>
      <w:pStyle w:val="Header"/>
      <w:jc w:val="center"/>
      <w:rPr>
        <w:bCs/>
        <w:sz w:val="18"/>
        <w:szCs w:val="18"/>
      </w:rPr>
    </w:pPr>
    <w:r>
      <w:rPr>
        <w:sz w:val="18"/>
        <w:szCs w:val="18"/>
      </w:rPr>
      <w:tab/>
    </w:r>
    <w:r>
      <w:rPr>
        <w:bCs/>
        <w:sz w:val="18"/>
        <w:szCs w:val="18"/>
      </w:rPr>
      <w:t>Ежегодные усовершенствования Международных стандартов финансовой отчетности, период 2018-2020 гг.</w:t>
    </w:r>
    <w:r>
      <w:rPr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4F92" w14:textId="77777777" w:rsidR="00A94A84" w:rsidRDefault="00AE4AE5">
    <w:pPr>
      <w:pStyle w:val="Header"/>
    </w:pPr>
    <w:r>
      <w:tab/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563F" w14:textId="31FA0A2E" w:rsidR="00A94A84" w:rsidRPr="001265DD" w:rsidRDefault="001029A5" w:rsidP="001029A5">
    <w:pPr>
      <w:pStyle w:val="Header"/>
      <w:jc w:val="center"/>
      <w:rPr>
        <w:bCs/>
        <w:sz w:val="18"/>
        <w:szCs w:val="18"/>
      </w:rPr>
    </w:pPr>
    <w:r>
      <w:rPr>
        <w:bCs/>
        <w:sz w:val="18"/>
        <w:szCs w:val="18"/>
      </w:rPr>
      <w:t>Ежегодные усовершенствования Международных стандартов финансовой отчетности, период 2018-2020 гг. — май 2020 года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42BE" w14:textId="77777777" w:rsidR="00A94A84" w:rsidRDefault="00AE4AE5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oNotTrackFormatting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84"/>
    <w:rsid w:val="001029A5"/>
    <w:rsid w:val="001265DD"/>
    <w:rsid w:val="001355A5"/>
    <w:rsid w:val="0016714E"/>
    <w:rsid w:val="001C7234"/>
    <w:rsid w:val="002129B6"/>
    <w:rsid w:val="00244775"/>
    <w:rsid w:val="00247B62"/>
    <w:rsid w:val="002A3DA3"/>
    <w:rsid w:val="00346DBB"/>
    <w:rsid w:val="003A1226"/>
    <w:rsid w:val="00407C3C"/>
    <w:rsid w:val="00452D41"/>
    <w:rsid w:val="004B1B48"/>
    <w:rsid w:val="004C1153"/>
    <w:rsid w:val="004E4337"/>
    <w:rsid w:val="00554BA5"/>
    <w:rsid w:val="0065126C"/>
    <w:rsid w:val="00732E4E"/>
    <w:rsid w:val="008640C1"/>
    <w:rsid w:val="00916507"/>
    <w:rsid w:val="00991799"/>
    <w:rsid w:val="009B10BD"/>
    <w:rsid w:val="009E122F"/>
    <w:rsid w:val="009F5458"/>
    <w:rsid w:val="00A94A84"/>
    <w:rsid w:val="00AB2FB7"/>
    <w:rsid w:val="00AC3D6D"/>
    <w:rsid w:val="00AC69E2"/>
    <w:rsid w:val="00AE4AE5"/>
    <w:rsid w:val="00B266B5"/>
    <w:rsid w:val="00B61127"/>
    <w:rsid w:val="00BA7EDB"/>
    <w:rsid w:val="00BB724F"/>
    <w:rsid w:val="00BF4784"/>
    <w:rsid w:val="00C51073"/>
    <w:rsid w:val="00CB0266"/>
    <w:rsid w:val="00CB4EC1"/>
    <w:rsid w:val="00CF2564"/>
    <w:rsid w:val="00E1034D"/>
    <w:rsid w:val="00E91031"/>
    <w:rsid w:val="00E97866"/>
    <w:rsid w:val="00ED3404"/>
    <w:rsid w:val="00F06594"/>
    <w:rsid w:val="00F35A08"/>
    <w:rsid w:val="00F40498"/>
    <w:rsid w:val="00F84882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824A"/>
  <w15:docId w15:val="{0A4A820D-A774-45F1-96DA-81DB447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CommentReference">
    <w:name w:val="annotation reference"/>
    <w:basedOn w:val="DefaultParagraphFont"/>
    <w:uiPriority w:val="99"/>
    <w:semiHidden/>
    <w:unhideWhenUsed/>
    <w:rsid w:val="00AB2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B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B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2" ma:contentTypeDescription="Create a new document." ma:contentTypeScope="" ma:versionID="14a725435a93184da95e080976ca60cd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5ea2c8799ecb1b8d9c6bfc2ae75c52a6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9D36-B22F-429E-855B-76D33A953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8C15B-7CC6-4463-9A9B-89383D988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eb38-6cb5-483f-a298-4a90bdd00051"/>
    <ds:schemaRef ds:uri="dd1af2b0-f65d-434c-8a17-aadcdb55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976E6-D356-4870-97F9-3C2D54405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1F927-6482-4B63-A0D9-0BA70146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Improvements to IFRS® Standards 2018–2020</vt:lpstr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Improvements to IFRS® Standards 2018–2020</dc:title>
  <dc:creator>IFRS Foundation</dc:creator>
  <cp:lastModifiedBy>Бочарова Лариса</cp:lastModifiedBy>
  <cp:revision>2</cp:revision>
  <dcterms:created xsi:type="dcterms:W3CDTF">2020-10-05T13:32:00Z</dcterms:created>
  <dcterms:modified xsi:type="dcterms:W3CDTF">2020-10-05T13:32:00Z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</Properties>
</file>