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92A" w:rsidRDefault="00AC292A">
      <w:pPr>
        <w:pStyle w:val="IASBSectionTitle2NonInd"/>
      </w:pPr>
      <w:bookmarkStart w:id="0" w:name="F32515053"/>
      <w:r>
        <w:t>Standardul Internaţional de Raportare Financiară 9</w:t>
      </w:r>
      <w:r>
        <w:br/>
      </w:r>
      <w:r>
        <w:rPr>
          <w:i/>
        </w:rPr>
        <w:t>Instrumente financiare</w:t>
      </w:r>
      <w:bookmarkEnd w:id="0"/>
    </w:p>
    <w:p w:rsidR="00AC292A" w:rsidRDefault="00AC292A">
      <w:pPr>
        <w:pStyle w:val="IASBSectionTitle1NonInd"/>
        <w:pBdr>
          <w:bottom w:val="none" w:sz="0" w:space="0" w:color="auto"/>
        </w:pBdr>
      </w:pPr>
      <w:bookmarkStart w:id="1" w:name="F32515056"/>
      <w:r>
        <w:t>Capitolul 1 Obiectiv</w:t>
      </w:r>
      <w:bookmarkEnd w:id="1"/>
    </w:p>
    <w:p w:rsidR="00AC292A" w:rsidRDefault="00AC292A">
      <w:pPr>
        <w:pStyle w:val="IASBNormalnpara"/>
      </w:pPr>
      <w:r>
        <w:t>1.1</w:t>
      </w:r>
      <w:r>
        <w:tab/>
      </w:r>
      <w:bookmarkStart w:id="2" w:name="F32515057"/>
      <w:r>
        <w:t xml:space="preserve">Obiectivul prezentului standard este de a stabili principiile pentru raportarea financiară a </w:t>
      </w:r>
      <w:r>
        <w:rPr>
          <w:i/>
        </w:rPr>
        <w:t>activelor financiare</w:t>
      </w:r>
      <w:r>
        <w:t xml:space="preserve"> şi a </w:t>
      </w:r>
      <w:r>
        <w:rPr>
          <w:i/>
        </w:rPr>
        <w:t>datoriilor financiare</w:t>
      </w:r>
      <w:r>
        <w:t xml:space="preserve"> care vor prezenta informaţii relevante şi utile utilizatorilor situaţiilor financiare pentru evaluarea valorii, plasării în timp şi incertitudinii fluxurilor de trezorerie viitoare ale unei entităţi.</w:t>
      </w:r>
      <w:bookmarkEnd w:id="2"/>
    </w:p>
    <w:p w:rsidR="00AC292A" w:rsidRDefault="00AC292A">
      <w:pPr>
        <w:pStyle w:val="IASBSectionTitle1NonInd"/>
        <w:pBdr>
          <w:bottom w:val="none" w:sz="0" w:space="0" w:color="auto"/>
        </w:pBdr>
      </w:pPr>
      <w:bookmarkStart w:id="3" w:name="F32515061"/>
      <w:r>
        <w:t>Capitolul 2 Domeniu de aplicare</w:t>
      </w:r>
      <w:bookmarkEnd w:id="3"/>
    </w:p>
    <w:p w:rsidR="00AC292A" w:rsidRDefault="00AC292A">
      <w:pPr>
        <w:pStyle w:val="IASBNormalnpara"/>
        <w:rPr>
          <w:b/>
        </w:rPr>
      </w:pPr>
      <w:r>
        <w:rPr>
          <w:b/>
        </w:rPr>
        <w:t>2.1</w:t>
      </w:r>
      <w:r>
        <w:tab/>
      </w:r>
      <w:bookmarkStart w:id="4" w:name="F46437595"/>
      <w:r>
        <w:rPr>
          <w:b/>
        </w:rPr>
        <w:t>Prezentul standard trebuie aplicat de către toate entităţile pentru toate tipurile de instrumente financiare, cu excepţia:</w:t>
      </w:r>
      <w:bookmarkEnd w:id="4"/>
    </w:p>
    <w:p w:rsidR="00AC292A" w:rsidRDefault="00AC292A">
      <w:pPr>
        <w:pStyle w:val="IASBNormalnparaL1"/>
        <w:rPr>
          <w:b/>
        </w:rPr>
      </w:pPr>
      <w:r>
        <w:rPr>
          <w:b/>
        </w:rPr>
        <w:t>(a)</w:t>
      </w:r>
      <w:r>
        <w:tab/>
      </w:r>
      <w:bookmarkStart w:id="5" w:name="F46437598"/>
      <w:r>
        <w:rPr>
          <w:b/>
        </w:rPr>
        <w:t xml:space="preserve">acelor interese deținute în filiale, entități asociate și asocieri în participație care sunt contabilizate în conformitate cu IFRS 10 </w:t>
      </w:r>
      <w:r>
        <w:rPr>
          <w:b/>
          <w:i/>
        </w:rPr>
        <w:t>Situații financiare consolidate</w:t>
      </w:r>
      <w:r>
        <w:rPr>
          <w:b/>
        </w:rPr>
        <w:t xml:space="preserve">, IAS 27 </w:t>
      </w:r>
      <w:r>
        <w:rPr>
          <w:b/>
          <w:i/>
        </w:rPr>
        <w:t>Situații financiare individuale</w:t>
      </w:r>
      <w:r>
        <w:rPr>
          <w:b/>
        </w:rPr>
        <w:t xml:space="preserve"> sau IAS 28</w:t>
      </w:r>
      <w:r>
        <w:rPr>
          <w:b/>
          <w:i/>
        </w:rPr>
        <w:t xml:space="preserve"> Investiții în entitățile asociate şi în asocierile în participaţie</w:t>
      </w:r>
      <w:r>
        <w:rPr>
          <w:b/>
        </w:rPr>
        <w:t xml:space="preserve">. Totuşi, în unele cazuri, IFRS 10, IAS 27 sau IAS 28 impun sau permit unei entităţi să contabilizeze o participaţie într-o filială, entitate asociată sau asociere în participaţie în conformitate cu o parte dintre sau toate dispoziţiile prezentului standard. Entităţile trebuie să aplice, de asemenea, prezentul standard instrumentelor derivate legate de o participaţie într-o filială, entitate asociată sau asociere în participaţie, cu excepţia cazului în care instrumentul derivat corespunde definiţiei unui instrument de capitaluri proprii al entităţii din IAS 32 </w:t>
      </w:r>
      <w:r>
        <w:rPr>
          <w:b/>
          <w:i/>
        </w:rPr>
        <w:t>Instrumente financiare: prezentare</w:t>
      </w:r>
      <w:r>
        <w:rPr>
          <w:b/>
        </w:rPr>
        <w:t>.</w:t>
      </w:r>
      <w:bookmarkEnd w:id="5"/>
    </w:p>
    <w:p w:rsidR="00AC292A" w:rsidRDefault="00AC292A">
      <w:pPr>
        <w:pStyle w:val="IASBNormalnparaL1"/>
        <w:rPr>
          <w:b/>
        </w:rPr>
      </w:pPr>
      <w:r>
        <w:rPr>
          <w:b/>
        </w:rPr>
        <w:t>(b)</w:t>
      </w:r>
      <w:bookmarkStart w:id="6" w:name="F46437609"/>
      <w:r w:rsidR="00190D26">
        <w:rPr>
          <w:b/>
        </w:rPr>
        <w:tab/>
      </w:r>
      <w:r>
        <w:rPr>
          <w:b/>
        </w:rPr>
        <w:t>drepturilor şi obligaţiilor rezultate din contractele de leasing pentru care se aplică</w:t>
      </w:r>
      <w:r>
        <w:rPr>
          <w:b/>
          <w:i/>
        </w:rPr>
        <w:t xml:space="preserve"> </w:t>
      </w:r>
      <w:r>
        <w:rPr>
          <w:b/>
        </w:rPr>
        <w:t xml:space="preserve">IFRS 16 </w:t>
      </w:r>
      <w:r>
        <w:rPr>
          <w:b/>
          <w:i/>
        </w:rPr>
        <w:t>Contracte de leasing.</w:t>
      </w:r>
      <w:r>
        <w:rPr>
          <w:b/>
        </w:rPr>
        <w:t xml:space="preserve"> Totuşi:</w:t>
      </w:r>
      <w:bookmarkEnd w:id="6"/>
    </w:p>
    <w:p w:rsidR="00AC292A" w:rsidRDefault="00AC292A">
      <w:pPr>
        <w:pStyle w:val="IASBNormalnparaL2"/>
        <w:rPr>
          <w:b/>
        </w:rPr>
      </w:pPr>
      <w:r>
        <w:rPr>
          <w:b/>
        </w:rPr>
        <w:t>(i)</w:t>
      </w:r>
      <w:bookmarkStart w:id="7" w:name="F46437614"/>
      <w:r w:rsidR="00190D26">
        <w:rPr>
          <w:b/>
        </w:rPr>
        <w:tab/>
      </w:r>
      <w:r>
        <w:rPr>
          <w:b/>
        </w:rPr>
        <w:t>creanţele care decurg din contracte de leasing financiar (adică investiții nete în contracte de leasing financiar) și creanţele care decurg din contracte de leasing operațional recunoscute de un locator fac obiectul dispoziţiilor privind derecunoaşterea şi deprecierea din prezentul standard;</w:t>
      </w:r>
      <w:bookmarkEnd w:id="7"/>
    </w:p>
    <w:p w:rsidR="00AC292A" w:rsidRDefault="00AC292A">
      <w:pPr>
        <w:pStyle w:val="IASBNormalnparaL2"/>
        <w:rPr>
          <w:b/>
        </w:rPr>
      </w:pPr>
      <w:r>
        <w:rPr>
          <w:b/>
        </w:rPr>
        <w:t>(ii)</w:t>
      </w:r>
      <w:bookmarkStart w:id="8" w:name="F46437617"/>
      <w:r w:rsidR="00190D26">
        <w:rPr>
          <w:b/>
        </w:rPr>
        <w:tab/>
      </w:r>
      <w:r>
        <w:rPr>
          <w:b/>
        </w:rPr>
        <w:t>datoriile care decurg din contracte de leasing recunoscute de un locatar fac obiectul dispoziţiilor privind derecunoaşterea de la punctul 3.3.1 din prezentul standard; și</w:t>
      </w:r>
      <w:bookmarkEnd w:id="8"/>
    </w:p>
    <w:p w:rsidR="00AC292A" w:rsidRDefault="00AC292A">
      <w:pPr>
        <w:pStyle w:val="IASBNormalnparaL2"/>
        <w:rPr>
          <w:b/>
        </w:rPr>
      </w:pPr>
      <w:r>
        <w:rPr>
          <w:b/>
        </w:rPr>
        <w:t>(iii)</w:t>
      </w:r>
      <w:bookmarkStart w:id="9" w:name="F46437619"/>
      <w:r w:rsidR="00190D26">
        <w:rPr>
          <w:b/>
        </w:rPr>
        <w:tab/>
      </w:r>
      <w:r>
        <w:rPr>
          <w:b/>
        </w:rPr>
        <w:t>instrumentele derivate care sunt încorporate în contractele de leasing fac obiectul dispoziţiilor privind instrumentele derivate încorporate din prezentul standard.</w:t>
      </w:r>
      <w:bookmarkEnd w:id="9"/>
    </w:p>
    <w:p w:rsidR="00AC292A" w:rsidRDefault="00AC292A">
      <w:pPr>
        <w:pStyle w:val="IASBNormalnparaL1"/>
        <w:rPr>
          <w:b/>
        </w:rPr>
      </w:pPr>
      <w:r>
        <w:rPr>
          <w:b/>
        </w:rPr>
        <w:t>(c)</w:t>
      </w:r>
      <w:bookmarkStart w:id="10" w:name="F46437622"/>
      <w:r w:rsidR="00190D26">
        <w:rPr>
          <w:b/>
        </w:rPr>
        <w:tab/>
      </w:r>
      <w:r>
        <w:rPr>
          <w:b/>
        </w:rPr>
        <w:t xml:space="preserve">drepturilor şi obligaţiilor angajatorilor conform planurilor de beneficii ale angajaţilor, la care se aplică IAS 19 </w:t>
      </w:r>
      <w:r>
        <w:rPr>
          <w:b/>
          <w:i/>
        </w:rPr>
        <w:t>Beneficiile angajaţilor</w:t>
      </w:r>
      <w:r>
        <w:rPr>
          <w:b/>
        </w:rPr>
        <w:t>.</w:t>
      </w:r>
      <w:bookmarkEnd w:id="10"/>
    </w:p>
    <w:p w:rsidR="00AC292A" w:rsidRDefault="00AC292A">
      <w:pPr>
        <w:pStyle w:val="IASBNormalnparaL1"/>
        <w:rPr>
          <w:b/>
        </w:rPr>
      </w:pPr>
      <w:r>
        <w:rPr>
          <w:b/>
        </w:rPr>
        <w:t>(d)</w:t>
      </w:r>
      <w:bookmarkStart w:id="11" w:name="F46437626"/>
      <w:r w:rsidR="00190D26">
        <w:rPr>
          <w:b/>
        </w:rPr>
        <w:tab/>
      </w:r>
      <w:r>
        <w:rPr>
          <w:b/>
        </w:rPr>
        <w:t>instrumentelor financiare emise de entitate care corespund definiţiei unui instrument de capitaluri proprii din IAS 32 (inclusiv opţiunile şi warantele) sau care se impune să fie clasificate drept instrumente de capitaluri proprii în conformitate cu punctele 16A şi 16B sau cu punctele 16C şi 16D din IAS 32. Cu toate acestea, deţinătorul unor astfel de instrumente de capitaluri proprii trebuie să aplice prezentul standard acelor instrumente, mai puţin în cazul în care ele corespund excepţiei de la litera (a).</w:t>
      </w:r>
      <w:bookmarkEnd w:id="11"/>
    </w:p>
    <w:p w:rsidR="00AC292A" w:rsidRDefault="00AC292A">
      <w:pPr>
        <w:pStyle w:val="IASBNormalnparaL1"/>
        <w:rPr>
          <w:b/>
        </w:rPr>
      </w:pPr>
      <w:r>
        <w:rPr>
          <w:b/>
        </w:rPr>
        <w:t>(e)</w:t>
      </w:r>
      <w:bookmarkStart w:id="12" w:name="F46437630"/>
      <w:r w:rsidR="00190D26">
        <w:rPr>
          <w:b/>
        </w:rPr>
        <w:tab/>
      </w:r>
      <w:r>
        <w:rPr>
          <w:b/>
        </w:rPr>
        <w:t xml:space="preserve">drepturilor şi obligaţiilor care decurg fie (i) dintr-un contract de asigurare aşa cum este acesta definit în IFRS 4 </w:t>
      </w:r>
      <w:r>
        <w:rPr>
          <w:b/>
          <w:i/>
        </w:rPr>
        <w:t>Contracte de asigurare</w:t>
      </w:r>
      <w:r>
        <w:rPr>
          <w:b/>
        </w:rPr>
        <w:t xml:space="preserve">, altele decât drepturile şi obligaţiile unui emitent care rezultă conform unui contract de asigurare care corespunde definiţiei unui contract de garanţie financiară, fie (ii) dintr-un contract care intră sub incidenţa IFRS 4 deoarece conţine o caracteristică de participare discreţionară. Cu toate acestea, prezentul standard se aplică unui instrument derivat care este încorporat într-un contract ce intră sub incidenţa IFRS 4 dacă instrumentul derivat nu este în sine un contract care intră sub incidenţa IFRS 4. Mai mult, dacă un emitent al contractelor de garanţie financiară a afirmat anterior în mod explicit că el consideră astfel de contracte drept contracte de asigurare şi a utilizat contabilitatea aplicabilă contractelor de asigurare, emitentul poate alege să aplice fie prezentul standard, fie IFRS 4 pentru astfel de contracte de garanţie </w:t>
      </w:r>
      <w:r>
        <w:rPr>
          <w:b/>
        </w:rPr>
        <w:lastRenderedPageBreak/>
        <w:t>financiară (a se vedea punctele B2.5-B2.6). Emitentul poate face această alegere pentru fiecare contract în parte, dar opțiunea pentru fiecare contract este irevocabilă.</w:t>
      </w:r>
      <w:bookmarkEnd w:id="12"/>
    </w:p>
    <w:p w:rsidR="00AC292A" w:rsidRDefault="00AC292A">
      <w:pPr>
        <w:pStyle w:val="IASBNormalnparaL1"/>
        <w:rPr>
          <w:b/>
        </w:rPr>
      </w:pPr>
      <w:r>
        <w:rPr>
          <w:b/>
        </w:rPr>
        <w:t>(f)</w:t>
      </w:r>
      <w:bookmarkStart w:id="13" w:name="F46437640"/>
      <w:r w:rsidR="00190D26">
        <w:rPr>
          <w:b/>
        </w:rPr>
        <w:tab/>
      </w:r>
      <w:r>
        <w:rPr>
          <w:b/>
        </w:rPr>
        <w:t xml:space="preserve">oricăror contracte forward dintre o entitate dobânditoare şi un vânzător acţionar privind cumpărarea sau vânzarea unei entităţi dobândite care vor avea ca rezultat o combinare de întreprinderi ce intră sub incidenţa IFRS 3 </w:t>
      </w:r>
      <w:r>
        <w:rPr>
          <w:b/>
          <w:i/>
        </w:rPr>
        <w:t>Combinări de întreprinderi</w:t>
      </w:r>
      <w:r>
        <w:rPr>
          <w:b/>
        </w:rPr>
        <w:t xml:space="preserve"> la o dată viitoare a achiziţiei. Durata unui contract forward nu trebuie să depăşească o perioadă rezonabilă necesară în mod normal pentru a obţine aprobările necesare şi pentru a încheia tranzacţia.</w:t>
      </w:r>
      <w:bookmarkEnd w:id="13"/>
    </w:p>
    <w:p w:rsidR="00AC292A" w:rsidRDefault="00AC292A">
      <w:pPr>
        <w:pStyle w:val="IASBNormalnparaL1"/>
        <w:rPr>
          <w:b/>
        </w:rPr>
      </w:pPr>
      <w:r>
        <w:rPr>
          <w:b/>
        </w:rPr>
        <w:t>(g)</w:t>
      </w:r>
      <w:bookmarkStart w:id="14" w:name="F46437646"/>
      <w:r w:rsidR="00190D26">
        <w:rPr>
          <w:b/>
        </w:rPr>
        <w:tab/>
      </w:r>
      <w:r>
        <w:rPr>
          <w:b/>
        </w:rPr>
        <w:t>angajamentelor de creditare, cu excepţia angajamentelor de creditare descrise la punctul 2.3. Cu toate acestea, emitentul angajamentelor de creditare trebuie să aplice dispoziţiile privind deprecierea din prezentul standard pentru angajamentele de creditare care altfel nu fac parte din domeniul de aplicare al prezentului standard. De asemenea, toate angajamentele de creditare fac obiectul prevederilor privind derecunoaşterea ale prezentului standard.</w:t>
      </w:r>
      <w:bookmarkEnd w:id="14"/>
    </w:p>
    <w:p w:rsidR="00AC292A" w:rsidRDefault="00AC292A">
      <w:pPr>
        <w:pStyle w:val="IASBNormalnparaL1"/>
        <w:rPr>
          <w:b/>
        </w:rPr>
      </w:pPr>
      <w:r>
        <w:rPr>
          <w:b/>
        </w:rPr>
        <w:t>(h)</w:t>
      </w:r>
      <w:bookmarkStart w:id="15" w:name="F46437653"/>
      <w:r w:rsidR="00190D26">
        <w:rPr>
          <w:b/>
        </w:rPr>
        <w:tab/>
      </w:r>
      <w:r>
        <w:rPr>
          <w:b/>
        </w:rPr>
        <w:t xml:space="preserve">instrumentelor financiare, contractelor şi obligaţiilor din cadrul tranzacţiilor cu plata pe bază de acţiuni pentru care se aplică IFRS 2 </w:t>
      </w:r>
      <w:r>
        <w:rPr>
          <w:b/>
          <w:i/>
        </w:rPr>
        <w:t>Plata pe bază de acţiuni</w:t>
      </w:r>
      <w:r>
        <w:rPr>
          <w:b/>
        </w:rPr>
        <w:t>, cu excepţia contractelor care intră sub incidenţa punctelor 2.4-2.7 din prezentul standard cărora li se aplică prezentul standard.</w:t>
      </w:r>
      <w:bookmarkEnd w:id="15"/>
    </w:p>
    <w:p w:rsidR="00AC292A" w:rsidRDefault="00AC292A">
      <w:pPr>
        <w:pStyle w:val="IASBNormalnparaL1"/>
        <w:rPr>
          <w:b/>
        </w:rPr>
      </w:pPr>
      <w:r>
        <w:rPr>
          <w:b/>
        </w:rPr>
        <w:t>(i)</w:t>
      </w:r>
      <w:bookmarkStart w:id="16" w:name="F46437658"/>
      <w:r w:rsidR="00190D26">
        <w:rPr>
          <w:b/>
        </w:rPr>
        <w:tab/>
      </w:r>
      <w:r>
        <w:rPr>
          <w:b/>
        </w:rPr>
        <w:t xml:space="preserve">drepturilor la plăţi pentru a rambursa entității cheltuielile pe care este obligată să le realizeze pentru a deconta o datorie pe care o recunoaşte drept provizion conform IAS 37 </w:t>
      </w:r>
      <w:r>
        <w:rPr>
          <w:b/>
          <w:i/>
        </w:rPr>
        <w:t>Provizioane, datorii contingente şi active contingente</w:t>
      </w:r>
      <w:r>
        <w:rPr>
          <w:b/>
        </w:rPr>
        <w:t xml:space="preserve"> sau pentru care, într-o perioadă anterioară, entitatea a recunoscut un provizion în conformitate cu IAS 37.</w:t>
      </w:r>
      <w:bookmarkEnd w:id="16"/>
    </w:p>
    <w:p w:rsidR="00AC292A" w:rsidRDefault="00AC292A">
      <w:pPr>
        <w:pStyle w:val="IASBNormalnparaL1"/>
        <w:rPr>
          <w:b/>
        </w:rPr>
      </w:pPr>
      <w:r>
        <w:rPr>
          <w:b/>
        </w:rPr>
        <w:t>(j)</w:t>
      </w:r>
      <w:bookmarkStart w:id="17" w:name="F46437662"/>
      <w:r w:rsidR="00190D26">
        <w:rPr>
          <w:b/>
        </w:rPr>
        <w:tab/>
      </w:r>
      <w:r>
        <w:rPr>
          <w:b/>
        </w:rPr>
        <w:t xml:space="preserve">drepturilor şi obligaţiilor care intră sub incidenţa IFRS 15 </w:t>
      </w:r>
      <w:r>
        <w:rPr>
          <w:b/>
          <w:i/>
        </w:rPr>
        <w:t xml:space="preserve">Venituri din contractele cu clienții </w:t>
      </w:r>
      <w:r>
        <w:rPr>
          <w:b/>
        </w:rPr>
        <w:t xml:space="preserve">care sunt instrumente financiare, cu excepţia celor pentru care IFRS 15 specifică faptul că sunt contabilizate în conformitate cu prezentul standard. </w:t>
      </w:r>
      <w:bookmarkEnd w:id="17"/>
    </w:p>
    <w:p w:rsidR="00AC292A" w:rsidRDefault="00AC292A">
      <w:pPr>
        <w:pStyle w:val="IASBNormalnpara"/>
        <w:rPr>
          <w:b/>
        </w:rPr>
      </w:pPr>
      <w:r>
        <w:rPr>
          <w:b/>
        </w:rPr>
        <w:t>2.2</w:t>
      </w:r>
      <w:bookmarkStart w:id="18" w:name="F32569534"/>
      <w:r w:rsidR="00190D26">
        <w:rPr>
          <w:b/>
        </w:rPr>
        <w:tab/>
      </w:r>
      <w:r>
        <w:rPr>
          <w:b/>
        </w:rPr>
        <w:t>Dispoziţiile privind deprecierea din prezentul standard trebuie aplicate acelor drepturi pentru care IFRS 15 specifică că sunt contabilizate în conformitate cu prezentul standard în scopul recunoaşterii câştigurilor sau pierderilor din depreciere.</w:t>
      </w:r>
      <w:bookmarkEnd w:id="18"/>
    </w:p>
    <w:p w:rsidR="00AC292A" w:rsidRDefault="00AC292A">
      <w:pPr>
        <w:pStyle w:val="IASBNormalnpara"/>
        <w:rPr>
          <w:b/>
        </w:rPr>
      </w:pPr>
      <w:r>
        <w:rPr>
          <w:b/>
        </w:rPr>
        <w:t>2.3</w:t>
      </w:r>
      <w:bookmarkStart w:id="19" w:name="F32569535"/>
      <w:r w:rsidR="00190D26">
        <w:rPr>
          <w:b/>
        </w:rPr>
        <w:tab/>
      </w:r>
      <w:r>
        <w:rPr>
          <w:b/>
        </w:rPr>
        <w:t>Următoarele angajamente de creditare intră sub incidenţa prezentului standard:</w:t>
      </w:r>
      <w:bookmarkEnd w:id="19"/>
    </w:p>
    <w:p w:rsidR="00AC292A" w:rsidRDefault="00AC292A">
      <w:pPr>
        <w:pStyle w:val="IASBNormalnparaL1"/>
        <w:rPr>
          <w:b/>
        </w:rPr>
      </w:pPr>
      <w:r>
        <w:rPr>
          <w:b/>
        </w:rPr>
        <w:t>(a)</w:t>
      </w:r>
      <w:bookmarkStart w:id="20" w:name="F32569538"/>
      <w:r w:rsidR="00190D26">
        <w:rPr>
          <w:b/>
        </w:rPr>
        <w:tab/>
      </w:r>
      <w:r>
        <w:rPr>
          <w:b/>
        </w:rPr>
        <w:t>angajamentele de creditare pe care entitatea le desemnează ca datorii financiare la valoarea justă prin profit sau pierdere (a se vedea punctul 4.2.2). O entitate care are experienţă în vânzarea activelor care rezultă din angajamentele sale de creditare la scurt timp după iniţiere trebuie să aplice prezentul standard tuturor angajamentelor sale de creditare din aceeaşi clasă.</w:t>
      </w:r>
      <w:bookmarkEnd w:id="20"/>
    </w:p>
    <w:p w:rsidR="00AC292A" w:rsidRDefault="00AC292A">
      <w:pPr>
        <w:pStyle w:val="IASBNormalnparaL1"/>
        <w:rPr>
          <w:b/>
        </w:rPr>
      </w:pPr>
      <w:r>
        <w:rPr>
          <w:b/>
        </w:rPr>
        <w:t>(b)</w:t>
      </w:r>
      <w:bookmarkStart w:id="21" w:name="F32569540"/>
      <w:r w:rsidR="00190D26">
        <w:rPr>
          <w:b/>
        </w:rPr>
        <w:tab/>
      </w:r>
      <w:r>
        <w:rPr>
          <w:b/>
        </w:rPr>
        <w:t>angajamentele de creditare care pot fi decontate net în numerar sau prin livrarea sau emiterea unui alt instrument financiar. Aceste angajamente de creditare sunt instrumente derivate. Un angajament de creditare nu este considerat drept decontat net pentru simplul motiv că împrumutul este plătit în rate (de exemplu, un împrumut pentru o construcţie ipotecară care se plăteşte în rate odată cu avansarea lucrărilor de construcţie).</w:t>
      </w:r>
      <w:bookmarkEnd w:id="21"/>
    </w:p>
    <w:p w:rsidR="00AC292A" w:rsidRDefault="00AC292A">
      <w:pPr>
        <w:pStyle w:val="IASBNormalnparaL1"/>
        <w:rPr>
          <w:b/>
        </w:rPr>
      </w:pPr>
      <w:r>
        <w:rPr>
          <w:b/>
        </w:rPr>
        <w:t>(c)</w:t>
      </w:r>
      <w:bookmarkStart w:id="22" w:name="F32569542"/>
      <w:r w:rsidR="00190D26">
        <w:rPr>
          <w:b/>
        </w:rPr>
        <w:tab/>
      </w:r>
      <w:r>
        <w:rPr>
          <w:b/>
        </w:rPr>
        <w:t>angajamentele pentru furnizarea unui împrumut la o rată a dobânzii sub valoarea pieţei (a se vedea punctul 4.2.1 litera (d)).</w:t>
      </w:r>
      <w:bookmarkEnd w:id="22"/>
    </w:p>
    <w:p w:rsidR="00AC292A" w:rsidRDefault="00AC292A">
      <w:pPr>
        <w:pStyle w:val="IASBNormalnpara"/>
        <w:rPr>
          <w:b/>
        </w:rPr>
      </w:pPr>
      <w:r>
        <w:rPr>
          <w:b/>
        </w:rPr>
        <w:t>2.4</w:t>
      </w:r>
      <w:bookmarkStart w:id="23" w:name="F32569543"/>
      <w:r w:rsidR="00190D26">
        <w:rPr>
          <w:b/>
        </w:rPr>
        <w:tab/>
      </w:r>
      <w:r>
        <w:rPr>
          <w:b/>
        </w:rPr>
        <w:t>Prezentul standard trebuie aplicat acelor contracte de cumpărare sau de vânzare a unui element nefinanciar care pot fi decontate net în numerar, într-un alt instrument financiar sau prin schimbul de instrumente financiare, ca şi când contractele ar fi instrumente financiare, cu excepţia contractelor încheiate şi menţinute în vigoare în scopul obţinerii sau furnizării unui element nefinanciar, în conformitate cu dispozițiile de cumpărare, vânzare sau utilizare preconizate ale entității. Cu toate acestea, prezentul standard trebuie aplicat acelor contracte pe care o entitate le desemnează ca fiind evaluate la valoarea justă prin profit sau pierdere în conformitate cu punctul 2.5.</w:t>
      </w:r>
      <w:bookmarkEnd w:id="23"/>
    </w:p>
    <w:p w:rsidR="00AC292A" w:rsidRDefault="00AC292A">
      <w:pPr>
        <w:pStyle w:val="IASBNormalnpara"/>
        <w:rPr>
          <w:b/>
        </w:rPr>
      </w:pPr>
      <w:r>
        <w:rPr>
          <w:b/>
        </w:rPr>
        <w:t>2.5</w:t>
      </w:r>
      <w:bookmarkStart w:id="24" w:name="F32569544"/>
      <w:r w:rsidR="00190D26">
        <w:rPr>
          <w:b/>
        </w:rPr>
        <w:tab/>
      </w:r>
      <w:r>
        <w:rPr>
          <w:b/>
        </w:rPr>
        <w:t>Un contract de cumpărare sau de vânzare a unui element nefinanciar care poate fi decontat net în numerar, într-un alt instrument financiar sau prin schimbul de instrumente financiare, ca şi cum contractul ar fi un instrument financiar, poate fi desemnat irevocabil ca fiind evaluat la valoarea justă prin profit sau pierdere chiar dacă a fost încheiat în scopul obţinerii sau furnizării unui element nefinanciar în conformitate cu dispoziţiile de cumpărare, vânzare sau utilizare preconizate ale entităţii. Această desemnare este valabilă doar la iniţierea contractului şi doar dacă elimină sau reduce semnificativ o inconsecvență în recunoaştere (denumită uneori „necorelare contabilă”) care altfel ar apărea ca rezultat al nerecunoaşterii contractului deoarece acesta este exclus din domeniul de aplicare al prezentului standard (a se vedea punctul 2.4).</w:t>
      </w:r>
      <w:bookmarkEnd w:id="24"/>
    </w:p>
    <w:p w:rsidR="00AC292A" w:rsidRDefault="00AC292A">
      <w:pPr>
        <w:pStyle w:val="IASBNormalnpara"/>
      </w:pPr>
      <w:r>
        <w:lastRenderedPageBreak/>
        <w:t>2.6</w:t>
      </w:r>
      <w:r>
        <w:tab/>
      </w:r>
      <w:bookmarkStart w:id="25" w:name="F32569545"/>
      <w:r>
        <w:t>Există diferite moduri în care un contract de cumpărare sau de vânzare a unui element nefinanciar poate fi decontat net în numerar, într-un alt instrument financiar sau prin schimbul de instrumente financiare. Acestea includ:</w:t>
      </w:r>
      <w:bookmarkEnd w:id="25"/>
    </w:p>
    <w:p w:rsidR="00AC292A" w:rsidRDefault="00AC292A">
      <w:pPr>
        <w:pStyle w:val="IASBNormalnparaL1"/>
      </w:pPr>
      <w:r>
        <w:t>(a)</w:t>
      </w:r>
      <w:r>
        <w:tab/>
      </w:r>
      <w:bookmarkStart w:id="26" w:name="F32569548"/>
      <w:r>
        <w:t>atunci când termenele unui contract permit oricărei părţi să îl deconteze net în numerar, într-un alt instrument financiar sau prin schimbul de instrumente financiare;</w:t>
      </w:r>
      <w:bookmarkEnd w:id="26"/>
    </w:p>
    <w:p w:rsidR="00AC292A" w:rsidRDefault="00AC292A">
      <w:pPr>
        <w:pStyle w:val="IASBNormalnparaL1"/>
      </w:pPr>
      <w:r>
        <w:t>(b)</w:t>
      </w:r>
      <w:r>
        <w:tab/>
      </w:r>
      <w:bookmarkStart w:id="27" w:name="F32569550"/>
      <w:r>
        <w:t>atunci când capacitatea de a deconta net în numerar, într-un alt instrument financiar sau prin schimbul de instrumente financiare nu este explicită în termenele contractuale, dar entitatea obişnuieşte să deconteze contracte similare net în numerar, într-un alt instrument financiar sau prin schimbul de instrumente financiare (fie împreună cu partenerul, fie prin încheierea unor contracte de compensare, fie prin vânzarea contractului înainte de exercitarea sau expirarea acestuia);</w:t>
      </w:r>
      <w:bookmarkEnd w:id="27"/>
    </w:p>
    <w:p w:rsidR="00AC292A" w:rsidRDefault="00AC292A">
      <w:pPr>
        <w:pStyle w:val="IASBNormalnparaL1"/>
      </w:pPr>
      <w:r>
        <w:t>(c)</w:t>
      </w:r>
      <w:r>
        <w:tab/>
      </w:r>
      <w:bookmarkStart w:id="28" w:name="F32569552"/>
      <w:r>
        <w:t>atunci când, pentru contracte similare, entitatea are o practică de acceptare a livrării activului-suport şi de vânzare a acestuia la scurt timp după livrare, în scopul generării unui profit din fluctuaţiile pe termen scurt ale preţului sau ale marjei dealerului; și</w:t>
      </w:r>
      <w:bookmarkEnd w:id="28"/>
    </w:p>
    <w:p w:rsidR="00AC292A" w:rsidRDefault="00AC292A">
      <w:pPr>
        <w:pStyle w:val="IASBNormalnparaL1"/>
      </w:pPr>
      <w:r>
        <w:t>(d)</w:t>
      </w:r>
      <w:r>
        <w:tab/>
      </w:r>
      <w:bookmarkStart w:id="29" w:name="F32569554"/>
      <w:r>
        <w:t>atunci când elementul nefinanciar care face obiectul contractului poate fi convertit fără dificultate în numerar.</w:t>
      </w:r>
      <w:bookmarkEnd w:id="29"/>
    </w:p>
    <w:p w:rsidR="00AC292A" w:rsidRDefault="00AC292A">
      <w:pPr>
        <w:pStyle w:val="IASBNormalnparaP"/>
      </w:pPr>
      <w:bookmarkStart w:id="30" w:name="F32569555"/>
      <w:r>
        <w:t>Un contract căruia i se aplică litera (b) sau litera (c) nu este încheiat în scopul primirii sau furnizării unui element nefinanciar în conformitate cu dispoziţiile de cumpărare, vânzare sau utilizare preconizate ale entităţii şi, în consecinţă, intră sub incidenţa prezentului standard. Alte contracte pentru care se aplică punctul 2.4 sunt evaluate pentru a se determina dacă au fost încheiate şi sunt menţinute în vigoare în scopul primirii sau furnizării unui element nefinanciar în conformitate cu dispoziţiile de cumpărare, vânzare sau utilizare preconizate ale entității şi, în consecinţă, pentru a se determina dacă intră sub incidenţa prezentului standard.</w:t>
      </w:r>
      <w:bookmarkEnd w:id="30"/>
    </w:p>
    <w:p w:rsidR="00AC292A" w:rsidRDefault="00AC292A">
      <w:pPr>
        <w:pStyle w:val="IASBNormalnpara"/>
      </w:pPr>
      <w:r>
        <w:t>2.7</w:t>
      </w:r>
      <w:r>
        <w:tab/>
      </w:r>
      <w:bookmarkStart w:id="31" w:name="F32569559"/>
      <w:r>
        <w:t>O opţiune emisă de cumpărare sau de vânzare a unui element nefinanciar care poate fi decontată net în numerar, într-un alt instrument financiar sau prin schimbul de instrumente financiare, în conformitate cu punctul 2.6 litera (a) sau punctul 2.6 litera (d), intră sub incidenţa prezentului standard. Un astfel de contract nu poate fi încheiat în scopul primirii sau furnizării elementului nefinanciar în conformitate cu dispoziţiile de cumpărare, vânzare sau utilizare preconizate ale entității.</w:t>
      </w:r>
      <w:bookmarkEnd w:id="31"/>
    </w:p>
    <w:p w:rsidR="00AC292A" w:rsidRDefault="00AC292A">
      <w:pPr>
        <w:pStyle w:val="IASBSectionTitle1NonInd"/>
        <w:pBdr>
          <w:bottom w:val="none" w:sz="0" w:space="0" w:color="auto"/>
        </w:pBdr>
      </w:pPr>
      <w:bookmarkStart w:id="32" w:name="F32569557"/>
      <w:r>
        <w:t>Capitolul 3 Recunoaştere şi derecunoaştere</w:t>
      </w:r>
      <w:bookmarkEnd w:id="32"/>
    </w:p>
    <w:p w:rsidR="00AC292A" w:rsidRDefault="00AC292A">
      <w:pPr>
        <w:pStyle w:val="IASBSectionTitle1NonInd"/>
      </w:pPr>
      <w:bookmarkStart w:id="33" w:name="F32569561"/>
      <w:r>
        <w:t>3.1 Recunoaşterea iniţială</w:t>
      </w:r>
      <w:bookmarkEnd w:id="33"/>
    </w:p>
    <w:p w:rsidR="00AC292A" w:rsidRDefault="00AC292A">
      <w:pPr>
        <w:pStyle w:val="IASBNormalnpara"/>
        <w:rPr>
          <w:b/>
        </w:rPr>
      </w:pPr>
      <w:r>
        <w:rPr>
          <w:b/>
        </w:rPr>
        <w:t>3.1.1</w:t>
      </w:r>
      <w:bookmarkStart w:id="34" w:name="F32569562"/>
      <w:r w:rsidR="00190D26">
        <w:rPr>
          <w:b/>
        </w:rPr>
        <w:tab/>
      </w:r>
      <w:r>
        <w:rPr>
          <w:b/>
        </w:rPr>
        <w:t>O entitate trebuie să recunoască un activ financiar sau o datorie financiară în situaţia poziţiei financiare atunci şi numai atunci când entitatea devine parte la prevederile contractuale ale instrumentului (a se vedea punctele B3.1.1 şi B3.1.2). Atunci când o entitate recunoaşte pentru prima dată un activ financiar, ea trebuie să îl clasifice în conformitate cu punctele 4.1.1-4.1.5 şi să îl evalueze în conformitate cu punctele 5.1.1-5.1.3. Atunci când o entitate recunoaşte pentru prima dată o datorie financiară, ea trebuie să o clasifice în conformitate cu punctele 4.2.1 şi 4.2.2 şi să o evalueze în conformitate cu punctul 5.1.1.</w:t>
      </w:r>
      <w:bookmarkEnd w:id="34"/>
    </w:p>
    <w:p w:rsidR="00AC292A" w:rsidRDefault="00AC292A">
      <w:pPr>
        <w:pStyle w:val="IASBSectionTitle2Ind"/>
      </w:pPr>
      <w:bookmarkStart w:id="35" w:name="F32569564"/>
      <w:r>
        <w:t>Cumpărarea sau vânzarea standard a activelor financiare</w:t>
      </w:r>
      <w:bookmarkEnd w:id="35"/>
    </w:p>
    <w:p w:rsidR="00AC292A" w:rsidRDefault="00AC292A">
      <w:pPr>
        <w:pStyle w:val="IASBNormalnpara"/>
        <w:rPr>
          <w:b/>
        </w:rPr>
      </w:pPr>
      <w:r>
        <w:rPr>
          <w:b/>
        </w:rPr>
        <w:t>3.1.2</w:t>
      </w:r>
      <w:bookmarkStart w:id="36" w:name="F32569565"/>
      <w:r w:rsidR="00190D26">
        <w:rPr>
          <w:b/>
        </w:rPr>
        <w:tab/>
      </w:r>
      <w:r>
        <w:rPr>
          <w:b/>
        </w:rPr>
        <w:t xml:space="preserve">O </w:t>
      </w:r>
      <w:r>
        <w:rPr>
          <w:b/>
          <w:i/>
        </w:rPr>
        <w:t>cumpărare sau o vânzare standard</w:t>
      </w:r>
      <w:r>
        <w:rPr>
          <w:b/>
        </w:rPr>
        <w:t xml:space="preserve"> a activelor financiare trebuie să fie recunoscută şi derecunoscută, după caz, utilizându-se contabilizarea la data tranzacţionării sau contabilizarea la data decontării (a se vedea punctele B3.1.3–B3.1.6).</w:t>
      </w:r>
      <w:bookmarkEnd w:id="36"/>
    </w:p>
    <w:p w:rsidR="00AC292A" w:rsidRDefault="00AC292A">
      <w:pPr>
        <w:pStyle w:val="IASBSectionTitle1NonInd"/>
      </w:pPr>
      <w:bookmarkStart w:id="37" w:name="F32569574"/>
      <w:r>
        <w:t>3.2 Derecunoaşterea activelor financiare</w:t>
      </w:r>
      <w:bookmarkEnd w:id="37"/>
    </w:p>
    <w:p w:rsidR="00AC292A" w:rsidRDefault="00AC292A">
      <w:pPr>
        <w:pStyle w:val="IASBNormalnpara"/>
      </w:pPr>
      <w:r>
        <w:t>3.2.1</w:t>
      </w:r>
      <w:r>
        <w:tab/>
      </w:r>
      <w:bookmarkStart w:id="38" w:name="F32569578"/>
      <w:r>
        <w:t>În situaţiile financiare consolidate, punctele 3.2.2–3.2.9, B3.1.1, B3.1.2 şi B3.2.1–B3.2.17 sunt aplicate la un nivel consolidat. Prin urmare, o entitate consolidează mai întâi toate filialele în conformitate cu IFRS 10 și apoi aplică punctele respective pentru grupul rezultat.</w:t>
      </w:r>
      <w:bookmarkEnd w:id="38"/>
    </w:p>
    <w:p w:rsidR="00AC292A" w:rsidRDefault="00AC292A">
      <w:pPr>
        <w:pStyle w:val="IASBNormalnpara"/>
        <w:rPr>
          <w:b/>
        </w:rPr>
      </w:pPr>
      <w:r>
        <w:rPr>
          <w:b/>
        </w:rPr>
        <w:t>3.2.2</w:t>
      </w:r>
      <w:bookmarkStart w:id="39" w:name="F32569581"/>
      <w:r w:rsidR="00190D26">
        <w:rPr>
          <w:b/>
        </w:rPr>
        <w:tab/>
      </w:r>
      <w:r>
        <w:rPr>
          <w:b/>
        </w:rPr>
        <w:t>Înainte de a evalua dacă, precum şi măsura în care,</w:t>
      </w:r>
      <w:r>
        <w:rPr>
          <w:b/>
          <w:i/>
        </w:rPr>
        <w:t xml:space="preserve"> derecunoaşterea</w:t>
      </w:r>
      <w:r>
        <w:rPr>
          <w:b/>
        </w:rPr>
        <w:t xml:space="preserve"> este adecvată în conformitate cu punctele 3.2.3–3.2.9, o entitate determină dacă acele puncte trebuie aplicate unei părţi dintr-un activ </w:t>
      </w:r>
      <w:r>
        <w:rPr>
          <w:b/>
        </w:rPr>
        <w:lastRenderedPageBreak/>
        <w:t xml:space="preserve">financiar (sau unei părţi dintr-un grup de active financiare similare) sau unui activ financiar (sau unui grup de active financiare similare) în ansamblul său, după cum urmează: </w:t>
      </w:r>
      <w:bookmarkEnd w:id="39"/>
    </w:p>
    <w:p w:rsidR="00AC292A" w:rsidRDefault="00AC292A">
      <w:pPr>
        <w:pStyle w:val="IASBNormalnparaL1"/>
      </w:pPr>
      <w:r>
        <w:rPr>
          <w:b/>
        </w:rPr>
        <w:t>(a)</w:t>
      </w:r>
      <w:bookmarkStart w:id="40" w:name="F32569585"/>
      <w:r w:rsidR="00190D26">
        <w:rPr>
          <w:b/>
        </w:rPr>
        <w:tab/>
      </w:r>
      <w:r>
        <w:rPr>
          <w:b/>
        </w:rPr>
        <w:t xml:space="preserve">Punctele 3.2.3–3.2.9 se aplică unei părţi dintr-un activ financiar (sau unei părţi dintr-un grup de active financiare similare) dacă şi numai dacă partea care a fost luată în considerare pentru derecunoaştere îndeplineşte una dintre următoarele trei condiţii: </w:t>
      </w:r>
      <w:bookmarkEnd w:id="40"/>
    </w:p>
    <w:p w:rsidR="00AC292A" w:rsidRDefault="00AC292A">
      <w:pPr>
        <w:pStyle w:val="IASBNormalnparaL2"/>
      </w:pPr>
      <w:r>
        <w:rPr>
          <w:b/>
        </w:rPr>
        <w:t>(i)</w:t>
      </w:r>
      <w:bookmarkStart w:id="41" w:name="F32569589"/>
      <w:r w:rsidR="00190D26">
        <w:rPr>
          <w:b/>
        </w:rPr>
        <w:tab/>
      </w:r>
      <w:r>
        <w:rPr>
          <w:b/>
        </w:rPr>
        <w:t xml:space="preserve">Partea conţine doar fluxuri de trezorerie clar identificate dintr-un activ financiar (sau grup de active financiare similare). De exemplu, atunci când o entitate iniţiază o separare a componentei de dobândă prin care partenerul obţine dreptul asupra fluxurilor de trezorerie din dobândă, dar nu şi asupra fluxurilor de trezorerie din principal dintr-un instrument de datorie, punctele 3.2.3–3.2.9 se aplică fluxurilor de trezorerie din dobândă. </w:t>
      </w:r>
      <w:bookmarkEnd w:id="41"/>
    </w:p>
    <w:p w:rsidR="00AC292A" w:rsidRDefault="00AC292A">
      <w:pPr>
        <w:pStyle w:val="IASBNormalnparaL2"/>
      </w:pPr>
      <w:r>
        <w:rPr>
          <w:b/>
        </w:rPr>
        <w:t>(ii)</w:t>
      </w:r>
      <w:bookmarkStart w:id="42" w:name="F32569592"/>
      <w:r w:rsidR="00190D26">
        <w:rPr>
          <w:b/>
        </w:rPr>
        <w:tab/>
      </w:r>
      <w:r>
        <w:rPr>
          <w:b/>
        </w:rPr>
        <w:t>Partea conţine doar o porţiune complet proporţională (pro rata) din fluxurile de trezorerie dintr-un activ financiar (sau grup de active financiare similare). De exemplu, atunci când o entitate încheie un contract prin care partenerul obţine drepturi asupra unei părţi de 90% din toate fluxurile de trezorerie ale unui instrument de datorie, punctele 3.2.3-3.2.9 se aplică celor 90% din acele fluxuri de trezorerie. Dacă există mai mult de un partener, nu se impune fiecărui partener să deţină o parte proporţională din fluxurile de trezorerie, cu condiţia ca entitatea care transferă să deţină o parte complet proporţională.</w:t>
      </w:r>
      <w:bookmarkEnd w:id="42"/>
    </w:p>
    <w:p w:rsidR="00AC292A" w:rsidRDefault="00AC292A">
      <w:pPr>
        <w:pStyle w:val="IASBNormalnparaL2"/>
      </w:pPr>
      <w:r>
        <w:rPr>
          <w:b/>
        </w:rPr>
        <w:t>(iii)</w:t>
      </w:r>
      <w:bookmarkStart w:id="43" w:name="SL32569595"/>
      <w:r w:rsidR="00190D26">
        <w:rPr>
          <w:b/>
        </w:rPr>
        <w:tab/>
      </w:r>
      <w:r>
        <w:rPr>
          <w:b/>
        </w:rPr>
        <w:t>Partea conţine doar o porţiune complet proporţională (pro rata) din fluxurile de trezorerie identificate în mod specific dintr-un activ financiar (sau grup de active financiare similare). De exemplu, atunci când o entitate încheie un contract prin care partenerul obţine drepturi asupra unei părţi de 90% din fluxurile de trezorerie din dobândă ale unui activ financiar, punctele 3.2.3-3.2.9 se aplică celor 90% din acele fluxuri de trezorerie din dobândă. Dacă există mai mult de un partener, nu se impune fiecărui partener să deţină o parte proporţională din fluxurile de trezorerie identificate în mod specific, cu condiţia ca entitatea care transferă să deţină o parte complet proporţională.</w:t>
      </w:r>
      <w:bookmarkEnd w:id="43"/>
    </w:p>
    <w:p w:rsidR="00AC292A" w:rsidRDefault="00AC292A">
      <w:pPr>
        <w:pStyle w:val="IASBNormalnparaL1"/>
      </w:pPr>
      <w:r>
        <w:rPr>
          <w:b/>
        </w:rPr>
        <w:t>(b)</w:t>
      </w:r>
      <w:bookmarkStart w:id="44" w:name="F32569600"/>
      <w:r w:rsidR="00190D26">
        <w:rPr>
          <w:b/>
        </w:rPr>
        <w:tab/>
      </w:r>
      <w:r>
        <w:rPr>
          <w:b/>
        </w:rPr>
        <w:t xml:space="preserve">În toate celelalte cazuri, punctele 3.2.3-3.2.9 se aplică activului financiar în ansamblul său (sau grupului de active financiare similare în ansamblul său). De exemplu, atunci când o entitate transferă (i) drepturile asupra primelor sau ultimelor 90% din încasările în numerar de pe urma unui activ financiar (sau grup de active financiare) sau (ii) drepturile asupra a 90% din fluxurile de trezorerie dintr-un grup de creanţe, dar oferă o garanţie pentru a compensa cumpărătorul pentru orice pierderi din creditare până la 8% din valoarea principalului creanţelor, punctele 3.2.3-3.2.9 se aplică activului financiar (sau grupului de active financiare similare) în ansamblul său. </w:t>
      </w:r>
      <w:bookmarkEnd w:id="44"/>
    </w:p>
    <w:p w:rsidR="00AC292A" w:rsidRDefault="00AC292A">
      <w:pPr>
        <w:pStyle w:val="IASBNormalnparaP"/>
      </w:pPr>
      <w:bookmarkStart w:id="45" w:name="F32569602"/>
      <w:r>
        <w:rPr>
          <w:b/>
        </w:rPr>
        <w:t xml:space="preserve">La punctele 3.2.3-3.2.12, termenul „activ financiar” se referă fie la o parte dintr-un activ financiar (sau la o parte dintr-un grup de active financiare similare), aşa cum s-a arătat la litera (a) de mai sus, fie, altminteri, la un activ financiar (sau grup de active financiare similare) în ansamblul său. </w:t>
      </w:r>
      <w:bookmarkEnd w:id="45"/>
    </w:p>
    <w:p w:rsidR="00AC292A" w:rsidRDefault="00AC292A">
      <w:pPr>
        <w:pStyle w:val="IASBNormalnpara"/>
        <w:rPr>
          <w:b/>
        </w:rPr>
      </w:pPr>
      <w:r>
        <w:rPr>
          <w:b/>
        </w:rPr>
        <w:t>3.2.3</w:t>
      </w:r>
      <w:bookmarkStart w:id="46" w:name="F32569606"/>
      <w:r w:rsidR="00190D26">
        <w:rPr>
          <w:b/>
        </w:rPr>
        <w:tab/>
      </w:r>
      <w:r>
        <w:rPr>
          <w:b/>
        </w:rPr>
        <w:t xml:space="preserve">O entitate trebuie să derecunoască un activ financiar atunci şi numai atunci când: </w:t>
      </w:r>
      <w:bookmarkEnd w:id="46"/>
    </w:p>
    <w:p w:rsidR="00AC292A" w:rsidRDefault="00AC292A">
      <w:pPr>
        <w:pStyle w:val="IASBNormalnparaL1"/>
      </w:pPr>
      <w:r>
        <w:rPr>
          <w:b/>
        </w:rPr>
        <w:t>(a)</w:t>
      </w:r>
      <w:bookmarkStart w:id="47" w:name="F32569612"/>
      <w:r w:rsidR="00190D26">
        <w:rPr>
          <w:b/>
        </w:rPr>
        <w:tab/>
      </w:r>
      <w:r>
        <w:rPr>
          <w:b/>
        </w:rPr>
        <w:t>drepturile contractuale asupra fluxurilor de trezorerie care decurg din activul financiar expiră, sau</w:t>
      </w:r>
      <w:bookmarkEnd w:id="47"/>
    </w:p>
    <w:p w:rsidR="00AC292A" w:rsidRDefault="00AC292A">
      <w:pPr>
        <w:pStyle w:val="IASBNormalnparaL1"/>
      </w:pPr>
      <w:r>
        <w:rPr>
          <w:b/>
        </w:rPr>
        <w:t>(b)</w:t>
      </w:r>
      <w:bookmarkStart w:id="48" w:name="F32569620"/>
      <w:r w:rsidR="00190D26">
        <w:rPr>
          <w:b/>
        </w:rPr>
        <w:tab/>
      </w:r>
      <w:r>
        <w:rPr>
          <w:b/>
        </w:rPr>
        <w:t>transferă activul financiar aşa cum se arată la punctele 3.2.4 şi 3.2.5, iar transferul îndeplineşte condiţiile pentru derecunoaştere în conformitate cu punctul 3.2.6.</w:t>
      </w:r>
      <w:bookmarkEnd w:id="48"/>
    </w:p>
    <w:p w:rsidR="00AC292A" w:rsidRDefault="00AC292A">
      <w:pPr>
        <w:pStyle w:val="IASBNormalnparaP"/>
      </w:pPr>
      <w:bookmarkStart w:id="49" w:name="F32569624"/>
      <w:r>
        <w:rPr>
          <w:b/>
        </w:rPr>
        <w:t>(A se vedea punctul 3.1.2 pentru vânzări standard ale activelor financiare.)</w:t>
      </w:r>
      <w:bookmarkEnd w:id="49"/>
    </w:p>
    <w:p w:rsidR="00AC292A" w:rsidRDefault="00AC292A">
      <w:pPr>
        <w:pStyle w:val="IASBNormalnpara"/>
        <w:rPr>
          <w:b/>
        </w:rPr>
      </w:pPr>
      <w:r>
        <w:rPr>
          <w:b/>
        </w:rPr>
        <w:t>3.2.4</w:t>
      </w:r>
      <w:bookmarkStart w:id="50" w:name="F32569627"/>
      <w:r w:rsidR="00190D26">
        <w:rPr>
          <w:b/>
        </w:rPr>
        <w:tab/>
      </w:r>
      <w:r>
        <w:rPr>
          <w:b/>
        </w:rPr>
        <w:t>O entitate transferă un activ financiar dacă şi numai dacă:</w:t>
      </w:r>
      <w:bookmarkEnd w:id="50"/>
    </w:p>
    <w:p w:rsidR="00AC292A" w:rsidRDefault="00AC292A">
      <w:pPr>
        <w:pStyle w:val="IASBNormalnparaL1"/>
      </w:pPr>
      <w:r>
        <w:rPr>
          <w:b/>
        </w:rPr>
        <w:t>(a)</w:t>
      </w:r>
      <w:bookmarkStart w:id="51" w:name="F32569635"/>
      <w:r w:rsidR="00190D26">
        <w:rPr>
          <w:b/>
        </w:rPr>
        <w:tab/>
      </w:r>
      <w:r>
        <w:rPr>
          <w:b/>
        </w:rPr>
        <w:t>transferă drepturile contractuale de a primi fluxurile de trezorerie din activul financiar, sau</w:t>
      </w:r>
      <w:bookmarkEnd w:id="51"/>
    </w:p>
    <w:p w:rsidR="00AC292A" w:rsidRDefault="00AC292A">
      <w:pPr>
        <w:pStyle w:val="IASBNormalnparaL1"/>
      </w:pPr>
      <w:r>
        <w:rPr>
          <w:b/>
        </w:rPr>
        <w:t>(b)</w:t>
      </w:r>
      <w:bookmarkStart w:id="52" w:name="F32569641"/>
      <w:r w:rsidR="00190D26">
        <w:rPr>
          <w:b/>
        </w:rPr>
        <w:tab/>
      </w:r>
      <w:r>
        <w:rPr>
          <w:b/>
        </w:rPr>
        <w:t>păstrează drepturile contractuale de a primi fluxurile de trezorerie din activul financiar, dar îşi asumă o obligaţie contractuală de a plăti fluxurile de trezorerie unuia sau mai multor beneficiari printr-un contract care îndeplineşte condiţiile de la punctul 3.2.5.</w:t>
      </w:r>
      <w:bookmarkEnd w:id="52"/>
    </w:p>
    <w:p w:rsidR="00AC292A" w:rsidRDefault="00AC292A">
      <w:pPr>
        <w:pStyle w:val="IASBNormalnpara"/>
        <w:rPr>
          <w:b/>
        </w:rPr>
      </w:pPr>
      <w:r>
        <w:rPr>
          <w:b/>
        </w:rPr>
        <w:t>3.2.5</w:t>
      </w:r>
      <w:bookmarkStart w:id="53" w:name="F32569646"/>
      <w:r w:rsidR="00190D26">
        <w:rPr>
          <w:b/>
        </w:rPr>
        <w:tab/>
      </w:r>
      <w:r>
        <w:rPr>
          <w:b/>
        </w:rPr>
        <w:t xml:space="preserve">Atunci când o entitate păstrează drepturile contractuale de a primi fluxurile de trezorerie dintr-un activ financiar („activul original”), dar îşi asumă o obligaţie contractuală de a plăti fluxurile de trezorerie uneia sau mai multor entităţi („eventualii beneficiari”), entitatea tratează tranzacţia ca pe un transfer al activului financiar dacă şi numai dacă toate cele trei condiţii care urmează sunt îndeplinite. </w:t>
      </w:r>
      <w:bookmarkEnd w:id="53"/>
    </w:p>
    <w:p w:rsidR="00AC292A" w:rsidRDefault="00AC292A">
      <w:pPr>
        <w:pStyle w:val="IASBNormalnparaL1"/>
      </w:pPr>
      <w:r>
        <w:rPr>
          <w:b/>
        </w:rPr>
        <w:lastRenderedPageBreak/>
        <w:t>(a)</w:t>
      </w:r>
      <w:bookmarkStart w:id="54" w:name="SL32569652"/>
      <w:r w:rsidR="00190D26">
        <w:rPr>
          <w:b/>
        </w:rPr>
        <w:tab/>
      </w:r>
      <w:r>
        <w:rPr>
          <w:b/>
        </w:rPr>
        <w:t>Entitatea nu are nicio obligaţie de a plăti sume eventualilor beneficiari, cu excepţia cazului în care aceasta încasează sume echivalente de pe urma activului inițial. Avansurile pe termen scurt ale entităţii, cu dreptul la recuperarea completă a sumei împrumutate plus dobânda angajată la ratele pieţei, nu reprezintă încălcări ale acestei condiţii.</w:t>
      </w:r>
      <w:bookmarkEnd w:id="54"/>
    </w:p>
    <w:p w:rsidR="00AC292A" w:rsidRDefault="00AC292A">
      <w:pPr>
        <w:pStyle w:val="IASBNormalnparaL1"/>
      </w:pPr>
      <w:r>
        <w:rPr>
          <w:b/>
        </w:rPr>
        <w:t>(b)</w:t>
      </w:r>
      <w:bookmarkStart w:id="55" w:name="SL32569655"/>
      <w:r w:rsidR="00190D26">
        <w:rPr>
          <w:b/>
        </w:rPr>
        <w:tab/>
      </w:r>
      <w:r>
        <w:rPr>
          <w:b/>
        </w:rPr>
        <w:t>Entităţii i se interzice prin condiţiile din contractul de transfer să vândă sau să gajeze activul inițial din alte motive decât garantarea obligaţiei de a le plăti eventualilor beneficiari fluxurile de trezorerie.</w:t>
      </w:r>
      <w:bookmarkEnd w:id="55"/>
    </w:p>
    <w:p w:rsidR="00AC292A" w:rsidRDefault="00AC292A">
      <w:pPr>
        <w:pStyle w:val="IASBNormalnparaL1"/>
      </w:pPr>
      <w:r>
        <w:rPr>
          <w:b/>
        </w:rPr>
        <w:t>(c)</w:t>
      </w:r>
      <w:bookmarkStart w:id="56" w:name="SL32569658"/>
      <w:r w:rsidR="00190D26">
        <w:rPr>
          <w:b/>
        </w:rPr>
        <w:tab/>
      </w:r>
      <w:r>
        <w:rPr>
          <w:b/>
        </w:rPr>
        <w:t xml:space="preserve">Entitatea are obligaţia de a remite orice fluxuri de trezorerie pe care le încasează în numele eventualilor beneficiari, fără întârzieri semnificative. În plus, entitatea nu are dreptul să reinvestească aceste fluxuri de trezorerie, cu excepţia cazului în care investiţiile sunt realizate în numerar sau în echivalente de numerar (aşa cum sunt acestea definite în IAS 7 </w:t>
      </w:r>
      <w:r>
        <w:rPr>
          <w:b/>
          <w:i/>
        </w:rPr>
        <w:t>Situaţia fluxurilor de trezorerie</w:t>
      </w:r>
      <w:r>
        <w:rPr>
          <w:b/>
        </w:rPr>
        <w:t>) în timpul scurtei perioade de decontare de la data încasării şi până la data la care trebuie făcută plata către eventualii beneficiari, iar dobânda obţinută de pe urma unor astfel de investiţii este transmisă eventualilor beneficiari.</w:t>
      </w:r>
      <w:bookmarkEnd w:id="56"/>
    </w:p>
    <w:p w:rsidR="00AC292A" w:rsidRDefault="00AC292A">
      <w:pPr>
        <w:pStyle w:val="IASBNormalnpara"/>
        <w:rPr>
          <w:b/>
        </w:rPr>
      </w:pPr>
      <w:r>
        <w:rPr>
          <w:b/>
        </w:rPr>
        <w:t>3.2.6</w:t>
      </w:r>
      <w:bookmarkStart w:id="57" w:name="F32569667"/>
      <w:r w:rsidR="00190D26">
        <w:rPr>
          <w:b/>
        </w:rPr>
        <w:tab/>
      </w:r>
      <w:r>
        <w:rPr>
          <w:b/>
        </w:rPr>
        <w:t>Atunci când o entitate transferă un activ financiar (a se vedea punctul 3.2.4), aceasta trebuie să evalueze măsura în care păstrează riscurile şi recompensele aferente dreptului de proprietate asupra activului financiar. În acest caz:</w:t>
      </w:r>
      <w:bookmarkEnd w:id="57"/>
    </w:p>
    <w:p w:rsidR="00AC292A" w:rsidRDefault="00AC292A">
      <w:pPr>
        <w:pStyle w:val="IASBNormalnparaL1"/>
      </w:pPr>
      <w:r>
        <w:rPr>
          <w:b/>
        </w:rPr>
        <w:t>(a)</w:t>
      </w:r>
      <w:bookmarkStart w:id="58" w:name="SL32569676"/>
      <w:r w:rsidR="00190D26">
        <w:rPr>
          <w:b/>
        </w:rPr>
        <w:tab/>
      </w:r>
      <w:r>
        <w:rPr>
          <w:b/>
        </w:rPr>
        <w:t>dacă entitatea transferă majoritatea riscurilor şi recompenselor aferente dreptului de proprietate asupra activului financiar, entitatea trebuie să derecunoască activul financiar şi să recunoască separat, ca active sau datorii, orice drepturi şi obligaţii create sau păstrate în cadrul transferului.</w:t>
      </w:r>
      <w:bookmarkEnd w:id="58"/>
    </w:p>
    <w:p w:rsidR="00AC292A" w:rsidRDefault="00AC292A">
      <w:pPr>
        <w:pStyle w:val="IASBNormalnparaL1"/>
      </w:pPr>
      <w:r>
        <w:rPr>
          <w:b/>
        </w:rPr>
        <w:t>(b)</w:t>
      </w:r>
      <w:bookmarkStart w:id="59" w:name="F32569681"/>
      <w:r w:rsidR="00190D26">
        <w:rPr>
          <w:b/>
        </w:rPr>
        <w:tab/>
      </w:r>
      <w:r>
        <w:rPr>
          <w:b/>
        </w:rPr>
        <w:t>dacă entitatea păstrează majoritatea riscurilor şi recompenselor aferente dreptului de proprietate asupra activului financiar, entitatea trebuie să continue să recunoască activul financiar.</w:t>
      </w:r>
      <w:bookmarkEnd w:id="59"/>
    </w:p>
    <w:p w:rsidR="00AC292A" w:rsidRDefault="00AC292A">
      <w:pPr>
        <w:pStyle w:val="IASBNormalnparaL1"/>
      </w:pPr>
      <w:r>
        <w:rPr>
          <w:b/>
        </w:rPr>
        <w:t>(c)</w:t>
      </w:r>
      <w:bookmarkStart w:id="60" w:name="SL32569686"/>
      <w:r w:rsidR="00190D26">
        <w:rPr>
          <w:b/>
        </w:rPr>
        <w:tab/>
      </w:r>
      <w:r>
        <w:rPr>
          <w:b/>
        </w:rPr>
        <w:t>dacă entitatea nici nu transferă, nici nu păstrează majoritatea riscurilor şi recompenselor aferente dreptului de proprietate asupra activului financiar, entitatea trebuie să determine dacă a păstrat controlul asupra activului financiar. În acest caz:</w:t>
      </w:r>
      <w:bookmarkEnd w:id="60"/>
    </w:p>
    <w:p w:rsidR="00AC292A" w:rsidRDefault="00AC292A">
      <w:pPr>
        <w:pStyle w:val="IASBNormalnparaL2"/>
      </w:pPr>
      <w:r>
        <w:rPr>
          <w:b/>
        </w:rPr>
        <w:t>(i)</w:t>
      </w:r>
      <w:bookmarkStart w:id="61" w:name="SL32569692"/>
      <w:r w:rsidR="00190D26">
        <w:rPr>
          <w:b/>
        </w:rPr>
        <w:tab/>
      </w:r>
      <w:r>
        <w:rPr>
          <w:b/>
        </w:rPr>
        <w:t>dacă entitatea nu a păstrat controlul, aceasta trebuie să derecunoască activul financiar şi să recunoască separat, ca active sau datorii, orice drepturi şi obligaţii create sau păstrate în cadrul transferului.</w:t>
      </w:r>
      <w:bookmarkEnd w:id="61"/>
    </w:p>
    <w:p w:rsidR="00AC292A" w:rsidRDefault="00AC292A">
      <w:pPr>
        <w:pStyle w:val="IASBNormalnparaL2"/>
      </w:pPr>
      <w:r>
        <w:rPr>
          <w:b/>
        </w:rPr>
        <w:t>(ii)</w:t>
      </w:r>
      <w:bookmarkStart w:id="62" w:name="SL32569697"/>
      <w:r w:rsidR="00190D26">
        <w:rPr>
          <w:b/>
        </w:rPr>
        <w:tab/>
      </w:r>
      <w:r>
        <w:rPr>
          <w:b/>
        </w:rPr>
        <w:t xml:space="preserve">dacă entitatea a păstrat controlul, aceasta trebuie să continue să recunoască activul financiar în măsura implicării sale continue în activul financiar (a se vedea punctul 3.2.16). </w:t>
      </w:r>
      <w:bookmarkEnd w:id="62"/>
    </w:p>
    <w:p w:rsidR="00AC292A" w:rsidRDefault="00AC292A">
      <w:pPr>
        <w:pStyle w:val="IASBNormalnpara"/>
      </w:pPr>
      <w:r>
        <w:t>3.2.7</w:t>
      </w:r>
      <w:r>
        <w:tab/>
      </w:r>
      <w:bookmarkStart w:id="63" w:name="F32569707"/>
      <w:r>
        <w:t xml:space="preserve">Transferul riscurilor şi recompenselor (a se vedea punctul 3.2.6) este evaluat prin compararea expunerii entităţii, înainte şi după transfer, cu variabilitatea valorilor şi plasării în timp ale fluxurilor nete de trezorerie din activul transferat. O entitate a păstrat majoritatea riscurilor şi recompenselor aferente dreptului de proprietate asupra unui activ financiar dacă expunerea sa la variabilitatea valorii actualizate a fluxurilor nete de trezorerie viitoare din activul financiar nu se modifică semnificativ în urma transferului (de exemplu, deoarece entitatea a vândut un activ financiar care făcea obiectul unui acord pentru a-l răscumpăra la un preţ fix sau la preţul de vânzare plus rentabilitatea creditorului). O entitate a transferat majoritatea riscurilor şi recompenselor aferente dreptului de proprietate asupra unui activ financiar dacă expunerea sa la o astfel de variabilitate nu mai este semnificativă în comparaţie cu variabilitatea totală din valoarea actualizată a fluxurilor nete de trezorerie viitoare asociate activului financiar (de exemplu, deoarece entitatea a vândut un activ financiar care făcea doar obiectul unei opţiuni de a-l răscumpăra la </w:t>
      </w:r>
      <w:r>
        <w:rPr>
          <w:i/>
        </w:rPr>
        <w:t>valoarea sa justă</w:t>
      </w:r>
      <w:r>
        <w:t xml:space="preserve"> de la momentul reachiziţiei sau deoarece a transferat o parte complet proporţională din fluxurile de trezorerie rezultate dintr-un activ financiar mai mare printr-un contract, cum ar fi o subparticipare la împrumut, care îndeplineşte condiţiile de la punctul 3.2.5).</w:t>
      </w:r>
      <w:bookmarkEnd w:id="63"/>
    </w:p>
    <w:p w:rsidR="00AC292A" w:rsidRDefault="00AC292A">
      <w:pPr>
        <w:pStyle w:val="IASBNormalnpara"/>
      </w:pPr>
      <w:r>
        <w:t>3.2.8</w:t>
      </w:r>
      <w:r>
        <w:tab/>
      </w:r>
      <w:bookmarkStart w:id="64" w:name="F32569717"/>
      <w:r>
        <w:t>Adesea va fi clar dacă entitatea a transferat sau a păstrat majoritatea riscurilor şi recompenselor aferente dreptului de proprietate şi nu va fi nevoie să se efectueze niciun calcul. În alte cazuri vor fi necesare calcularea şi compararea expunerii entităţii la variabilitatea valorii actualizate a fluxurilor nete de trezorerie viitoare înainte şi după transfer. Calcularea şi compararea sunt făcute utilizându-se drept rată de actualizare o rată a dobânzii curente pe piaţă corespunzătoare. Este luată în considerare orice variabilitate posibilă în mod rezonabil a fluxurilor nete de trezorerie, acordându-se mai multă importanţă celor mai probabile rezultate.</w:t>
      </w:r>
      <w:bookmarkEnd w:id="64"/>
    </w:p>
    <w:p w:rsidR="00AC292A" w:rsidRDefault="00AC292A">
      <w:pPr>
        <w:pStyle w:val="IASBNormalnpara"/>
      </w:pPr>
      <w:r>
        <w:t>3.2.9</w:t>
      </w:r>
      <w:r>
        <w:tab/>
      </w:r>
      <w:bookmarkStart w:id="65" w:name="F32569718"/>
      <w:r>
        <w:t xml:space="preserve">Eventualitatea ca o entitate să fi păstrat controlul (a se vedea punctul 3.2.6 litera (c)) asupra activului transferat depinde de capacitatea entităţii căreia i se transferă activul de a vinde acest activ. Dacă entitatea căreia i se transferă activul are capacitatea practică de a-l vinde, în ansamblul său, unei terţe părţi externe şi </w:t>
      </w:r>
      <w:r>
        <w:lastRenderedPageBreak/>
        <w:t>poate să îşi exercite această capacitate unilateral şi fără a avea nevoie să impună restricţii suplimentare asupra transferului, entitatea nu a păstrat controlul. În toate celelalte cazuri, entitatea a păstrat controlul.</w:t>
      </w:r>
      <w:bookmarkEnd w:id="65"/>
    </w:p>
    <w:p w:rsidR="00AC292A" w:rsidRDefault="00AC292A">
      <w:pPr>
        <w:pStyle w:val="IASBSectionTitle2Ind"/>
      </w:pPr>
      <w:bookmarkStart w:id="66" w:name="F32569728"/>
      <w:r>
        <w:t>Transferuri care îndeplinesc condiţiile pentru derecunoaştere</w:t>
      </w:r>
      <w:bookmarkEnd w:id="66"/>
    </w:p>
    <w:p w:rsidR="00AC292A" w:rsidRDefault="00AC292A">
      <w:pPr>
        <w:pStyle w:val="IASBNormalnpara"/>
        <w:rPr>
          <w:b/>
        </w:rPr>
      </w:pPr>
      <w:r>
        <w:rPr>
          <w:b/>
        </w:rPr>
        <w:t>3.2.10</w:t>
      </w:r>
      <w:r>
        <w:tab/>
      </w:r>
      <w:bookmarkStart w:id="67" w:name="F32569729"/>
      <w:r>
        <w:rPr>
          <w:b/>
        </w:rPr>
        <w:t>Dacă o entitate transferă un activ financiar printr-un transfer care îndeplineşte condiţiile pentru derecunoaştere în ansamblul său şi păstrează dreptul de a administra activul financiar în schimbul unui onorariu, ea trebuie să recunoască fie un activ de administrare, fie o datorie de administrare pentru acel contract de administrare. Dacă nu se aşteaptă ca onorariul ce trebuie primit să compenseze entitatea în mod adecvat pentru prestarea serviciului de administrare, atunci o datorie legată de administrare trebuie recunoscută pentru obligaţia de administrare la valoarea sa justă. Dacă se aşteaptă ca onorariul ce trebuie primit să compenseze entitatea în mod mai mult decât adecvat pentru prestarea serviciului de administrare, atunci un activ de administrare trebuie recunoscut pentru dreptul de administrare la o valoare determinată pe baza unei alocări a valorii contabile a unui activ financiar mai mare în conformitate cu punctul 3.2.13.</w:t>
      </w:r>
      <w:bookmarkEnd w:id="67"/>
    </w:p>
    <w:p w:rsidR="00AC292A" w:rsidRDefault="00AC292A">
      <w:pPr>
        <w:pStyle w:val="IASBNormalnpara"/>
        <w:rPr>
          <w:b/>
        </w:rPr>
      </w:pPr>
      <w:r>
        <w:rPr>
          <w:b/>
        </w:rPr>
        <w:t>3.2.11</w:t>
      </w:r>
      <w:r>
        <w:tab/>
      </w:r>
      <w:bookmarkStart w:id="68" w:name="SL32569735"/>
      <w:r>
        <w:rPr>
          <w:b/>
        </w:rPr>
        <w:t>Dacă, în urma transferului, un activ financiar este derecunoscut în ansamblul său, dar transferul face ca entitatea să obţină un nou activ financiar sau să îşi asume o nouă datorie financiară, sau o datorie de administrare, entitatea trebuie să recunoască noul activ financiar, noua datorie financiară sau noua datorie de administrare la valoarea justă.</w:t>
      </w:r>
      <w:bookmarkEnd w:id="68"/>
    </w:p>
    <w:p w:rsidR="00AC292A" w:rsidRDefault="00AC292A">
      <w:pPr>
        <w:pStyle w:val="IASBNormalnpara"/>
        <w:rPr>
          <w:b/>
        </w:rPr>
      </w:pPr>
      <w:r>
        <w:rPr>
          <w:b/>
        </w:rPr>
        <w:t>3.2.12</w:t>
      </w:r>
      <w:r>
        <w:tab/>
      </w:r>
      <w:bookmarkStart w:id="69" w:name="F32569738"/>
      <w:r>
        <w:rPr>
          <w:b/>
        </w:rPr>
        <w:t xml:space="preserve">La derecunoaşterea unui activ financiar în ansamblul său, diferenţa dintre: </w:t>
      </w:r>
      <w:bookmarkEnd w:id="69"/>
    </w:p>
    <w:p w:rsidR="00AC292A" w:rsidRDefault="00AC292A">
      <w:pPr>
        <w:pStyle w:val="IASBNormalnparaL1"/>
      </w:pPr>
      <w:r>
        <w:rPr>
          <w:b/>
        </w:rPr>
        <w:t>(a)</w:t>
      </w:r>
      <w:bookmarkStart w:id="70" w:name="SL32569744"/>
      <w:r>
        <w:rPr>
          <w:b/>
        </w:rPr>
        <w:t>valoarea contabilă (evaluată la data derecunoaşterii) şi</w:t>
      </w:r>
      <w:bookmarkEnd w:id="70"/>
    </w:p>
    <w:p w:rsidR="00AC292A" w:rsidRDefault="00AC292A">
      <w:pPr>
        <w:pStyle w:val="IASBNormalnparaL1"/>
      </w:pPr>
      <w:r>
        <w:rPr>
          <w:b/>
        </w:rPr>
        <w:t>(b)</w:t>
      </w:r>
      <w:bookmarkStart w:id="71" w:name="SL32569747"/>
      <w:r>
        <w:rPr>
          <w:b/>
        </w:rPr>
        <w:t>contravaloarea primită (inclusiv orice activ nou obţinut minus orice datorie nouă asumată)</w:t>
      </w:r>
      <w:bookmarkEnd w:id="71"/>
    </w:p>
    <w:p w:rsidR="00AC292A" w:rsidRDefault="00AC292A">
      <w:pPr>
        <w:pStyle w:val="IASBNormalnparaP"/>
      </w:pPr>
      <w:bookmarkStart w:id="72" w:name="F32569749"/>
      <w:r>
        <w:rPr>
          <w:b/>
        </w:rPr>
        <w:t>trebuie recunoscută în profit sau pierdere.</w:t>
      </w:r>
      <w:bookmarkEnd w:id="72"/>
    </w:p>
    <w:p w:rsidR="00AC292A" w:rsidRDefault="00AC292A">
      <w:pPr>
        <w:pStyle w:val="IASBNormalnpara"/>
        <w:rPr>
          <w:b/>
        </w:rPr>
      </w:pPr>
      <w:r>
        <w:rPr>
          <w:b/>
        </w:rPr>
        <w:t>3.2.13</w:t>
      </w:r>
      <w:r>
        <w:tab/>
      </w:r>
      <w:bookmarkStart w:id="73" w:name="SL32569751"/>
      <w:r>
        <w:rPr>
          <w:b/>
        </w:rPr>
        <w:t xml:space="preserve">Dacă activul transferat face parte dintr-un activ financiar mai mare (de exemplu, atunci când entitatea transferă fluxurile de trezorerie din dobândă care sunt parte a unui instrument de datorie, a se vedea punctul 3.2.2 litera (a)) şi partea transferată îndeplineşte condiţiile pentru derecunoaştere în ansamblul său, valoarea contabilă anterioară a activului financiar mai mare trebuie împărţită între partea care continuă să fie recunoscută şi partea care este derecunoscută, în baza valorilor juste relative ale acelor părţi la data transferului. În acest scop, un activ de administrare păstrat trebuie tratat ca partea care continuă să fie recunoscută. Diferenţa dintre: </w:t>
      </w:r>
      <w:bookmarkEnd w:id="73"/>
    </w:p>
    <w:p w:rsidR="00AC292A" w:rsidRDefault="00AC292A">
      <w:pPr>
        <w:pStyle w:val="IASBNormalnparaL1"/>
      </w:pPr>
      <w:r>
        <w:rPr>
          <w:b/>
        </w:rPr>
        <w:t>(a)</w:t>
      </w:r>
      <w:bookmarkStart w:id="74" w:name="SL32569756"/>
      <w:r>
        <w:rPr>
          <w:b/>
        </w:rPr>
        <w:t>valoarea contabilă (evaluată la data derecunoaşterii) alocată părţii derecunoscute şi</w:t>
      </w:r>
      <w:bookmarkEnd w:id="74"/>
    </w:p>
    <w:p w:rsidR="00AC292A" w:rsidRDefault="00AC292A">
      <w:pPr>
        <w:pStyle w:val="IASBNormalnparaL1"/>
      </w:pPr>
      <w:r>
        <w:rPr>
          <w:b/>
        </w:rPr>
        <w:t>(b)</w:t>
      </w:r>
      <w:bookmarkStart w:id="75" w:name="SL32569759"/>
      <w:r>
        <w:rPr>
          <w:b/>
        </w:rPr>
        <w:t>contravaloarea primită pentru partea derecunoscută (inclusiv orice activ nou obţinut minus orice datorie nouă asumată)</w:t>
      </w:r>
      <w:bookmarkEnd w:id="75"/>
    </w:p>
    <w:p w:rsidR="00AC292A" w:rsidRDefault="00AC292A">
      <w:pPr>
        <w:pStyle w:val="IASBNormalnparaP"/>
      </w:pPr>
      <w:bookmarkStart w:id="76" w:name="F32569761"/>
      <w:r>
        <w:rPr>
          <w:b/>
        </w:rPr>
        <w:t>trebuie recunoscută în profit sau pierdere.</w:t>
      </w:r>
      <w:bookmarkEnd w:id="76"/>
    </w:p>
    <w:p w:rsidR="00AC292A" w:rsidRDefault="00AC292A">
      <w:pPr>
        <w:pStyle w:val="IASBNormalnpara"/>
      </w:pPr>
      <w:r>
        <w:t>3.2.14</w:t>
      </w:r>
      <w:r>
        <w:tab/>
      </w:r>
      <w:bookmarkStart w:id="77" w:name="F32569765"/>
      <w:r>
        <w:t>Atunci când o entitate împarte valoarea contabilă anterioară a unui activ financiar mai mare între partea care continuă să fie recunoscută şi partea care este derecunoscută, trebuie evaluată valoarea justă a părţii care continuă să fie recunoscută. Atunci când entitatea are o tradiţie de vânzare a unor părţi similare cu partea care continuă să fie recunoscută sau dacă există alte tranzacţii pe piaţă pentru astfel de părţi, preţurile recente ale tranzacţiilor reale oferă cea mai bună estimare a valorii sale juste. Atunci când nu există cotaţii de preţ sau tranzacţii recente pe piaţă pentru a sprijini valoarea justă a părţii care continuă să fie recunoscută, cea mai bună estimare a valorii juste este diferenţa dintre valoarea justă a activului financiar mai mare în ansamblul său şi contravaloarea primită de la entitatea căreia i se transferă activul pentru partea care este derecunoscută.</w:t>
      </w:r>
      <w:bookmarkEnd w:id="77"/>
    </w:p>
    <w:p w:rsidR="00AC292A" w:rsidRDefault="00AC292A">
      <w:pPr>
        <w:pStyle w:val="IASBSectionTitle2Ind"/>
      </w:pPr>
      <w:bookmarkStart w:id="78" w:name="F32569772"/>
      <w:r>
        <w:t>Transferuri care nu îndeplinesc condiţiile pentru derecunoaştere</w:t>
      </w:r>
      <w:bookmarkEnd w:id="78"/>
    </w:p>
    <w:p w:rsidR="00AC292A" w:rsidRDefault="00AC292A">
      <w:pPr>
        <w:pStyle w:val="IASBNormalnpara"/>
        <w:rPr>
          <w:b/>
        </w:rPr>
      </w:pPr>
      <w:r>
        <w:rPr>
          <w:b/>
        </w:rPr>
        <w:t>3.2.15</w:t>
      </w:r>
      <w:r>
        <w:tab/>
      </w:r>
      <w:bookmarkStart w:id="79" w:name="F32569773"/>
      <w:r>
        <w:rPr>
          <w:b/>
        </w:rPr>
        <w:t>Dacă un transfer nu are drept rezultat derecunoaşterea deoarece entitatea a păstrat majoritatea riscurilor şi recompenselor aferente dreptului de proprietate asupra activului transferat, entitatea trebuie să continue să recunoască activul transferat în ansamblul său şi trebuie să recunoască o datorie financiară pentru contravaloarea primită. În perioadele ulterioare, entitatea trebuie să recunoască orice venit în legătură cu activul transferat şi orice cheltuială suportată în legătură cu datoria financiară.</w:t>
      </w:r>
      <w:bookmarkEnd w:id="79"/>
    </w:p>
    <w:p w:rsidR="00AC292A" w:rsidRDefault="00AC292A">
      <w:pPr>
        <w:pStyle w:val="IASBSectionTitle2Ind"/>
      </w:pPr>
      <w:bookmarkStart w:id="80" w:name="F32569778"/>
      <w:r>
        <w:lastRenderedPageBreak/>
        <w:t>Implicarea continuă în activele transferate</w:t>
      </w:r>
      <w:bookmarkEnd w:id="80"/>
    </w:p>
    <w:p w:rsidR="00AC292A" w:rsidRDefault="00AC292A">
      <w:pPr>
        <w:pStyle w:val="IASBNormalnpara"/>
        <w:rPr>
          <w:b/>
        </w:rPr>
      </w:pPr>
      <w:r>
        <w:rPr>
          <w:b/>
        </w:rPr>
        <w:t>3.2.16</w:t>
      </w:r>
      <w:r>
        <w:tab/>
      </w:r>
      <w:bookmarkStart w:id="81" w:name="SL32569779"/>
      <w:r>
        <w:rPr>
          <w:b/>
        </w:rPr>
        <w:t xml:space="preserve">Dacă o entitate nici nu transferă, nici nu păstrează majoritatea riscurilor şi recompenselor aferente dreptului de proprietate asupra unui activ transferat şi păstrează controlul asupra activului transferat, entitatea continuă să recunoască activul transferat în măsura implicării sale continue. Măsura în care entitatea continuă să se implice în activul transferat este măsura în care ea se expune la modificările valorii activului transferat. De exemplu: </w:t>
      </w:r>
      <w:bookmarkEnd w:id="81"/>
    </w:p>
    <w:p w:rsidR="00AC292A" w:rsidRDefault="00AC292A">
      <w:pPr>
        <w:pStyle w:val="IASBNormalnparaL1"/>
      </w:pPr>
      <w:r>
        <w:rPr>
          <w:b/>
        </w:rPr>
        <w:t>(a)</w:t>
      </w:r>
      <w:bookmarkStart w:id="82" w:name="SL32569784"/>
      <w:r w:rsidR="00190D26">
        <w:rPr>
          <w:b/>
        </w:rPr>
        <w:tab/>
      </w:r>
      <w:r>
        <w:rPr>
          <w:b/>
        </w:rPr>
        <w:t xml:space="preserve">Atunci când continuarea implicării entităţii ia forma garantării activului transferat, măsura în care entitatea continuă să se implice este cea mai mică valoare dintre (i) valoarea activului şi (ii) valoarea maximă a contravalorii primite pe care entitatea ar putea să fie nevoită să o ramburseze („valoarea garanţiei”). </w:t>
      </w:r>
      <w:bookmarkEnd w:id="82"/>
    </w:p>
    <w:p w:rsidR="00AC292A" w:rsidRDefault="00AC292A">
      <w:pPr>
        <w:pStyle w:val="IASBNormalnparaL1"/>
      </w:pPr>
      <w:r>
        <w:rPr>
          <w:b/>
        </w:rPr>
        <w:t>(b)</w:t>
      </w:r>
      <w:bookmarkStart w:id="83" w:name="SL32569787"/>
      <w:r w:rsidR="00190D26">
        <w:rPr>
          <w:b/>
        </w:rPr>
        <w:tab/>
      </w:r>
      <w:r>
        <w:rPr>
          <w:b/>
        </w:rPr>
        <w:t>Atunci când continuarea implicării entităţii ia forma unei opţiuni emise sau cumpărate (sau amândouă) pe activul transferat, măsura în care entitatea continuă să se implice este valoarea activului transferat pe care entitatea ar putea să îl reachiziţioneze. Cu toate acestea, în cazul unei opţiuni put emise pe un activ care este evaluat la valoarea justă, măsura în care entitatea continuă să se implice este limitată la valoarea mai mică dintre valoarea justă a activului transferat şi preţul de exercitare al opţiunii (a se vedea punctul B3.2.13).</w:t>
      </w:r>
      <w:bookmarkEnd w:id="83"/>
    </w:p>
    <w:p w:rsidR="00AC292A" w:rsidRDefault="00AC292A">
      <w:pPr>
        <w:pStyle w:val="IASBNormalnparaL1"/>
      </w:pPr>
      <w:r>
        <w:rPr>
          <w:b/>
        </w:rPr>
        <w:t>(c)</w:t>
      </w:r>
      <w:bookmarkStart w:id="84" w:name="SL32569793"/>
      <w:r w:rsidR="00190D26">
        <w:rPr>
          <w:b/>
        </w:rPr>
        <w:tab/>
      </w:r>
      <w:r>
        <w:rPr>
          <w:b/>
        </w:rPr>
        <w:t>Atunci când continuarea implicării entităţii ia forma unei opţiuni decontate în numerar sau a unui provizion similar pentru activul transferat, măsura în care entitatea continuă să se implice este evaluată în acelaşi mod precum cea care rezultă din alte opţiuni decât cele decontate în numerar, aşa cum se arată la litera (b) de mai sus.</w:t>
      </w:r>
      <w:bookmarkEnd w:id="84"/>
    </w:p>
    <w:p w:rsidR="00AC292A" w:rsidRDefault="00AC292A">
      <w:pPr>
        <w:pStyle w:val="IASBNormalnpara"/>
        <w:rPr>
          <w:b/>
        </w:rPr>
      </w:pPr>
      <w:r>
        <w:rPr>
          <w:b/>
        </w:rPr>
        <w:t>3.2.17</w:t>
      </w:r>
      <w:r>
        <w:tab/>
      </w:r>
      <w:bookmarkStart w:id="85" w:name="SL32569799"/>
      <w:r>
        <w:rPr>
          <w:b/>
        </w:rPr>
        <w:t xml:space="preserve">Atunci când o entitate continuă să recunoască un activ în măsura continuării implicării sale, entitatea recunoaşte, de asemenea, o datorie asociată. În pofida celorlalte dispoziţii de evaluare din prezentul standard, activul transferat şi datoria asociată sunt evaluate pe o bază care reflectă drepturile şi obligaţiile pe care le-a păstrat entitatea. Datoria asociată este evaluată astfel încât valoarea contabilă netă a activului transferat şi a datoriei asociate să fie: </w:t>
      </w:r>
      <w:bookmarkEnd w:id="85"/>
    </w:p>
    <w:p w:rsidR="00AC292A" w:rsidRDefault="00AC292A">
      <w:pPr>
        <w:pStyle w:val="IASBNormalnparaL1"/>
      </w:pPr>
      <w:r>
        <w:rPr>
          <w:b/>
        </w:rPr>
        <w:t>(a)</w:t>
      </w:r>
      <w:bookmarkStart w:id="86" w:name="SL32569802"/>
      <w:r w:rsidR="00190D26">
        <w:rPr>
          <w:b/>
        </w:rPr>
        <w:tab/>
      </w:r>
      <w:r>
        <w:rPr>
          <w:b/>
        </w:rPr>
        <w:t>costul amortizat al drepturilor şi obligaţiilor păstrate de entitate, dacă activul transferat este evaluat la costul amortizat, sau</w:t>
      </w:r>
      <w:bookmarkEnd w:id="86"/>
    </w:p>
    <w:p w:rsidR="00AC292A" w:rsidRDefault="00AC292A">
      <w:pPr>
        <w:pStyle w:val="IASBNormalnparaL1"/>
      </w:pPr>
      <w:r>
        <w:rPr>
          <w:b/>
        </w:rPr>
        <w:t>(b)</w:t>
      </w:r>
      <w:bookmarkStart w:id="87" w:name="SL32569806"/>
      <w:r w:rsidR="00190D26">
        <w:rPr>
          <w:b/>
        </w:rPr>
        <w:tab/>
      </w:r>
      <w:r>
        <w:rPr>
          <w:b/>
        </w:rPr>
        <w:t>egală cu valoarea justă a drepturilor şi obligaţiilor păstrate de entitate la evaluarea pe o bază de sine stătătoare, dacă activul transferat este evaluat la valoarea justă.</w:t>
      </w:r>
      <w:bookmarkEnd w:id="87"/>
    </w:p>
    <w:p w:rsidR="00AC292A" w:rsidRDefault="00AC292A">
      <w:pPr>
        <w:pStyle w:val="IASBNormalnpara"/>
        <w:rPr>
          <w:b/>
        </w:rPr>
      </w:pPr>
      <w:r>
        <w:rPr>
          <w:b/>
        </w:rPr>
        <w:t>3.2.18</w:t>
      </w:r>
      <w:r>
        <w:tab/>
      </w:r>
      <w:bookmarkStart w:id="88" w:name="F32569814"/>
      <w:r>
        <w:rPr>
          <w:b/>
        </w:rPr>
        <w:t>Entitatea trebuie să continue să recunoască orice venit rezultat din activul transferat în măsura implicării sale continue şi trebuie să recunoască orice cheltuială suportată în legătură cu datoria asociată.</w:t>
      </w:r>
      <w:bookmarkEnd w:id="88"/>
    </w:p>
    <w:p w:rsidR="00AC292A" w:rsidRDefault="00AC292A">
      <w:pPr>
        <w:pStyle w:val="IASBNormalnpara"/>
        <w:rPr>
          <w:b/>
        </w:rPr>
      </w:pPr>
      <w:r>
        <w:rPr>
          <w:b/>
        </w:rPr>
        <w:t>3.2.19</w:t>
      </w:r>
      <w:r>
        <w:tab/>
      </w:r>
      <w:bookmarkStart w:id="89" w:name="SL32569817"/>
      <w:r>
        <w:rPr>
          <w:b/>
        </w:rPr>
        <w:t>În scopul evaluării ulterioare, modificările recunoscute în valoarea justă a activului transferat şi a datoriei asociate sunt contabilizate de o manieră consecventă între ele, în conformitate cu punctul 5.7.1, şi nu trebuie compensate.</w:t>
      </w:r>
      <w:bookmarkEnd w:id="89"/>
    </w:p>
    <w:p w:rsidR="00AC292A" w:rsidRDefault="00AC292A">
      <w:pPr>
        <w:pStyle w:val="IASBNormalnpara"/>
        <w:rPr>
          <w:b/>
        </w:rPr>
      </w:pPr>
      <w:r>
        <w:rPr>
          <w:b/>
        </w:rPr>
        <w:t>3.2.20</w:t>
      </w:r>
      <w:r>
        <w:tab/>
      </w:r>
      <w:bookmarkStart w:id="90" w:name="SL32569823"/>
      <w:r>
        <w:rPr>
          <w:b/>
        </w:rPr>
        <w:t xml:space="preserve">În cazul în care implicarea continuă a unei entităţi are loc doar pentru o parte a activului financiar (de exemplu, atunci când entitatea păstrează o opţiune de reachiziţionare a unei părţi dintr-un activ transferat sau păstrează un interes rezidual care nu are drept rezultat păstrarea majorităţii riscurilor şi recompenselor aferente dreptului de proprietate şi entitatea păstrează controlul), entitatea împarte valoarea contabilă anterioară a activului financiar între partea pe care continuă să o recunoască prin implicarea continuă şi partea pe care nu o mai recunoaşte pe baza valorilor juste relative ale acelor părţi la data transferului. În acest scop, se aplică dispoziţiile de la punctul 3.2.14. Diferenţa dintre: </w:t>
      </w:r>
      <w:bookmarkEnd w:id="90"/>
    </w:p>
    <w:p w:rsidR="00AC292A" w:rsidRDefault="00AC292A">
      <w:pPr>
        <w:pStyle w:val="IASBNormalnparaL1"/>
      </w:pPr>
      <w:r>
        <w:rPr>
          <w:b/>
        </w:rPr>
        <w:t>(a)</w:t>
      </w:r>
      <w:bookmarkStart w:id="91" w:name="SL32569831"/>
      <w:r>
        <w:rPr>
          <w:b/>
        </w:rPr>
        <w:t>valoarea contabilă (evaluată la data derecunoaşterii) alocată părţii care nu mai este recunoscută şi</w:t>
      </w:r>
      <w:bookmarkEnd w:id="91"/>
    </w:p>
    <w:p w:rsidR="00AC292A" w:rsidRDefault="00AC292A">
      <w:pPr>
        <w:pStyle w:val="IASBNormalnparaL1"/>
      </w:pPr>
      <w:r>
        <w:rPr>
          <w:b/>
        </w:rPr>
        <w:t>(b)</w:t>
      </w:r>
      <w:bookmarkStart w:id="92" w:name="SL32569834"/>
      <w:r>
        <w:rPr>
          <w:b/>
        </w:rPr>
        <w:t>contravaloarea primită pentru partea care nu mai este recunoscută</w:t>
      </w:r>
      <w:bookmarkEnd w:id="92"/>
    </w:p>
    <w:p w:rsidR="00AC292A" w:rsidRDefault="00AC292A">
      <w:pPr>
        <w:pStyle w:val="IASBNormalnparaP"/>
      </w:pPr>
      <w:bookmarkStart w:id="93" w:name="F32569836"/>
      <w:r>
        <w:rPr>
          <w:b/>
        </w:rPr>
        <w:t>trebuie recunoscută în profit sau pierdere.</w:t>
      </w:r>
      <w:bookmarkEnd w:id="93"/>
    </w:p>
    <w:p w:rsidR="00AC292A" w:rsidRDefault="00AC292A">
      <w:pPr>
        <w:pStyle w:val="IASBNormalnpara"/>
      </w:pPr>
      <w:r>
        <w:t>3.2.21</w:t>
      </w:r>
      <w:r>
        <w:tab/>
      </w:r>
      <w:bookmarkStart w:id="94" w:name="F32569840"/>
      <w:r>
        <w:t>Dacă activul transferat este evaluat la costul amortizat, opţiunea din prezentul standard de a desemna o datorie financiară la valoarea justă prin profit sau pierdere nu este aplicabilă datoriei asociate.</w:t>
      </w:r>
      <w:bookmarkEnd w:id="94"/>
    </w:p>
    <w:p w:rsidR="00AC292A" w:rsidRDefault="00AC292A">
      <w:pPr>
        <w:pStyle w:val="IASBSectionTitle2Ind"/>
      </w:pPr>
      <w:bookmarkStart w:id="95" w:name="F32569844"/>
      <w:r>
        <w:t>Toate transferurile</w:t>
      </w:r>
      <w:bookmarkEnd w:id="95"/>
    </w:p>
    <w:p w:rsidR="00AC292A" w:rsidRDefault="00AC292A">
      <w:pPr>
        <w:pStyle w:val="IASBNormalnpara"/>
        <w:rPr>
          <w:b/>
        </w:rPr>
      </w:pPr>
      <w:r>
        <w:rPr>
          <w:b/>
        </w:rPr>
        <w:t>3.2.22</w:t>
      </w:r>
      <w:r>
        <w:tab/>
      </w:r>
      <w:bookmarkStart w:id="96" w:name="SL32569847"/>
      <w:r>
        <w:rPr>
          <w:b/>
        </w:rPr>
        <w:t>Dacă un activ transferat continuă să fie recunoscut, activul şi datoria asociată nu trebuie compensate. Similar, entitatea nu trebuie să compenseze niciun venit generat de activul transferat cu nicio cheltuială suportată în legătură cu datoria asociată (a se vedea punctul 42 din IAS 32).</w:t>
      </w:r>
      <w:bookmarkEnd w:id="96"/>
    </w:p>
    <w:p w:rsidR="00AC292A" w:rsidRDefault="00AC292A">
      <w:pPr>
        <w:pStyle w:val="IASBNormalnpara"/>
        <w:rPr>
          <w:b/>
        </w:rPr>
      </w:pPr>
      <w:r>
        <w:rPr>
          <w:b/>
        </w:rPr>
        <w:lastRenderedPageBreak/>
        <w:t>3.2.23</w:t>
      </w:r>
      <w:r>
        <w:tab/>
      </w:r>
      <w:bookmarkStart w:id="97" w:name="SL32569849"/>
      <w:r>
        <w:rPr>
          <w:b/>
        </w:rPr>
        <w:t>Dacă entitatea care transferă activul oferă garanţii reale care nu sunt în numerar (cum ar fi instrumentele de datorie sau de capitaluri proprii) entităţii căreia i se transferă activul, contabilizarea garanţiilor reale de către entitatea care transferă activului şi de către entitatea căreia i se transferă activul depinde de existenţa dreptului entităţii căreia i se transferă activul de a vinde sau de a regaja garanţia reală sau de îndeplinirea/neîndeplinirea obligaţiilor de către entitatea care transferă activul. Entitatea care transferă activul şi entitatea căreia i se transferă activul trebuie să contabilizeze garanţiile reale după cum urmează:</w:t>
      </w:r>
      <w:bookmarkEnd w:id="97"/>
    </w:p>
    <w:p w:rsidR="00AC292A" w:rsidRDefault="00AC292A">
      <w:pPr>
        <w:pStyle w:val="IASBNormalnparaL1"/>
      </w:pPr>
      <w:r>
        <w:rPr>
          <w:b/>
        </w:rPr>
        <w:t>(a)</w:t>
      </w:r>
      <w:bookmarkStart w:id="98" w:name="SL32569852"/>
      <w:r w:rsidR="00190D26">
        <w:rPr>
          <w:b/>
        </w:rPr>
        <w:tab/>
      </w:r>
      <w:r>
        <w:rPr>
          <w:b/>
        </w:rPr>
        <w:t>Dacă entitatea căreia i se transferă activul are dreptul, prin contract sau prin tradiţie, de a vinde sau regaja garanţia reală, atunci entitatea care transferă activul trebuie să reclasifice acel activ în situaţia poziţiei financiare (de exemplu, ca pe un activ împrumutat, un instrument de capitaluri proprii gajat sau o creanţă din răscumpărare) separat de alte active.</w:t>
      </w:r>
      <w:bookmarkEnd w:id="98"/>
    </w:p>
    <w:p w:rsidR="00AC292A" w:rsidRDefault="00AC292A">
      <w:pPr>
        <w:pStyle w:val="IASBNormalnparaL1"/>
      </w:pPr>
      <w:r>
        <w:rPr>
          <w:b/>
        </w:rPr>
        <w:t>(b)</w:t>
      </w:r>
      <w:bookmarkStart w:id="99" w:name="SL32569855"/>
      <w:r w:rsidR="00190D26">
        <w:rPr>
          <w:b/>
        </w:rPr>
        <w:tab/>
      </w:r>
      <w:r>
        <w:rPr>
          <w:b/>
        </w:rPr>
        <w:t>Dacă entitatea căreia i se transferă activul vinde garanţiile reale care i-au fost gajate, ea trebuie să recunoască încasările din vânzare şi o datorie evaluată la valoarea justă pentru obligaţia sa de a rambursa garanţia reală.</w:t>
      </w:r>
      <w:bookmarkEnd w:id="99"/>
    </w:p>
    <w:p w:rsidR="00AC292A" w:rsidRDefault="00AC292A">
      <w:pPr>
        <w:pStyle w:val="IASBNormalnparaL1"/>
      </w:pPr>
      <w:r>
        <w:rPr>
          <w:b/>
        </w:rPr>
        <w:t>(c)</w:t>
      </w:r>
      <w:bookmarkStart w:id="100" w:name="F32569861"/>
      <w:r w:rsidR="00190D26">
        <w:rPr>
          <w:b/>
        </w:rPr>
        <w:tab/>
      </w:r>
      <w:r>
        <w:rPr>
          <w:b/>
        </w:rPr>
        <w:t>Dacă entitatea care transferă activul nu îşi îndeplineşte obligaţiile conform condiţiilor din contract şi nu mai are dreptul de a răscumpăra garanţia reală, ea trebuie să derecunoască garanţia reală, iar entitatea căreia i se transferă activul trebuie să recunoască garanţia reală ca pe un activ al său evaluat iniţial la valoarea justă sau, dacă a vândut deja garanţia reală, trebuie să derecunoască obligaţia sa de a rambursa garanţia reală.</w:t>
      </w:r>
      <w:bookmarkEnd w:id="100"/>
    </w:p>
    <w:p w:rsidR="00AC292A" w:rsidRDefault="00AC292A">
      <w:pPr>
        <w:pStyle w:val="IASBNormalnparaL1"/>
      </w:pPr>
      <w:r>
        <w:rPr>
          <w:b/>
        </w:rPr>
        <w:t>(d)</w:t>
      </w:r>
      <w:bookmarkStart w:id="101" w:name="F32569864"/>
      <w:r w:rsidR="00190D26">
        <w:rPr>
          <w:b/>
        </w:rPr>
        <w:tab/>
      </w:r>
      <w:r>
        <w:rPr>
          <w:b/>
        </w:rPr>
        <w:t>Cu excepţia celor prevăzute la litera (c), entitatea care transferă activul trebuie să continue să considere garanţia reală drept activ al său, iar entitatea căreia i se transferă activul nu trebuie să recunoască garanţia reală drept activ.</w:t>
      </w:r>
      <w:bookmarkEnd w:id="101"/>
    </w:p>
    <w:p w:rsidR="00AC292A" w:rsidRDefault="00AC292A">
      <w:pPr>
        <w:pStyle w:val="IASBSectionTitle1NonInd"/>
      </w:pPr>
      <w:bookmarkStart w:id="102" w:name="F32569867"/>
      <w:r>
        <w:t>3.3 Derecunoaşterea datoriilor financiare</w:t>
      </w:r>
      <w:bookmarkEnd w:id="102"/>
    </w:p>
    <w:p w:rsidR="00AC292A" w:rsidRDefault="00AC292A">
      <w:pPr>
        <w:pStyle w:val="IASBNormalnpara"/>
        <w:rPr>
          <w:b/>
        </w:rPr>
      </w:pPr>
      <w:r>
        <w:rPr>
          <w:b/>
        </w:rPr>
        <w:t>3.3.1</w:t>
      </w:r>
      <w:bookmarkStart w:id="103" w:name="SL32569868"/>
      <w:r w:rsidR="00190D26">
        <w:rPr>
          <w:b/>
        </w:rPr>
        <w:tab/>
      </w:r>
      <w:r>
        <w:rPr>
          <w:b/>
        </w:rPr>
        <w:t>O entitate trebuie să elimine o datorie financiară (sau o parte a unei datorii financiare) din situaţia poziţiei financiare atunci şi numai atunci când este lichidată – adică atunci când obligaţia specificată în contract este stinsă sau anulată ori expiră.</w:t>
      </w:r>
      <w:bookmarkEnd w:id="103"/>
    </w:p>
    <w:p w:rsidR="00AC292A" w:rsidRDefault="00AC292A">
      <w:pPr>
        <w:pStyle w:val="IASBNormalnpara"/>
        <w:rPr>
          <w:b/>
        </w:rPr>
      </w:pPr>
      <w:r>
        <w:rPr>
          <w:b/>
        </w:rPr>
        <w:t>3.3.2</w:t>
      </w:r>
      <w:bookmarkStart w:id="104" w:name="F32569873"/>
      <w:r w:rsidR="00190D26">
        <w:rPr>
          <w:b/>
        </w:rPr>
        <w:tab/>
      </w:r>
      <w:r>
        <w:rPr>
          <w:b/>
        </w:rPr>
        <w:t>Un schimb între un creditor şi un debitor existenţi de instrumente de datorie care au condiţii substanţial diferite trebuie să fie contabilizat ca o lichidare a datoriei financiare iniţiale şi recunoaşterea unei datorii financiare noi. Similar, o modificare substanţială a condiţiilor unei datorii financiare existente sau a unei părţi a acesteia (fie că se poate sau nu atribui dificultăţilor financiare în care se află debitorul) trebuie să fie contabilizată drept o lichidare a datoriei financiare iniţiale şi recunoaşterea unei datorii financiare noi.</w:t>
      </w:r>
      <w:bookmarkEnd w:id="104"/>
    </w:p>
    <w:p w:rsidR="00AC292A" w:rsidRDefault="00AC292A">
      <w:pPr>
        <w:pStyle w:val="IASBNormalnpara"/>
        <w:rPr>
          <w:b/>
        </w:rPr>
      </w:pPr>
      <w:r>
        <w:rPr>
          <w:b/>
        </w:rPr>
        <w:t>3.3.3</w:t>
      </w:r>
      <w:bookmarkStart w:id="105" w:name="F32569876"/>
      <w:r w:rsidR="00190D26">
        <w:rPr>
          <w:b/>
        </w:rPr>
        <w:tab/>
      </w:r>
      <w:r>
        <w:rPr>
          <w:b/>
        </w:rPr>
        <w:t xml:space="preserve">Diferenţa dintre valoarea contabilă a unei datorii financiare (sau a unei părţi dintr-o datorie financiară) lichidate sau transferate unei alte părţi şi contravaloarea plătită, inclusiv orice active nemonetare transferate sau datorii asumate, trebuie recunoscută în profit sau pierdere. </w:t>
      </w:r>
      <w:bookmarkEnd w:id="105"/>
    </w:p>
    <w:p w:rsidR="00AC292A" w:rsidRDefault="00AC292A">
      <w:pPr>
        <w:pStyle w:val="IASBNormalnpara"/>
      </w:pPr>
      <w:r>
        <w:t>3.3.4</w:t>
      </w:r>
      <w:r>
        <w:tab/>
      </w:r>
      <w:bookmarkStart w:id="106" w:name="F32569879"/>
      <w:r>
        <w:t xml:space="preserve">Dacă o entitate răscumpără o parte a unei datorii financiare, entitatea trebuie să împartă valoarea contabilă anterioară a datoriei financiare între partea care continuă să fie recunoscută şi partea care este derecunoscută pe baza valorilor juste relative ale acelor părţi la data răscumpărării. Diferenţa dintre (a) valoarea contabilă alocată părţii derecunoscute şi (b) contravaloarea plătită, inclusiv orice active nemonetare transferate sau datorii asumate, pentru partea derecunoscută trebuie să fie recunoscută în profit sau pierdere. </w:t>
      </w:r>
      <w:bookmarkEnd w:id="106"/>
    </w:p>
    <w:p w:rsidR="00AC292A" w:rsidRDefault="00AC292A">
      <w:pPr>
        <w:pStyle w:val="IASBSectionTitle1NonInd"/>
        <w:pBdr>
          <w:bottom w:val="none" w:sz="0" w:space="0" w:color="auto"/>
        </w:pBdr>
      </w:pPr>
      <w:bookmarkStart w:id="107" w:name="F32569571"/>
      <w:r>
        <w:t>Capitolul 4 Clasificare</w:t>
      </w:r>
      <w:bookmarkEnd w:id="107"/>
    </w:p>
    <w:p w:rsidR="00AC292A" w:rsidRDefault="00AC292A">
      <w:pPr>
        <w:pStyle w:val="IASBSectionTitle1NonInd"/>
      </w:pPr>
      <w:bookmarkStart w:id="108" w:name="F32569880"/>
      <w:r>
        <w:t>4.1 Clasificarea activelor financiare</w:t>
      </w:r>
      <w:bookmarkEnd w:id="108"/>
    </w:p>
    <w:p w:rsidR="00AC292A" w:rsidRDefault="00AC292A">
      <w:pPr>
        <w:pStyle w:val="IASBNormalnpara"/>
        <w:rPr>
          <w:b/>
        </w:rPr>
      </w:pPr>
      <w:r>
        <w:rPr>
          <w:b/>
        </w:rPr>
        <w:t>4.1.1</w:t>
      </w:r>
      <w:bookmarkStart w:id="109" w:name="F32569881"/>
      <w:r w:rsidR="00190D26">
        <w:rPr>
          <w:b/>
        </w:rPr>
        <w:tab/>
      </w:r>
      <w:r>
        <w:rPr>
          <w:b/>
        </w:rPr>
        <w:t>Exceptând cazul în care se aplică punctul 4.1.5, o entitate trebuie să clasifice activele financiare drept evaluate ulterior fie la costul amortizat, fie la valoarea justă prin alte elemente ale rezultatului global, fie la valoarea justă prin profit sau pierdere pe baza celor două de mai jos:</w:t>
      </w:r>
      <w:bookmarkEnd w:id="109"/>
    </w:p>
    <w:p w:rsidR="00AC292A" w:rsidRDefault="00AC292A">
      <w:pPr>
        <w:pStyle w:val="IASBNormalnparaL1"/>
        <w:rPr>
          <w:b/>
        </w:rPr>
      </w:pPr>
      <w:r>
        <w:rPr>
          <w:b/>
        </w:rPr>
        <w:t>(a)</w:t>
      </w:r>
      <w:bookmarkStart w:id="110" w:name="F32569884"/>
      <w:r w:rsidR="00190D26">
        <w:rPr>
          <w:b/>
        </w:rPr>
        <w:tab/>
      </w:r>
      <w:r>
        <w:rPr>
          <w:b/>
        </w:rPr>
        <w:t>modelul de afaceri al entităţii pentru gestionarea activelor financiare şi</w:t>
      </w:r>
      <w:bookmarkEnd w:id="110"/>
    </w:p>
    <w:p w:rsidR="00AC292A" w:rsidRDefault="00AC292A">
      <w:pPr>
        <w:pStyle w:val="IASBNormalnparaL1"/>
        <w:rPr>
          <w:b/>
        </w:rPr>
      </w:pPr>
      <w:r>
        <w:rPr>
          <w:b/>
        </w:rPr>
        <w:t>(b)</w:t>
      </w:r>
      <w:bookmarkStart w:id="111" w:name="F32569886"/>
      <w:r w:rsidR="00190D26">
        <w:rPr>
          <w:b/>
        </w:rPr>
        <w:tab/>
      </w:r>
      <w:r>
        <w:rPr>
          <w:b/>
        </w:rPr>
        <w:t>caracteristicile fluxului de trezorerie contractual al activului financiar.</w:t>
      </w:r>
      <w:bookmarkEnd w:id="111"/>
    </w:p>
    <w:p w:rsidR="00AC292A" w:rsidRDefault="00AC292A">
      <w:pPr>
        <w:pStyle w:val="IASBNormalnpara"/>
        <w:rPr>
          <w:b/>
        </w:rPr>
      </w:pPr>
      <w:r>
        <w:rPr>
          <w:b/>
        </w:rPr>
        <w:lastRenderedPageBreak/>
        <w:t>4.1.2</w:t>
      </w:r>
      <w:bookmarkStart w:id="112" w:name="F32569887"/>
      <w:r w:rsidR="00190D26">
        <w:rPr>
          <w:b/>
        </w:rPr>
        <w:tab/>
      </w:r>
      <w:r>
        <w:rPr>
          <w:b/>
        </w:rPr>
        <w:t>Un activ financiar trebuie evaluat la costul amortizat dacă sunt îndeplinite ambele condiţii de mai jos:</w:t>
      </w:r>
      <w:bookmarkEnd w:id="112"/>
    </w:p>
    <w:p w:rsidR="00AC292A" w:rsidRDefault="00AC292A">
      <w:pPr>
        <w:pStyle w:val="IASBNormalnparaL1"/>
        <w:rPr>
          <w:b/>
        </w:rPr>
      </w:pPr>
      <w:r>
        <w:rPr>
          <w:b/>
        </w:rPr>
        <w:t>(a)</w:t>
      </w:r>
      <w:bookmarkStart w:id="113" w:name="F32569890"/>
      <w:r w:rsidR="00190D26">
        <w:rPr>
          <w:b/>
        </w:rPr>
        <w:tab/>
      </w:r>
      <w:r>
        <w:rPr>
          <w:b/>
        </w:rPr>
        <w:t>activul financiar este deţinut în cadrul unui model de afaceri al cărui obiectiv este de a deţine active financiare pentru a colecta fluxurile de trezorerie contractuale şi</w:t>
      </w:r>
      <w:bookmarkEnd w:id="113"/>
    </w:p>
    <w:p w:rsidR="00AC292A" w:rsidRDefault="00AC292A">
      <w:pPr>
        <w:pStyle w:val="IASBNormalnparaL1"/>
        <w:rPr>
          <w:b/>
        </w:rPr>
      </w:pPr>
      <w:r>
        <w:rPr>
          <w:b/>
        </w:rPr>
        <w:t>(b)</w:t>
      </w:r>
      <w:bookmarkStart w:id="114" w:name="F32569892"/>
      <w:r w:rsidR="00190D26">
        <w:rPr>
          <w:b/>
        </w:rPr>
        <w:tab/>
      </w:r>
      <w:r>
        <w:rPr>
          <w:b/>
        </w:rPr>
        <w:t>termenele contractuale ale activului financiar generează, la anumite date, fluxuri de trezorerie care sunt exclusiv plăţi ale principalului şi ale dobânzii aferente valorii principalului datorat.</w:t>
      </w:r>
      <w:bookmarkEnd w:id="114"/>
    </w:p>
    <w:p w:rsidR="00AC292A" w:rsidRDefault="00AC292A">
      <w:pPr>
        <w:pStyle w:val="IASBNormalnparaP"/>
        <w:rPr>
          <w:b/>
        </w:rPr>
      </w:pPr>
      <w:bookmarkStart w:id="115" w:name="F32569893"/>
      <w:r>
        <w:rPr>
          <w:b/>
        </w:rPr>
        <w:t>Punctele B4.1.1-B4.1.26 oferă îndrumări cu privire la modalitatea de aplicare a acestor condiţii.</w:t>
      </w:r>
      <w:bookmarkEnd w:id="115"/>
    </w:p>
    <w:p w:rsidR="00AC292A" w:rsidRDefault="00AC292A">
      <w:pPr>
        <w:pStyle w:val="IASBNormalnpara"/>
        <w:rPr>
          <w:b/>
        </w:rPr>
      </w:pPr>
      <w:r>
        <w:rPr>
          <w:b/>
        </w:rPr>
        <w:t>4.1.2A</w:t>
      </w:r>
      <w:r>
        <w:tab/>
      </w:r>
      <w:bookmarkStart w:id="116" w:name="F32569894"/>
      <w:r>
        <w:rPr>
          <w:b/>
        </w:rPr>
        <w:t>Un activ financiar trebuie evaluat la valoarea justă prin alte elemente ale rezultatului global dacă sunt îndeplinite ambele condiţii de mai jos:</w:t>
      </w:r>
      <w:bookmarkEnd w:id="116"/>
    </w:p>
    <w:p w:rsidR="00AC292A" w:rsidRDefault="00AC292A">
      <w:pPr>
        <w:pStyle w:val="IASBNormalnparaL1"/>
        <w:rPr>
          <w:b/>
        </w:rPr>
      </w:pPr>
      <w:r>
        <w:rPr>
          <w:b/>
        </w:rPr>
        <w:t>(a)</w:t>
      </w:r>
      <w:bookmarkStart w:id="117" w:name="F32569897"/>
      <w:r w:rsidR="00190D26">
        <w:rPr>
          <w:b/>
        </w:rPr>
        <w:tab/>
      </w:r>
      <w:r>
        <w:rPr>
          <w:b/>
        </w:rPr>
        <w:t>activul financiar este deţinut în cadrul unui model de afaceri al cărui obiectiv este îndeplinit atât prin colectarea fluxurilor de trezorerie contractuale, cât şi prin vânzarea activelor financiare şi</w:t>
      </w:r>
      <w:bookmarkEnd w:id="117"/>
    </w:p>
    <w:p w:rsidR="00AC292A" w:rsidRDefault="00AC292A">
      <w:pPr>
        <w:pStyle w:val="IASBNormalnparaL1"/>
        <w:rPr>
          <w:b/>
        </w:rPr>
      </w:pPr>
      <w:r>
        <w:rPr>
          <w:b/>
        </w:rPr>
        <w:t>(b)</w:t>
      </w:r>
      <w:bookmarkStart w:id="118" w:name="F32569899"/>
      <w:r w:rsidR="00190D26">
        <w:rPr>
          <w:b/>
        </w:rPr>
        <w:tab/>
      </w:r>
      <w:r>
        <w:rPr>
          <w:b/>
        </w:rPr>
        <w:t>termenele contractuale ale activului financiar generează, la anumite date, fluxuri de trezorerie care sunt exclusiv plăţi ale principalului şi ale dobânzii aferente valorii principalului datorat.</w:t>
      </w:r>
      <w:bookmarkEnd w:id="118"/>
    </w:p>
    <w:p w:rsidR="00AC292A" w:rsidRDefault="00AC292A">
      <w:pPr>
        <w:pStyle w:val="IASBNormalnparaP"/>
        <w:rPr>
          <w:b/>
        </w:rPr>
      </w:pPr>
      <w:bookmarkStart w:id="119" w:name="F32569900"/>
      <w:r>
        <w:rPr>
          <w:b/>
        </w:rPr>
        <w:t>Punctele B4.1.1-B4.1.26 oferă îndrumări cu privire la modalitatea de aplicare a acestor condiţii.</w:t>
      </w:r>
      <w:bookmarkEnd w:id="119"/>
    </w:p>
    <w:p w:rsidR="00AC292A" w:rsidRDefault="00AC292A">
      <w:pPr>
        <w:pStyle w:val="IASBNormalnpara"/>
        <w:rPr>
          <w:b/>
        </w:rPr>
      </w:pPr>
      <w:r>
        <w:rPr>
          <w:b/>
        </w:rPr>
        <w:t>4.1.3</w:t>
      </w:r>
      <w:bookmarkStart w:id="120" w:name="F32569901"/>
      <w:r w:rsidR="00190D26">
        <w:rPr>
          <w:b/>
        </w:rPr>
        <w:tab/>
      </w:r>
      <w:r>
        <w:rPr>
          <w:b/>
        </w:rPr>
        <w:t>În sensul aplicării punctelor 4.1.2 litera (b) şi 4.1.2A litera (b):</w:t>
      </w:r>
      <w:bookmarkEnd w:id="120"/>
    </w:p>
    <w:p w:rsidR="00AC292A" w:rsidRDefault="00AC292A">
      <w:pPr>
        <w:pStyle w:val="IASBNormalnparaL1"/>
        <w:rPr>
          <w:b/>
        </w:rPr>
      </w:pPr>
      <w:r>
        <w:rPr>
          <w:b/>
        </w:rPr>
        <w:t>(a)</w:t>
      </w:r>
      <w:bookmarkStart w:id="121" w:name="F32569904"/>
      <w:r w:rsidR="00190D26">
        <w:rPr>
          <w:b/>
        </w:rPr>
        <w:tab/>
      </w:r>
      <w:r>
        <w:rPr>
          <w:b/>
        </w:rPr>
        <w:t>principalul este valoarea justă a activului financiar la recunoaşterea iniţială. Punctul B4.1.7B furnizează îndrumări suplimentare cu privire la semnificaţia principalului.</w:t>
      </w:r>
      <w:bookmarkEnd w:id="121"/>
    </w:p>
    <w:p w:rsidR="00AC292A" w:rsidRDefault="00AC292A">
      <w:pPr>
        <w:pStyle w:val="IASBNormalnparaL1"/>
        <w:rPr>
          <w:b/>
        </w:rPr>
      </w:pPr>
      <w:r>
        <w:rPr>
          <w:b/>
        </w:rPr>
        <w:t>(b)</w:t>
      </w:r>
      <w:bookmarkStart w:id="122" w:name="F32569906"/>
      <w:r w:rsidR="00190D26">
        <w:rPr>
          <w:b/>
        </w:rPr>
        <w:tab/>
      </w:r>
      <w:r>
        <w:rPr>
          <w:b/>
        </w:rPr>
        <w:t>dobânda constă în contravaloarea valorii-timp a banilor pentru riscul de credit asociat valorii principalului datorat într-o anumită perioadă de timp şi pentru alte riscuri şi costuri de bază aferente împrumutului, precum şi o marjă a profitului. Punctele B4.1.7A şi B4.1.9A-B4.1.9E oferă îndrumări suplimentare cu privire la semnificaţia dobânzii, inclusiv semnificaţia valorii-timp a banilor.</w:t>
      </w:r>
      <w:bookmarkEnd w:id="122"/>
    </w:p>
    <w:p w:rsidR="00AC292A" w:rsidRDefault="00AC292A">
      <w:pPr>
        <w:pStyle w:val="IASBNormalnpara"/>
        <w:rPr>
          <w:b/>
        </w:rPr>
      </w:pPr>
      <w:r>
        <w:rPr>
          <w:b/>
        </w:rPr>
        <w:t>4.1.4</w:t>
      </w:r>
      <w:bookmarkStart w:id="123" w:name="F32569907"/>
      <w:r w:rsidR="00190D26">
        <w:rPr>
          <w:b/>
        </w:rPr>
        <w:tab/>
      </w:r>
      <w:r>
        <w:rPr>
          <w:b/>
        </w:rPr>
        <w:t xml:space="preserve">Un activ financiar trebuie evaluat la valoarea justă prin profit sau pierdere, cu excepţia cazului în care este evaluat la costul amortizat în conformitate cu punctul 4.1.2 sau la valoarea justă prin alte elemente ale rezultatului global în conformitate cu punctul 4.1.2A. Cu toate acestea, o entitate poate face o alegere irevocabilă la recunoaşterea iniţială pentru anumite investiţii în </w:t>
      </w:r>
      <w:r>
        <w:rPr>
          <w:b/>
          <w:i/>
        </w:rPr>
        <w:t>instrumente de capitaluri proprii</w:t>
      </w:r>
      <w:r>
        <w:rPr>
          <w:b/>
        </w:rPr>
        <w:t xml:space="preserve"> care ar fi altfel evaluate la valoarea justă prin profit sau pierdere pentru a prezenta modificările ulterioare în valoarea justă în alte elemente ale rezultatului global (a se vedea punctele 5.7.5-5.7.6).</w:t>
      </w:r>
      <w:bookmarkEnd w:id="123"/>
    </w:p>
    <w:p w:rsidR="00AC292A" w:rsidRDefault="00AC292A">
      <w:pPr>
        <w:pStyle w:val="IASBSectionTitle2Ind"/>
      </w:pPr>
      <w:bookmarkStart w:id="124" w:name="F32569909"/>
      <w:r>
        <w:t>Opţiunea de a desemna un activ financiar la valoarea justă prin profit sau pierdere</w:t>
      </w:r>
      <w:bookmarkEnd w:id="124"/>
    </w:p>
    <w:p w:rsidR="00AC292A" w:rsidRDefault="00AC292A">
      <w:pPr>
        <w:pStyle w:val="IASBNormalnpara"/>
        <w:rPr>
          <w:b/>
        </w:rPr>
      </w:pPr>
      <w:r>
        <w:rPr>
          <w:b/>
        </w:rPr>
        <w:t>4.1.5</w:t>
      </w:r>
      <w:bookmarkStart w:id="125" w:name="F32569910"/>
      <w:r w:rsidR="00190D26">
        <w:rPr>
          <w:b/>
        </w:rPr>
        <w:tab/>
      </w:r>
      <w:r>
        <w:rPr>
          <w:b/>
        </w:rPr>
        <w:t>Fără a ţine seama de punctele 4.1.1-4.1.4, o entitate poate, la recunoaşterea iniţială, să desemneze irevocabil un activ financiar drept evaluat la valoarea justă prin profit sau pierdere dacă astfel elimină sau reduce semnificativ o inconsecvenţă de evaluare sau recunoaştere (numită uneori „o necorelare contabilă”) care altfel ar rezulta din evaluarea activelor sau datoriilor sau din recunoaşterea câştigurilor şi pierderilor aferente acestora pe baze diferite (a se vedea punctele B4.1.29-B4.1.32).</w:t>
      </w:r>
      <w:bookmarkEnd w:id="125"/>
    </w:p>
    <w:p w:rsidR="00AC292A" w:rsidRDefault="00AC292A">
      <w:pPr>
        <w:pStyle w:val="IASBSectionTitle1NonInd"/>
      </w:pPr>
      <w:bookmarkStart w:id="126" w:name="F32569912"/>
      <w:r>
        <w:t>4.2 Clasificarea datoriilor financiare</w:t>
      </w:r>
      <w:bookmarkEnd w:id="126"/>
    </w:p>
    <w:p w:rsidR="00AC292A" w:rsidRDefault="00AC292A">
      <w:pPr>
        <w:pStyle w:val="IASBNormalnpara"/>
        <w:rPr>
          <w:b/>
        </w:rPr>
      </w:pPr>
      <w:r>
        <w:rPr>
          <w:b/>
        </w:rPr>
        <w:t>4.2.1</w:t>
      </w:r>
      <w:bookmarkStart w:id="127" w:name="F32569913"/>
      <w:r w:rsidR="00190D26">
        <w:rPr>
          <w:b/>
        </w:rPr>
        <w:tab/>
      </w:r>
      <w:r>
        <w:rPr>
          <w:b/>
        </w:rPr>
        <w:t>O entitate trebuie să clasifice toate datoriile financiare drept evaluate ulterior la costul amortizat, cu excepţia:</w:t>
      </w:r>
      <w:bookmarkEnd w:id="127"/>
    </w:p>
    <w:p w:rsidR="00AC292A" w:rsidRDefault="00AC292A">
      <w:pPr>
        <w:pStyle w:val="IASBNormalnparaL1"/>
        <w:rPr>
          <w:b/>
        </w:rPr>
      </w:pPr>
      <w:r>
        <w:rPr>
          <w:b/>
        </w:rPr>
        <w:t>(a)</w:t>
      </w:r>
      <w:bookmarkStart w:id="128" w:name="F32569916"/>
      <w:r w:rsidR="00190D26">
        <w:rPr>
          <w:b/>
        </w:rPr>
        <w:tab/>
      </w:r>
      <w:r>
        <w:rPr>
          <w:b/>
          <w:i/>
        </w:rPr>
        <w:t>datoriilor financiare la valoarea justă prin profit sau pierdere</w:t>
      </w:r>
      <w:r>
        <w:rPr>
          <w:b/>
        </w:rPr>
        <w:t>. Astfel de datorii</w:t>
      </w:r>
      <w:r>
        <w:rPr>
          <w:b/>
          <w:i/>
        </w:rPr>
        <w:t xml:space="preserve">, </w:t>
      </w:r>
      <w:r>
        <w:rPr>
          <w:b/>
        </w:rPr>
        <w:t>inclusiv</w:t>
      </w:r>
      <w:r>
        <w:rPr>
          <w:b/>
          <w:i/>
        </w:rPr>
        <w:t xml:space="preserve"> instrumentele derivate</w:t>
      </w:r>
      <w:r>
        <w:rPr>
          <w:b/>
        </w:rPr>
        <w:t xml:space="preserve"> care sunt datorii, trebuie evaluate ulterior la valoarea justă.</w:t>
      </w:r>
      <w:bookmarkEnd w:id="128"/>
    </w:p>
    <w:p w:rsidR="00AC292A" w:rsidRDefault="00AC292A">
      <w:pPr>
        <w:pStyle w:val="IASBNormalnparaL1"/>
        <w:rPr>
          <w:b/>
        </w:rPr>
      </w:pPr>
      <w:r>
        <w:rPr>
          <w:b/>
        </w:rPr>
        <w:t>(b)</w:t>
      </w:r>
      <w:bookmarkStart w:id="129" w:name="F32569918"/>
      <w:r w:rsidR="00190D26">
        <w:rPr>
          <w:b/>
        </w:rPr>
        <w:tab/>
      </w:r>
      <w:r>
        <w:rPr>
          <w:b/>
        </w:rPr>
        <w:t>datoriilor financiare care apar atunci când un transfer al unui activ financiar nu îndeplineşte condiţiile pentru a fi derecunoscut sau este contabilizat utilizând abordarea implicării continue. Punctele 3.2.15 şi 3.2.17 se aplică evaluării unor astfel de datorii financiare.</w:t>
      </w:r>
      <w:bookmarkEnd w:id="129"/>
    </w:p>
    <w:p w:rsidR="00AC292A" w:rsidRDefault="00AC292A">
      <w:pPr>
        <w:pStyle w:val="IASBNormalnparaL1"/>
        <w:rPr>
          <w:b/>
        </w:rPr>
      </w:pPr>
      <w:r>
        <w:rPr>
          <w:b/>
        </w:rPr>
        <w:lastRenderedPageBreak/>
        <w:t>(c)</w:t>
      </w:r>
      <w:bookmarkStart w:id="130" w:name="F32569920"/>
      <w:r w:rsidR="00190D26">
        <w:rPr>
          <w:b/>
        </w:rPr>
        <w:tab/>
      </w:r>
      <w:r>
        <w:rPr>
          <w:b/>
          <w:i/>
        </w:rPr>
        <w:t>contractelor de garanţie financiară</w:t>
      </w:r>
      <w:r>
        <w:rPr>
          <w:b/>
        </w:rPr>
        <w:t>. După recunoaşterea iniţială, emitentul unui astfel de contract trebuie (în afară de cazul în care se aplică punctul 4.2.1 litera (a) sau litera (b)) să îl evalueze ulterior la cea mai mare valoare dintre:</w:t>
      </w:r>
      <w:bookmarkEnd w:id="130"/>
    </w:p>
    <w:p w:rsidR="00AC292A" w:rsidRDefault="00AC292A">
      <w:pPr>
        <w:pStyle w:val="IASBNormalnparaL2"/>
        <w:rPr>
          <w:b/>
        </w:rPr>
      </w:pPr>
      <w:r>
        <w:rPr>
          <w:b/>
        </w:rPr>
        <w:t>(i)</w:t>
      </w:r>
      <w:bookmarkStart w:id="131" w:name="F32569930"/>
      <w:r>
        <w:rPr>
          <w:b/>
        </w:rPr>
        <w:t xml:space="preserve">valoarea </w:t>
      </w:r>
      <w:r>
        <w:rPr>
          <w:b/>
          <w:i/>
        </w:rPr>
        <w:t>ajustării pentru pierderi</w:t>
      </w:r>
      <w:r>
        <w:rPr>
          <w:b/>
        </w:rPr>
        <w:t xml:space="preserve"> determinată în conformitate cu secţiunea 5.5 şi</w:t>
      </w:r>
      <w:bookmarkEnd w:id="131"/>
    </w:p>
    <w:p w:rsidR="00AC292A" w:rsidRDefault="00AC292A">
      <w:pPr>
        <w:pStyle w:val="IASBNormalnparaL2"/>
        <w:rPr>
          <w:b/>
        </w:rPr>
      </w:pPr>
      <w:r>
        <w:rPr>
          <w:b/>
        </w:rPr>
        <w:t>(ii)</w:t>
      </w:r>
      <w:bookmarkStart w:id="132" w:name="F32569932"/>
      <w:r>
        <w:rPr>
          <w:b/>
        </w:rPr>
        <w:t>valoarea recunoscută iniţial (a se vedea punctul 5.1.1) minus, acolo unde este cazul, valoarea cumulată a venitului recunoscut în conformitate cu principiile din IFRS 15.</w:t>
      </w:r>
      <w:bookmarkEnd w:id="132"/>
    </w:p>
    <w:p w:rsidR="00AC292A" w:rsidRDefault="00AC292A">
      <w:pPr>
        <w:pStyle w:val="IASBNormalnparaL1"/>
        <w:rPr>
          <w:b/>
        </w:rPr>
      </w:pPr>
      <w:r>
        <w:rPr>
          <w:b/>
        </w:rPr>
        <w:t>(d)</w:t>
      </w:r>
      <w:bookmarkStart w:id="133" w:name="F32569922"/>
      <w:r w:rsidR="00190D26">
        <w:rPr>
          <w:b/>
        </w:rPr>
        <w:tab/>
      </w:r>
      <w:r>
        <w:rPr>
          <w:b/>
        </w:rPr>
        <w:t>angajamentelor pentru furnizarea unui împrumut la o rată a dobânzii sub valoarea pieţei. Emitentul unui astfel de angajament trebuie (cu excepția cazului în care se aplică punctul 4.2.1 litera (a)) să îl evalueze ulterior la cea mai mare valoare dintre:</w:t>
      </w:r>
      <w:bookmarkEnd w:id="133"/>
    </w:p>
    <w:p w:rsidR="00AC292A" w:rsidRDefault="00AC292A">
      <w:pPr>
        <w:pStyle w:val="IASBNormalnparaL2"/>
        <w:rPr>
          <w:b/>
        </w:rPr>
      </w:pPr>
      <w:r>
        <w:rPr>
          <w:b/>
        </w:rPr>
        <w:t>(i)</w:t>
      </w:r>
      <w:bookmarkStart w:id="134" w:name="F32569935"/>
      <w:r>
        <w:rPr>
          <w:b/>
        </w:rPr>
        <w:t>valoarea ajustării pentru pierderi determinată în conformitate cu secţiunea 5.5 şi</w:t>
      </w:r>
      <w:bookmarkEnd w:id="134"/>
    </w:p>
    <w:p w:rsidR="00AC292A" w:rsidRDefault="00AC292A">
      <w:pPr>
        <w:pStyle w:val="IASBNormalnparaL2"/>
        <w:rPr>
          <w:b/>
        </w:rPr>
      </w:pPr>
      <w:r>
        <w:rPr>
          <w:b/>
        </w:rPr>
        <w:t>(ii)</w:t>
      </w:r>
      <w:bookmarkStart w:id="135" w:name="F32569937"/>
      <w:r>
        <w:rPr>
          <w:b/>
        </w:rPr>
        <w:t>valoarea recunoscută iniţial (a se vedea punctul 5.1.1) minus, acolo unde este cazul, valoarea cumulată a venitului recunoscut în conformitate cu principiile din IFRS 15.</w:t>
      </w:r>
      <w:bookmarkEnd w:id="135"/>
    </w:p>
    <w:p w:rsidR="00AC292A" w:rsidRDefault="00AC292A">
      <w:pPr>
        <w:pStyle w:val="IASBNormalnparaL1"/>
        <w:rPr>
          <w:b/>
        </w:rPr>
      </w:pPr>
      <w:r>
        <w:rPr>
          <w:b/>
        </w:rPr>
        <w:t>(e)</w:t>
      </w:r>
      <w:bookmarkStart w:id="136" w:name="F32569924"/>
      <w:r w:rsidR="00190D26">
        <w:rPr>
          <w:b/>
        </w:rPr>
        <w:tab/>
      </w:r>
      <w:r>
        <w:rPr>
          <w:b/>
        </w:rPr>
        <w:t>compensației contingente recunoscute de o entitate dobânditoare într-o combinare de întreprinderi pentru care se aplică IFRS 3. O astfel de compensație contingentă trebuie evaluată ulterior la valoarea justă cu schimbările recunoscute în profit sau pierdere.</w:t>
      </w:r>
      <w:bookmarkEnd w:id="136"/>
    </w:p>
    <w:p w:rsidR="00AC292A" w:rsidRDefault="00AC292A">
      <w:pPr>
        <w:pStyle w:val="IASBSectionTitle2Ind"/>
      </w:pPr>
      <w:bookmarkStart w:id="137" w:name="F32569939"/>
      <w:r>
        <w:t>Opţiunea de a desemna o datorie financiară la valoarea justă prin profit sau pierdere</w:t>
      </w:r>
      <w:bookmarkEnd w:id="137"/>
    </w:p>
    <w:p w:rsidR="00AC292A" w:rsidRDefault="00AC292A">
      <w:pPr>
        <w:pStyle w:val="IASBNormalnpara"/>
        <w:rPr>
          <w:b/>
        </w:rPr>
      </w:pPr>
      <w:r>
        <w:rPr>
          <w:b/>
        </w:rPr>
        <w:t>4.2.2</w:t>
      </w:r>
      <w:bookmarkStart w:id="138" w:name="F32569940"/>
      <w:r w:rsidR="00190D26">
        <w:rPr>
          <w:b/>
        </w:rPr>
        <w:tab/>
      </w:r>
      <w:r>
        <w:rPr>
          <w:b/>
        </w:rPr>
        <w:t>O entitate poate, la recunoaşterea iniţială, să desemneze în mod irevocabil o datorie financiară drept evaluată la valoarea justă prin profit sau pierdere atunci când punctul 4.3.5 permite sau atunci când această acţiune generează informaţii mai relevante, deoarece fie:</w:t>
      </w:r>
      <w:bookmarkEnd w:id="138"/>
    </w:p>
    <w:p w:rsidR="00AC292A" w:rsidRDefault="00AC292A">
      <w:pPr>
        <w:pStyle w:val="IASBNormalnparaL1"/>
        <w:rPr>
          <w:b/>
        </w:rPr>
      </w:pPr>
      <w:r>
        <w:rPr>
          <w:b/>
        </w:rPr>
        <w:t>(a)</w:t>
      </w:r>
      <w:bookmarkStart w:id="139" w:name="F32569943"/>
      <w:r w:rsidR="00190D26">
        <w:rPr>
          <w:b/>
        </w:rPr>
        <w:tab/>
      </w:r>
      <w:r>
        <w:rPr>
          <w:b/>
        </w:rPr>
        <w:t>elimină sau reduce semnificativ o inconsecvenţă de evaluare sau recunoaştere (numită uneori „o necorelare contabilă”) care altfel ar rezulta din evaluarea activelor sau datoriilor sau din recunoaşterea câştigurilor şi pierderilor aferente acestora pe baze diferite (a se vedea punctele B4.1.29-B4.1.32); fie</w:t>
      </w:r>
      <w:bookmarkEnd w:id="139"/>
    </w:p>
    <w:p w:rsidR="00AC292A" w:rsidRDefault="00AC292A">
      <w:pPr>
        <w:pStyle w:val="IASBNormalnparaL1"/>
        <w:rPr>
          <w:b/>
        </w:rPr>
      </w:pPr>
      <w:r>
        <w:rPr>
          <w:b/>
        </w:rPr>
        <w:t>(b)</w:t>
      </w:r>
      <w:bookmarkStart w:id="140" w:name="F32569945"/>
      <w:r w:rsidR="00190D26">
        <w:rPr>
          <w:b/>
        </w:rPr>
        <w:tab/>
      </w:r>
      <w:r>
        <w:rPr>
          <w:b/>
        </w:rPr>
        <w:t xml:space="preserve">un grup de datorii financiare sau de active financiare şi datorii financiare este gestionat și performanţa sa este evaluată pe baza valorii juste, în conformitate cu o strategie documentată de gestionare a riscului sau de investiţii, iar informaţiile despre grup sunt furnizate pe plan intern pe acea bază către personalul-cheie din conducerea entităţii (conform definiţiei din IAS 24 </w:t>
      </w:r>
      <w:r>
        <w:rPr>
          <w:b/>
          <w:i/>
        </w:rPr>
        <w:t>Prezentarea informaţiilor privind părţile afiliate</w:t>
      </w:r>
      <w:r>
        <w:rPr>
          <w:b/>
        </w:rPr>
        <w:t>), de exemplu, consiliul de administraţie şi directorul executiv al entităţii (a se vedea punctele B4.1.33-B4.1.36).</w:t>
      </w:r>
      <w:bookmarkEnd w:id="140"/>
    </w:p>
    <w:p w:rsidR="00AC292A" w:rsidRDefault="00AC292A">
      <w:pPr>
        <w:pStyle w:val="IASBSectionTitle1NonInd"/>
      </w:pPr>
      <w:bookmarkStart w:id="141" w:name="F32569961"/>
      <w:r>
        <w:t>4.3 Instrumente derivate încorporate</w:t>
      </w:r>
      <w:bookmarkEnd w:id="141"/>
    </w:p>
    <w:p w:rsidR="00AC292A" w:rsidRDefault="00AC292A">
      <w:pPr>
        <w:pStyle w:val="IASBNormalnpara"/>
      </w:pPr>
      <w:r>
        <w:t>4.3.1</w:t>
      </w:r>
      <w:r>
        <w:tab/>
      </w:r>
      <w:bookmarkStart w:id="142" w:name="F32569965"/>
      <w:r>
        <w:t xml:space="preserve">Un instrument derivat încorporat este o componentă a unui contract-hibrid care include şi un instrument-gazdă nederivat – având ca efect faptul că modul de variaţie a unor fluxuri de trezorerie generate de instrumentul combinat este similar cu cel al unui instrument derivat de sine stătător. Un instrument derivat încorporat generează unele sau toate fluxurile de trezorerie pentru care, altfel, s-ar prevedea în contract modificarea acestora în funcţie de o variabilă specificată precum rata dobânzii, preţul instrumentului financiar, preţul mărfii, cursul de schimb valutar, indicele de preţ sau indicele ratei, ratingul de credit sau indicele de creditare, sau alte variabile, cu condiţia ca, în cazul unei variabile nefinanciare, variabila să nu fie specifică niciunei părţi contractuale. Un instrument derivat care este ataşat unui </w:t>
      </w:r>
      <w:r>
        <w:rPr>
          <w:i/>
        </w:rPr>
        <w:t>instrument financiar</w:t>
      </w:r>
      <w:r>
        <w:t>, dar este transferabil, conform contractului, independent de acel instrument, sau care are un partener diferit, nu este un instrument derivat încorporat, ci un instrument financiar individual.</w:t>
      </w:r>
      <w:bookmarkEnd w:id="142"/>
    </w:p>
    <w:p w:rsidR="00AC292A" w:rsidRDefault="00AC292A">
      <w:pPr>
        <w:pStyle w:val="IASBSectionTitle2Ind"/>
      </w:pPr>
      <w:bookmarkStart w:id="143" w:name="F32569973"/>
      <w:r>
        <w:t>Contracte-hibrid cu active financiare gazdă</w:t>
      </w:r>
      <w:bookmarkEnd w:id="143"/>
    </w:p>
    <w:p w:rsidR="00AC292A" w:rsidRDefault="00AC292A">
      <w:pPr>
        <w:pStyle w:val="IASBNormalnpara"/>
        <w:rPr>
          <w:b/>
        </w:rPr>
      </w:pPr>
      <w:r>
        <w:rPr>
          <w:b/>
        </w:rPr>
        <w:t>4.3.2</w:t>
      </w:r>
      <w:bookmarkStart w:id="144" w:name="F32569974"/>
      <w:r w:rsidR="00190D26">
        <w:rPr>
          <w:b/>
        </w:rPr>
        <w:tab/>
      </w:r>
      <w:r>
        <w:rPr>
          <w:b/>
        </w:rPr>
        <w:t>Dacă un contract-hibrid conţine un instrument-gazdă care este un activ ce intră sub incidenţa prezentului standard, o entitate trebuie să aplice dispoziţiile de la punctele 4.1.1-4.1.5 pentru întregul contract-hibrid.</w:t>
      </w:r>
      <w:bookmarkEnd w:id="144"/>
    </w:p>
    <w:p w:rsidR="00AC292A" w:rsidRDefault="00AC292A">
      <w:pPr>
        <w:pStyle w:val="IASBSectionTitle2Ind"/>
      </w:pPr>
      <w:bookmarkStart w:id="145" w:name="F32569980"/>
      <w:r>
        <w:lastRenderedPageBreak/>
        <w:t>Alte contracte-hibrid</w:t>
      </w:r>
      <w:bookmarkEnd w:id="145"/>
    </w:p>
    <w:p w:rsidR="00AC292A" w:rsidRDefault="00AC292A">
      <w:pPr>
        <w:pStyle w:val="IASBNormalnpara"/>
        <w:rPr>
          <w:b/>
        </w:rPr>
      </w:pPr>
      <w:r>
        <w:rPr>
          <w:b/>
        </w:rPr>
        <w:t>4.3.3</w:t>
      </w:r>
      <w:bookmarkStart w:id="146" w:name="F32569983"/>
      <w:r w:rsidR="00190D26">
        <w:rPr>
          <w:b/>
        </w:rPr>
        <w:tab/>
      </w:r>
      <w:r>
        <w:rPr>
          <w:b/>
        </w:rPr>
        <w:t xml:space="preserve">Dacă un contract-hibrid conţine un instrument-gazdă care nu este un activ ce intră sub incidenţa prezentului standard, un instrument derivat încorporat trebuie separat de instrumentul-gazdă şi contabilizat drept instrument derivat conform prezentului standard dacă şi numai dacă: </w:t>
      </w:r>
      <w:bookmarkEnd w:id="146"/>
    </w:p>
    <w:p w:rsidR="00AC292A" w:rsidRDefault="00AC292A">
      <w:pPr>
        <w:pStyle w:val="IASBNormalnparaL1"/>
      </w:pPr>
      <w:r>
        <w:rPr>
          <w:b/>
        </w:rPr>
        <w:t>(a)</w:t>
      </w:r>
      <w:bookmarkStart w:id="147" w:name="SL32569986"/>
      <w:r w:rsidR="00190D26">
        <w:rPr>
          <w:b/>
        </w:rPr>
        <w:tab/>
      </w:r>
      <w:r>
        <w:rPr>
          <w:b/>
        </w:rPr>
        <w:t>caracteristicile şi riscurile economice aferente instrumentelor derivate încorporate nu sunt strâns legate de caracteristicile şi riscurile economice aferente instrumentului-gazdă (a se vedea punctele B4.3.5 şi B4.3.8);</w:t>
      </w:r>
      <w:bookmarkEnd w:id="147"/>
    </w:p>
    <w:p w:rsidR="00AC292A" w:rsidRDefault="00AC292A">
      <w:pPr>
        <w:pStyle w:val="IASBNormalnparaL1"/>
      </w:pPr>
      <w:r>
        <w:rPr>
          <w:b/>
        </w:rPr>
        <w:t>(b)</w:t>
      </w:r>
      <w:bookmarkStart w:id="148" w:name="SL32569989"/>
      <w:r w:rsidR="00190D26">
        <w:rPr>
          <w:b/>
        </w:rPr>
        <w:tab/>
      </w:r>
      <w:r>
        <w:rPr>
          <w:b/>
        </w:rPr>
        <w:t>un instrument separat care are aceleaşi termene ca instrumentul derivat încorporat ar corespunde definiţiei unui instrument derivat; și</w:t>
      </w:r>
      <w:bookmarkEnd w:id="148"/>
    </w:p>
    <w:p w:rsidR="00AC292A" w:rsidRDefault="00AC292A">
      <w:pPr>
        <w:pStyle w:val="IASBNormalnparaL1"/>
      </w:pPr>
      <w:r>
        <w:rPr>
          <w:b/>
        </w:rPr>
        <w:t>(c)</w:t>
      </w:r>
      <w:bookmarkStart w:id="149" w:name="SL32569992"/>
      <w:r w:rsidR="00190D26">
        <w:rPr>
          <w:b/>
        </w:rPr>
        <w:tab/>
      </w:r>
      <w:r>
        <w:rPr>
          <w:b/>
        </w:rPr>
        <w:t>contractul-hibrid nu este evaluat la valoarea justă cu modificările valorii juste recunoscute în profit sau pierdere (adică un instrument derivat care este încorporat într-o datorie financiară la valoarea justă prin profit sau pierdere nu este separat).</w:t>
      </w:r>
      <w:bookmarkEnd w:id="149"/>
    </w:p>
    <w:p w:rsidR="00AC292A" w:rsidRDefault="00AC292A">
      <w:pPr>
        <w:pStyle w:val="IASBNormalnpara"/>
        <w:rPr>
          <w:b/>
        </w:rPr>
      </w:pPr>
      <w:r>
        <w:rPr>
          <w:b/>
        </w:rPr>
        <w:t>4.3.4</w:t>
      </w:r>
      <w:bookmarkStart w:id="150" w:name="F32569998"/>
      <w:r w:rsidR="00190D26">
        <w:rPr>
          <w:b/>
        </w:rPr>
        <w:tab/>
      </w:r>
      <w:r>
        <w:rPr>
          <w:b/>
        </w:rPr>
        <w:t>Dacă un instrument derivat încorporat este separat, contractul-gazdă trebuie contabilizat în conformitate cu standardele corespunzătoare. Prezentul standard nu tratează măsura în care un instrument derivat încorporat trebuie prezentat separat în situaţia poziţiei financiare.</w:t>
      </w:r>
      <w:bookmarkEnd w:id="150"/>
    </w:p>
    <w:p w:rsidR="00AC292A" w:rsidRDefault="00AC292A">
      <w:pPr>
        <w:pStyle w:val="IASBNormalnpara"/>
        <w:rPr>
          <w:b/>
        </w:rPr>
      </w:pPr>
      <w:r>
        <w:rPr>
          <w:b/>
        </w:rPr>
        <w:t>4.3.5</w:t>
      </w:r>
      <w:bookmarkStart w:id="151" w:name="SL32569999"/>
      <w:r w:rsidR="00190D26">
        <w:rPr>
          <w:b/>
        </w:rPr>
        <w:tab/>
      </w:r>
      <w:r>
        <w:rPr>
          <w:b/>
        </w:rPr>
        <w:t>În pofida punctelor 4.3.3 şi 4.3.4, dacă un contract cuprinde unul sau mai multe instrumente derivate încorporate, iar instrumentul-gazdă nu este un activ care intră sub incidenţa prezentului standard, o entitate poate desemna întregul contract-hibrid ca fiind la valoarea justă prin profit sau pierdere, exceptând cazul în care:</w:t>
      </w:r>
      <w:bookmarkEnd w:id="151"/>
    </w:p>
    <w:p w:rsidR="00AC292A" w:rsidRDefault="00AC292A">
      <w:pPr>
        <w:pStyle w:val="IASBNormalnparaL1"/>
      </w:pPr>
      <w:r>
        <w:rPr>
          <w:b/>
        </w:rPr>
        <w:t>(a)</w:t>
      </w:r>
      <w:bookmarkStart w:id="152" w:name="SL32570005"/>
      <w:r w:rsidR="00190D26">
        <w:rPr>
          <w:b/>
        </w:rPr>
        <w:tab/>
      </w:r>
      <w:r>
        <w:rPr>
          <w:b/>
        </w:rPr>
        <w:t>instrumentul (instrumentele) derivat(e) încorporat(e) nu modifică în mod semnificativ fluxurile de trezorerie care ar fi altfel prevăzute în contract; sau</w:t>
      </w:r>
      <w:bookmarkEnd w:id="152"/>
    </w:p>
    <w:p w:rsidR="00AC292A" w:rsidRDefault="00AC292A">
      <w:pPr>
        <w:pStyle w:val="IASBNormalnparaL1"/>
      </w:pPr>
      <w:r>
        <w:rPr>
          <w:b/>
        </w:rPr>
        <w:t>(b)</w:t>
      </w:r>
      <w:bookmarkStart w:id="153" w:name="SL32570008"/>
      <w:r w:rsidR="00190D26">
        <w:rPr>
          <w:b/>
        </w:rPr>
        <w:tab/>
      </w:r>
      <w:r>
        <w:rPr>
          <w:b/>
        </w:rPr>
        <w:t>este clar în urma unei scurte analize sau fără nicio analiză, atunci când un instrument-hibrid similar este luat în considerare pentru prima dată, că separarea instrumentului (instrumentelor) derivat(e) încorporat(e) este interzisă, cum este cazul opţiunii de plată în avans încorporate într-un împrumut care permite deţinătorului să plătească în avans împrumutul la aproximativ costul său amortizat.</w:t>
      </w:r>
      <w:bookmarkEnd w:id="153"/>
    </w:p>
    <w:p w:rsidR="00AC292A" w:rsidRDefault="00AC292A">
      <w:pPr>
        <w:pStyle w:val="IASBNormalnpara"/>
        <w:rPr>
          <w:b/>
        </w:rPr>
      </w:pPr>
      <w:r>
        <w:rPr>
          <w:b/>
        </w:rPr>
        <w:t>4.3.6</w:t>
      </w:r>
      <w:bookmarkStart w:id="154" w:name="SL32570014"/>
      <w:r w:rsidR="00190D26">
        <w:rPr>
          <w:b/>
        </w:rPr>
        <w:tab/>
      </w:r>
      <w:r>
        <w:rPr>
          <w:b/>
        </w:rPr>
        <w:t>În cazul în care, conform prezentului standard, unei entităţi i se impune să separe un instrument derivat încorporat de instrumentul-gazdă aferent, dar nu are posibilitatea să evalueze separat instrumentul derivat încorporat, fie în momentul achiziţiei, fie la sfârşitul perioadei ulterioare de raportare financiară, aceasta trebuie să desemneze întregul contract-hibrid la valoarea justă prin profit sau pierdere.</w:t>
      </w:r>
      <w:bookmarkEnd w:id="154"/>
    </w:p>
    <w:p w:rsidR="00AC292A" w:rsidRDefault="00AC292A">
      <w:pPr>
        <w:pStyle w:val="IASBNormalnpara"/>
      </w:pPr>
      <w:r>
        <w:t>4.3.7</w:t>
      </w:r>
      <w:r>
        <w:tab/>
      </w:r>
      <w:bookmarkStart w:id="155" w:name="F32570015"/>
      <w:r>
        <w:t>Dacă o entitate nu poate evalua în mod fiabil valoarea justă a unui instrument derivat încorporat pe baza termenelor şi condiţiilor sale, valoarea justă a instrumentului derivat încorporat este diferenţa dintre valoarea justă a contractului-hibrid şi valoarea justă a instrumentului-gazdă. Dacă entitatea nu poate evalua valoarea justă a instrumentului derivat încorporat pe baza acestei metode, se aplică punctul 4.3.6 şi contractul-hibrid este desemnat la valoarea justă prin profit sau pierdere.</w:t>
      </w:r>
      <w:bookmarkEnd w:id="155"/>
    </w:p>
    <w:p w:rsidR="00AC292A" w:rsidRDefault="00AC292A">
      <w:pPr>
        <w:pStyle w:val="IASBSectionTitle1NonInd"/>
      </w:pPr>
      <w:bookmarkStart w:id="156" w:name="F32569955"/>
      <w:r>
        <w:t>4.4 Reclasificare</w:t>
      </w:r>
      <w:bookmarkEnd w:id="156"/>
    </w:p>
    <w:p w:rsidR="00AC292A" w:rsidRDefault="00AC292A">
      <w:pPr>
        <w:pStyle w:val="IASBNormalnpara"/>
        <w:rPr>
          <w:b/>
        </w:rPr>
      </w:pPr>
      <w:r>
        <w:rPr>
          <w:b/>
        </w:rPr>
        <w:t>4.4.1</w:t>
      </w:r>
      <w:bookmarkStart w:id="157" w:name="F32569956"/>
      <w:r w:rsidR="00190D26">
        <w:rPr>
          <w:b/>
        </w:rPr>
        <w:tab/>
      </w:r>
      <w:r>
        <w:rPr>
          <w:b/>
        </w:rPr>
        <w:t>Atunci şi numai atunci când o entitate îşi modifică modelul de afaceri pentru gestionarea activelor sale financiare, ea trebuie să reclasifice toate activele financiare afectate în conformitate cu punctele 4.1.1-4.1.4. A se vedea punctele 5.6.1-5.6.7, B4.4.1-B4.4.3 şi B5.6.1-B5.6.2 pentru îndrumări suplimentare cu privire la reclasificarea activelor financiare.</w:t>
      </w:r>
      <w:bookmarkEnd w:id="157"/>
    </w:p>
    <w:p w:rsidR="00AC292A" w:rsidRDefault="00AC292A">
      <w:pPr>
        <w:pStyle w:val="IASBNormalnpara"/>
        <w:rPr>
          <w:b/>
        </w:rPr>
      </w:pPr>
      <w:r>
        <w:rPr>
          <w:b/>
        </w:rPr>
        <w:t>4.4.2</w:t>
      </w:r>
      <w:bookmarkStart w:id="158" w:name="F32569957"/>
      <w:r w:rsidR="00190D26">
        <w:rPr>
          <w:b/>
        </w:rPr>
        <w:tab/>
      </w:r>
      <w:r>
        <w:rPr>
          <w:b/>
        </w:rPr>
        <w:t>O entitate nu trebuie să reclasifice nicio datorie financiară.</w:t>
      </w:r>
      <w:bookmarkEnd w:id="158"/>
    </w:p>
    <w:p w:rsidR="00AC292A" w:rsidRDefault="00AC292A">
      <w:pPr>
        <w:pStyle w:val="IASBNormalnpara"/>
      </w:pPr>
      <w:r>
        <w:t>4.4.3</w:t>
      </w:r>
      <w:r>
        <w:tab/>
      </w:r>
      <w:bookmarkStart w:id="159" w:name="F32569958"/>
      <w:r>
        <w:t>Următoarele modificări de circumstanţe nu reprezintă reclasificări în sensul punctelor 4.4.1-4.4.2:</w:t>
      </w:r>
      <w:bookmarkEnd w:id="159"/>
    </w:p>
    <w:p w:rsidR="00AC292A" w:rsidRDefault="00AC292A">
      <w:pPr>
        <w:pStyle w:val="IASBNormalnparaL1"/>
      </w:pPr>
      <w:r>
        <w:t>(a)</w:t>
      </w:r>
      <w:r>
        <w:tab/>
      </w:r>
      <w:bookmarkStart w:id="160" w:name="F32570017"/>
      <w:r>
        <w:t>un element care a fost anterior un instrument desemnat şi eficient de acoperire împotriva riscurilor într-o acoperire a fluxurilor de trezorerie împotriva riscurilor sau într-o acoperire a unei investiţii nete împotriva riscurilor nu mai îndeplineşte condiţiile ca atare;</w:t>
      </w:r>
      <w:bookmarkEnd w:id="160"/>
    </w:p>
    <w:p w:rsidR="00AC292A" w:rsidRDefault="00AC292A">
      <w:pPr>
        <w:pStyle w:val="IASBNormalnparaL1"/>
      </w:pPr>
      <w:r>
        <w:t>(b)</w:t>
      </w:r>
      <w:r>
        <w:tab/>
      </w:r>
      <w:bookmarkStart w:id="161" w:name="F32570019"/>
      <w:r>
        <w:t>un element devine un instrument desemnat şi eficient de acoperire împotriva riscurilor într-o acoperire a fluxurilor de trezorerie împotriva riscurilor sau într-o acoperire a investiţiei nete împotriva riscurilor; și</w:t>
      </w:r>
      <w:bookmarkEnd w:id="161"/>
    </w:p>
    <w:p w:rsidR="00AC292A" w:rsidRDefault="00AC292A">
      <w:pPr>
        <w:pStyle w:val="IASBNormalnparaL1"/>
      </w:pPr>
      <w:r>
        <w:t>(c)</w:t>
      </w:r>
      <w:r>
        <w:tab/>
      </w:r>
      <w:bookmarkStart w:id="162" w:name="F32570021"/>
      <w:r>
        <w:t>modificările evaluării în conformitate cu secţiunea 6.7.</w:t>
      </w:r>
      <w:bookmarkEnd w:id="162"/>
    </w:p>
    <w:p w:rsidR="00AC292A" w:rsidRDefault="00AC292A">
      <w:pPr>
        <w:pStyle w:val="IASBSectionTitle1NonInd"/>
        <w:pBdr>
          <w:bottom w:val="none" w:sz="0" w:space="0" w:color="auto"/>
        </w:pBdr>
      </w:pPr>
      <w:bookmarkStart w:id="163" w:name="F32570023"/>
      <w:r>
        <w:lastRenderedPageBreak/>
        <w:t>Capitolul 5 Evaluare</w:t>
      </w:r>
      <w:bookmarkEnd w:id="163"/>
    </w:p>
    <w:p w:rsidR="00AC292A" w:rsidRDefault="00AC292A">
      <w:pPr>
        <w:pStyle w:val="IASBSectionTitle1NonInd"/>
      </w:pPr>
      <w:bookmarkStart w:id="164" w:name="F32570025"/>
      <w:r>
        <w:t>5.1 Evaluarea iniţială</w:t>
      </w:r>
      <w:bookmarkEnd w:id="164"/>
    </w:p>
    <w:p w:rsidR="00AC292A" w:rsidRDefault="00AC292A">
      <w:pPr>
        <w:pStyle w:val="IASBNormalnpara"/>
        <w:rPr>
          <w:b/>
        </w:rPr>
      </w:pPr>
      <w:r>
        <w:rPr>
          <w:b/>
        </w:rPr>
        <w:t>5.1.1</w:t>
      </w:r>
      <w:bookmarkStart w:id="165" w:name="F32570026"/>
      <w:r w:rsidR="00190D26">
        <w:rPr>
          <w:b/>
        </w:rPr>
        <w:tab/>
      </w:r>
      <w:r>
        <w:rPr>
          <w:b/>
        </w:rPr>
        <w:t xml:space="preserve">Cu excepţia creanţelor comerciale care intră sub incidenţa punctului 5.1.3, la recunoaşterea iniţială, o entitate trebuie să evalueze un activ financiar sau o datorie financiară la valoarea sa justă plus sau minus, în cazul unui activ financiar sau al unei datorii financiare care nu este la valoarea justă prin profit sau pierdere, </w:t>
      </w:r>
      <w:r>
        <w:rPr>
          <w:b/>
          <w:i/>
        </w:rPr>
        <w:t>costurile tranzacţiei</w:t>
      </w:r>
      <w:r>
        <w:rPr>
          <w:b/>
        </w:rPr>
        <w:t xml:space="preserve"> care sunt direct atribuibile achiziţiei sau emisiunii activului financiar sau datoriei financiare.</w:t>
      </w:r>
      <w:bookmarkEnd w:id="165"/>
    </w:p>
    <w:p w:rsidR="00AC292A" w:rsidRDefault="00AC292A">
      <w:pPr>
        <w:pStyle w:val="IASBNormalnpara"/>
        <w:rPr>
          <w:b/>
        </w:rPr>
      </w:pPr>
      <w:r>
        <w:rPr>
          <w:b/>
        </w:rPr>
        <w:t>5.1.1</w:t>
      </w:r>
      <w:r w:rsidR="00190D26">
        <w:rPr>
          <w:b/>
        </w:rPr>
        <w:tab/>
      </w:r>
      <w:r>
        <w:rPr>
          <w:b/>
        </w:rPr>
        <w:t>A</w:t>
      </w:r>
      <w:bookmarkStart w:id="166" w:name="F32570027"/>
      <w:r>
        <w:rPr>
          <w:b/>
        </w:rPr>
        <w:t>Totuși, dacă valoarea justă a activului financiar sau a datoriei financiare la recunoaşterea iniţială este diferită de preţul tranzacţiei, o entitate trebuie să aplice punctul B5.1.2A.</w:t>
      </w:r>
      <w:bookmarkEnd w:id="166"/>
    </w:p>
    <w:p w:rsidR="00AC292A" w:rsidRDefault="00AC292A">
      <w:pPr>
        <w:pStyle w:val="IASBNormalnpara"/>
      </w:pPr>
      <w:r>
        <w:t>5.1.2</w:t>
      </w:r>
      <w:r>
        <w:tab/>
      </w:r>
      <w:bookmarkStart w:id="167" w:name="F32570028"/>
      <w:r>
        <w:t>Atunci când o entitate utilizează contabilizarea la data decontării pentru un activ care apoi este evaluat la costul amortizat, activul este recunoscut iniţial la valoarea sa justă de la data tranzacţionării (a se vedea punctele B3.1.3-B3.1.6).</w:t>
      </w:r>
      <w:bookmarkEnd w:id="167"/>
    </w:p>
    <w:p w:rsidR="00AC292A" w:rsidRDefault="00AC292A">
      <w:pPr>
        <w:pStyle w:val="IASBNormalnpara"/>
      </w:pPr>
      <w:r>
        <w:t>5.1.3</w:t>
      </w:r>
      <w:r>
        <w:tab/>
      </w:r>
      <w:bookmarkStart w:id="168" w:name="F32570029"/>
      <w:r>
        <w:t>În pofida dispoziției de la punctul 5.1.1, la recunoașterea inițială, o entitate trebuie să evalueze creanţele comerciale la preţul tranzacţiei acestora (conform definiției din IFRS 15) atunci când creanţa comercială nu conține o componentă de finanțare semnificativă în conformitate cu IFRS 15 (sau atunci când entitatea aplică soluția practică în conformitate cu punctul 63 din IFRS 15).</w:t>
      </w:r>
      <w:bookmarkEnd w:id="168"/>
    </w:p>
    <w:p w:rsidR="00AC292A" w:rsidRDefault="00AC292A">
      <w:pPr>
        <w:pStyle w:val="IASBSectionTitle1NonInd"/>
      </w:pPr>
      <w:bookmarkStart w:id="169" w:name="F32570031"/>
      <w:r>
        <w:t>5.2 Evaluarea ulterioară a activelor financiare</w:t>
      </w:r>
      <w:bookmarkEnd w:id="169"/>
    </w:p>
    <w:p w:rsidR="00AC292A" w:rsidRDefault="00AC292A">
      <w:pPr>
        <w:pStyle w:val="IASBNormalnpara"/>
        <w:rPr>
          <w:b/>
        </w:rPr>
      </w:pPr>
      <w:r>
        <w:rPr>
          <w:b/>
        </w:rPr>
        <w:t>5.2.1</w:t>
      </w:r>
      <w:bookmarkStart w:id="170" w:name="F32570032"/>
      <w:r w:rsidR="00190D26">
        <w:rPr>
          <w:b/>
        </w:rPr>
        <w:tab/>
      </w:r>
      <w:r>
        <w:rPr>
          <w:b/>
        </w:rPr>
        <w:t>După recunoaşterea iniţială, o entitate trebuie să evalueze un activ financiar în conformitate cu punctele 4.1.1-4.1.5 la:</w:t>
      </w:r>
      <w:bookmarkEnd w:id="170"/>
    </w:p>
    <w:p w:rsidR="00AC292A" w:rsidRDefault="00AC292A">
      <w:pPr>
        <w:pStyle w:val="IASBNormalnparaL1"/>
        <w:rPr>
          <w:b/>
        </w:rPr>
      </w:pPr>
      <w:r>
        <w:rPr>
          <w:b/>
        </w:rPr>
        <w:t>(a)</w:t>
      </w:r>
      <w:bookmarkStart w:id="171" w:name="F32570035"/>
      <w:r>
        <w:rPr>
          <w:b/>
        </w:rPr>
        <w:t>costul amortizat;</w:t>
      </w:r>
      <w:bookmarkEnd w:id="171"/>
    </w:p>
    <w:p w:rsidR="00AC292A" w:rsidRDefault="00AC292A">
      <w:pPr>
        <w:pStyle w:val="IASBNormalnparaL1"/>
        <w:rPr>
          <w:b/>
        </w:rPr>
      </w:pPr>
      <w:r>
        <w:rPr>
          <w:b/>
        </w:rPr>
        <w:t>(b)</w:t>
      </w:r>
      <w:bookmarkStart w:id="172" w:name="F32570037"/>
      <w:r>
        <w:rPr>
          <w:b/>
        </w:rPr>
        <w:t>valoarea justă prin alte elemente ale rezultatului global; sau</w:t>
      </w:r>
      <w:bookmarkEnd w:id="172"/>
    </w:p>
    <w:p w:rsidR="00AC292A" w:rsidRDefault="00AC292A">
      <w:pPr>
        <w:pStyle w:val="IASBNormalnparaL1"/>
        <w:rPr>
          <w:b/>
        </w:rPr>
      </w:pPr>
      <w:r>
        <w:rPr>
          <w:b/>
        </w:rPr>
        <w:t>(c)</w:t>
      </w:r>
      <w:bookmarkStart w:id="173" w:name="F32570039"/>
      <w:r>
        <w:rPr>
          <w:b/>
        </w:rPr>
        <w:t>valoarea justă prin profit sau pierdere.</w:t>
      </w:r>
      <w:bookmarkEnd w:id="173"/>
    </w:p>
    <w:p w:rsidR="00AC292A" w:rsidRDefault="00AC292A">
      <w:pPr>
        <w:pStyle w:val="IASBNormalnpara"/>
        <w:rPr>
          <w:b/>
        </w:rPr>
      </w:pPr>
      <w:r>
        <w:rPr>
          <w:b/>
        </w:rPr>
        <w:t>5.2.2</w:t>
      </w:r>
      <w:bookmarkStart w:id="174" w:name="F32570040"/>
      <w:r w:rsidR="00190D26">
        <w:rPr>
          <w:b/>
        </w:rPr>
        <w:tab/>
      </w:r>
      <w:r>
        <w:rPr>
          <w:b/>
        </w:rPr>
        <w:t>O entitate trebuie să aplice dispoziţiile privind deprecierea de la secţiunea 5.5 pentru activele financiare care sunt evaluate la costul amortizat în conformitate cu punctul 4.1.2 şi pentru activele financiare care sunt evaluate la valoarea justă prin alte elemente ale rezultatului global în conformitate cu punctul 4.1.2A.</w:t>
      </w:r>
      <w:bookmarkEnd w:id="174"/>
    </w:p>
    <w:p w:rsidR="00AC292A" w:rsidRDefault="00AC292A">
      <w:pPr>
        <w:pStyle w:val="IASBNormalnpara"/>
        <w:rPr>
          <w:b/>
        </w:rPr>
      </w:pPr>
      <w:r>
        <w:rPr>
          <w:b/>
        </w:rPr>
        <w:t>5.2.3</w:t>
      </w:r>
      <w:bookmarkStart w:id="175" w:name="F32570041"/>
      <w:r w:rsidR="00190D26">
        <w:rPr>
          <w:b/>
        </w:rPr>
        <w:tab/>
      </w:r>
      <w:r>
        <w:rPr>
          <w:b/>
        </w:rPr>
        <w:t xml:space="preserve">O entitate trebuie să aplice dispoziţiile privind contabilitatea de acoperire împotriva riscurilor de la punctele 6.5.8-6.5.14 (şi, dacă se aplică, punctele 89-94 din IAS 39 </w:t>
      </w:r>
      <w:r>
        <w:rPr>
          <w:b/>
          <w:i/>
        </w:rPr>
        <w:t>Instrumente financiare: recunoaştere şi evaluare</w:t>
      </w:r>
      <w:r>
        <w:rPr>
          <w:b/>
        </w:rPr>
        <w:t xml:space="preserve"> pentru contabilitatea de acoperire a valorii juste împotriva riscurilor în cazul acoperirii unui portofoliu împotriva riscului ratei dobânzii) în cazul unui activ financiar desemnat drept element acoperit împotriva riscurilor.</w:t>
      </w:r>
      <w:r>
        <w:rPr>
          <w:rStyle w:val="FootnoteReference"/>
        </w:rPr>
        <w:footnoteReference w:id="1"/>
      </w:r>
      <w:bookmarkEnd w:id="175"/>
    </w:p>
    <w:p w:rsidR="00AC292A" w:rsidRDefault="00AC292A">
      <w:pPr>
        <w:pStyle w:val="IASBSectionTitle1NonInd"/>
      </w:pPr>
      <w:bookmarkStart w:id="176" w:name="F32570043"/>
      <w:r>
        <w:t>5.3 Evaluarea ulterioară a datoriilor financiare</w:t>
      </w:r>
      <w:bookmarkEnd w:id="176"/>
    </w:p>
    <w:p w:rsidR="00AC292A" w:rsidRDefault="00AC292A">
      <w:pPr>
        <w:pStyle w:val="IASBNormalnpara"/>
        <w:rPr>
          <w:b/>
        </w:rPr>
      </w:pPr>
      <w:r>
        <w:rPr>
          <w:b/>
        </w:rPr>
        <w:t>5.3.1</w:t>
      </w:r>
      <w:bookmarkStart w:id="177" w:name="F32570044"/>
      <w:r w:rsidR="00190D26">
        <w:rPr>
          <w:b/>
        </w:rPr>
        <w:tab/>
      </w:r>
      <w:r>
        <w:rPr>
          <w:b/>
        </w:rPr>
        <w:t>După recunoaşterea iniţială, o entitate trebuie să evalueze o datorie financiară în conformitate cu punctele 4.2.1-4.2.2.</w:t>
      </w:r>
      <w:bookmarkEnd w:id="177"/>
    </w:p>
    <w:p w:rsidR="00AC292A" w:rsidRDefault="00AC292A">
      <w:pPr>
        <w:pStyle w:val="IASBNormalnpara"/>
        <w:rPr>
          <w:b/>
        </w:rPr>
      </w:pPr>
      <w:r>
        <w:rPr>
          <w:b/>
        </w:rPr>
        <w:t>5.3.2</w:t>
      </w:r>
      <w:bookmarkStart w:id="178" w:name="F32570045"/>
      <w:r w:rsidR="00190D26">
        <w:rPr>
          <w:b/>
        </w:rPr>
        <w:tab/>
      </w:r>
      <w:r>
        <w:rPr>
          <w:b/>
        </w:rPr>
        <w:t>O entitate trebuie să aplice dispoziţiile privind contabilitatea de acoperire împotriva riscurilor de la punctele 6.5.8-6.5.14 (şi, dacă se aplică, de la punctele 89-94 din IAS 39 pentru contabilitatea de acoperire a valorii juste împotriva riscurilor în cazul acoperirii unui portofoliu  împotriva riscului ratei dobânzii) în cazul unei datorii financiare desemnate drept element acoperit împotriva riscurilor.</w:t>
      </w:r>
      <w:bookmarkEnd w:id="178"/>
    </w:p>
    <w:p w:rsidR="00AC292A" w:rsidRDefault="00AC292A">
      <w:pPr>
        <w:pStyle w:val="IASBSectionTitle1NonInd"/>
      </w:pPr>
      <w:bookmarkStart w:id="179" w:name="F32570047"/>
      <w:r>
        <w:lastRenderedPageBreak/>
        <w:t>5.4 Evaluarea la costul amortizat</w:t>
      </w:r>
      <w:bookmarkEnd w:id="179"/>
    </w:p>
    <w:p w:rsidR="00AC292A" w:rsidRDefault="00AC292A">
      <w:pPr>
        <w:pStyle w:val="IASBSectionTitle2Ind"/>
      </w:pPr>
      <w:bookmarkStart w:id="180" w:name="F32570049"/>
      <w:r>
        <w:t>Active financiare</w:t>
      </w:r>
      <w:bookmarkEnd w:id="180"/>
    </w:p>
    <w:p w:rsidR="00AC292A" w:rsidRDefault="00AC292A">
      <w:pPr>
        <w:pStyle w:val="IASBSectionTitle3Ind"/>
      </w:pPr>
      <w:bookmarkStart w:id="181" w:name="F32570051"/>
      <w:r>
        <w:t>Metoda dobânzii efective</w:t>
      </w:r>
      <w:bookmarkEnd w:id="181"/>
    </w:p>
    <w:p w:rsidR="00AC292A" w:rsidRDefault="00AC292A">
      <w:pPr>
        <w:pStyle w:val="IASBNormalnpara"/>
        <w:rPr>
          <w:b/>
        </w:rPr>
      </w:pPr>
      <w:r>
        <w:rPr>
          <w:b/>
        </w:rPr>
        <w:t>5.4.1</w:t>
      </w:r>
      <w:bookmarkStart w:id="182" w:name="F32570052"/>
      <w:r w:rsidR="00190D26">
        <w:rPr>
          <w:b/>
        </w:rPr>
        <w:tab/>
      </w:r>
      <w:r>
        <w:rPr>
          <w:b/>
        </w:rPr>
        <w:t>Venitul din dobândă trebuie calculat utilizând</w:t>
      </w:r>
      <w:r>
        <w:rPr>
          <w:b/>
          <w:i/>
        </w:rPr>
        <w:t xml:space="preserve"> metoda dobânzii efective </w:t>
      </w:r>
      <w:r>
        <w:rPr>
          <w:b/>
        </w:rPr>
        <w:t xml:space="preserve">(a se vedea Anexa A şi punctele B5.4.1-B5.4.7). Acesta trebuie calculat prin aplicarea </w:t>
      </w:r>
      <w:r>
        <w:rPr>
          <w:b/>
          <w:i/>
        </w:rPr>
        <w:t xml:space="preserve">ratei dobânzii efective </w:t>
      </w:r>
      <w:r>
        <w:rPr>
          <w:b/>
        </w:rPr>
        <w:t>pentru</w:t>
      </w:r>
      <w:r>
        <w:rPr>
          <w:b/>
          <w:i/>
        </w:rPr>
        <w:t xml:space="preserve"> valoarea contabilă brută a unui activ financiar</w:t>
      </w:r>
      <w:r>
        <w:rPr>
          <w:b/>
        </w:rPr>
        <w:t xml:space="preserve">, cu excepţia: </w:t>
      </w:r>
      <w:bookmarkEnd w:id="182"/>
    </w:p>
    <w:p w:rsidR="00AC292A" w:rsidRDefault="00AC292A">
      <w:pPr>
        <w:pStyle w:val="IASBNormalnparaL1"/>
        <w:rPr>
          <w:b/>
        </w:rPr>
      </w:pPr>
      <w:r>
        <w:rPr>
          <w:b/>
        </w:rPr>
        <w:t>(a)</w:t>
      </w:r>
      <w:bookmarkStart w:id="183" w:name="F32570055"/>
      <w:r w:rsidR="00190D26">
        <w:rPr>
          <w:b/>
        </w:rPr>
        <w:tab/>
      </w:r>
      <w:r>
        <w:rPr>
          <w:b/>
          <w:i/>
        </w:rPr>
        <w:t xml:space="preserve">activelor financiare achiziţionate sau emise depreciate ca urmare a riscului de credit. </w:t>
      </w:r>
      <w:r>
        <w:rPr>
          <w:b/>
        </w:rPr>
        <w:t xml:space="preserve"> Pentru acele active financiare, entitatea trebuie să aplice </w:t>
      </w:r>
      <w:r>
        <w:rPr>
          <w:b/>
          <w:i/>
        </w:rPr>
        <w:t>rata dobânzii efective ajustată în funcţie de credit</w:t>
      </w:r>
      <w:r>
        <w:rPr>
          <w:b/>
        </w:rPr>
        <w:t xml:space="preserve"> pentru </w:t>
      </w:r>
      <w:r>
        <w:rPr>
          <w:b/>
          <w:i/>
        </w:rPr>
        <w:t xml:space="preserve">costul amortizat al activului financiar </w:t>
      </w:r>
      <w:r>
        <w:rPr>
          <w:b/>
        </w:rPr>
        <w:t>de la recunoaşterea iniţială.</w:t>
      </w:r>
      <w:bookmarkEnd w:id="183"/>
    </w:p>
    <w:p w:rsidR="00AC292A" w:rsidRDefault="00AC292A">
      <w:pPr>
        <w:pStyle w:val="IASBNormalnparaL1"/>
        <w:rPr>
          <w:b/>
        </w:rPr>
      </w:pPr>
      <w:r>
        <w:rPr>
          <w:b/>
        </w:rPr>
        <w:t>(b)</w:t>
      </w:r>
      <w:bookmarkStart w:id="184" w:name="F32570057"/>
      <w:r w:rsidR="00190D26">
        <w:rPr>
          <w:b/>
        </w:rPr>
        <w:tab/>
      </w:r>
      <w:r>
        <w:rPr>
          <w:b/>
        </w:rPr>
        <w:t xml:space="preserve">activelor financiare care nu sunt achiziţionate sau emise depreciate ca urmare a riscului de credit, dar care ulterior au devenit </w:t>
      </w:r>
      <w:r>
        <w:rPr>
          <w:b/>
          <w:i/>
        </w:rPr>
        <w:t>active financiare depreciate ca urmare a riscului de credit</w:t>
      </w:r>
      <w:r>
        <w:rPr>
          <w:b/>
        </w:rPr>
        <w:t>. Pentru acele active financiare, entitatea trebuie să aplice rata dobânzii efective pentru costul amortizat al activului financiar în perioade de raportare ulterioare.</w:t>
      </w:r>
      <w:bookmarkEnd w:id="184"/>
    </w:p>
    <w:p w:rsidR="00AC292A" w:rsidRDefault="00AC292A">
      <w:pPr>
        <w:pStyle w:val="IASBNormalnpara"/>
      </w:pPr>
      <w:r>
        <w:t>5.4.2</w:t>
      </w:r>
      <w:r>
        <w:tab/>
      </w:r>
      <w:bookmarkStart w:id="185" w:name="F32570066"/>
      <w:r>
        <w:t>O entitate care, într-o perioadă de raportare, calculează venitul din dobândă prin aplicarea metodei dobânzii efective pentru costul amortizat al unui activ financiar în conformitate cu punctul 5.4.1 litera (b) trebuie, în perioadele de raportare ulterioare, să calculeze venitul din dobândă prin aplicarea ratei dobânzii efective pentru valoarea contabilă brută dacă riscul de credit asupra instrumentului financiar se îmbunătăţeşte astfel încât activul financiar nu mai este depreciat ca urmare a riscului de credit, iar îmbunătăţirea poate fi asociată obiectiv unui eveniment survenit după aplicarea dispoziţiilor de la punctul 5.4.1 litera (b) (precum o îmbunătăţire a ratingului de credit al debitorului).</w:t>
      </w:r>
      <w:bookmarkEnd w:id="185"/>
    </w:p>
    <w:p w:rsidR="00AC292A" w:rsidRDefault="00AC292A">
      <w:pPr>
        <w:pStyle w:val="IASBSectionTitle3Ind"/>
      </w:pPr>
      <w:bookmarkStart w:id="186" w:name="F32570068"/>
      <w:r>
        <w:t>Modificarea fluxurilor de trezorerie contractuale</w:t>
      </w:r>
      <w:bookmarkEnd w:id="186"/>
    </w:p>
    <w:p w:rsidR="00AC292A" w:rsidRDefault="00AC292A">
      <w:pPr>
        <w:pStyle w:val="IASBNormalnpara"/>
      </w:pPr>
      <w:r>
        <w:t>5.4.3</w:t>
      </w:r>
      <w:r>
        <w:tab/>
      </w:r>
      <w:bookmarkStart w:id="187" w:name="F32570069"/>
      <w:r>
        <w:t xml:space="preserve">Atunci când fluxurile de trezorerie contractuale ale unui activ financiar sunt renegociate sau modificate altfel şi renegocierea sau modificarea nu are ca rezultat derecunoaşterea activului financiar în conformitate cu prezentul standard, o entitate trebuie să recalculeze valoarea contabilă brută a activului financiar şi trebuie să recunoască </w:t>
      </w:r>
      <w:r>
        <w:rPr>
          <w:i/>
        </w:rPr>
        <w:t xml:space="preserve">un câștig sau o pierdere din modificare </w:t>
      </w:r>
      <w:r>
        <w:t>în profit sau pierdere. Valoarea contabilă a activului financiar trebuie recalculată drept valoarea actualizată a fluxurilor de trezorerie contractuale renegociate sau modificate care sunt actualizate la rata inițială a dobânzii efective a activului financiar (sau rata dobânzii efective ajustată în funcţie de credit pentru activele financiare achiziţionate sau emise depreciate ca urmare a riscului de credit) sau, atunci când este cazul, rata dobânzii efective revizuită în conformitate cu punctul 6.5.10. Orice costuri sau comisioane suportate ajustează valoarea contabilă a activului financiar modificat şi sunt amortizate pe parcursul termenului rămas al activului financiar modificat.</w:t>
      </w:r>
      <w:bookmarkEnd w:id="187"/>
    </w:p>
    <w:p w:rsidR="00AC292A" w:rsidRDefault="00AC292A">
      <w:pPr>
        <w:pStyle w:val="IASBSectionTitle3Ind"/>
      </w:pPr>
      <w:bookmarkStart w:id="188" w:name="F32570072"/>
      <w:r>
        <w:t>Eliminare</w:t>
      </w:r>
      <w:bookmarkEnd w:id="188"/>
    </w:p>
    <w:p w:rsidR="00AC292A" w:rsidRDefault="00AC292A">
      <w:pPr>
        <w:pStyle w:val="IASBNormalnpara"/>
        <w:rPr>
          <w:b/>
        </w:rPr>
      </w:pPr>
      <w:r>
        <w:rPr>
          <w:b/>
        </w:rPr>
        <w:t>5.4.4</w:t>
      </w:r>
      <w:bookmarkStart w:id="189" w:name="F32570073"/>
      <w:r w:rsidR="00190D26">
        <w:rPr>
          <w:b/>
        </w:rPr>
        <w:tab/>
      </w:r>
      <w:r>
        <w:rPr>
          <w:b/>
        </w:rPr>
        <w:t>O entitate trebuie să reducă direct valoarea contabilă brută a unui activ financiar atunci când entitatea nu are estimări rezonabile de recuperare a activului financiar parțial sau integral. O eliminare reprezintă un eveniment de derecunoaştere (a se vedea punctul B3.2.16 litera (r)).</w:t>
      </w:r>
      <w:bookmarkEnd w:id="189"/>
    </w:p>
    <w:p w:rsidR="00AC292A" w:rsidRDefault="00AC292A">
      <w:pPr>
        <w:pStyle w:val="IASBSectionTitle1NonInd"/>
      </w:pPr>
      <w:bookmarkStart w:id="190" w:name="F32570075"/>
      <w:r>
        <w:t>5.5 Depreciere</w:t>
      </w:r>
      <w:bookmarkEnd w:id="190"/>
    </w:p>
    <w:p w:rsidR="00AC292A" w:rsidRDefault="00AC292A">
      <w:pPr>
        <w:pStyle w:val="IASBSectionTitle2Ind"/>
      </w:pPr>
      <w:bookmarkStart w:id="191" w:name="F32570077"/>
      <w:r>
        <w:t>Recunoaşterea pierderilor din creditare preconizate</w:t>
      </w:r>
      <w:bookmarkEnd w:id="191"/>
    </w:p>
    <w:p w:rsidR="00AC292A" w:rsidRDefault="00AC292A">
      <w:pPr>
        <w:pStyle w:val="IASBSectionTitle3Ind"/>
      </w:pPr>
      <w:bookmarkStart w:id="192" w:name="F32570079"/>
      <w:r>
        <w:t>Abordare generală</w:t>
      </w:r>
      <w:bookmarkEnd w:id="192"/>
    </w:p>
    <w:p w:rsidR="00AC292A" w:rsidRDefault="00AC292A">
      <w:pPr>
        <w:pStyle w:val="IASBNormalnpara"/>
        <w:rPr>
          <w:b/>
        </w:rPr>
      </w:pPr>
      <w:r>
        <w:rPr>
          <w:b/>
        </w:rPr>
        <w:t>5.5.1</w:t>
      </w:r>
      <w:bookmarkStart w:id="193" w:name="F32570080"/>
      <w:r w:rsidR="00190D26">
        <w:rPr>
          <w:b/>
        </w:rPr>
        <w:tab/>
      </w:r>
      <w:r>
        <w:rPr>
          <w:b/>
        </w:rPr>
        <w:t xml:space="preserve">O entitate trebuie să recunoască o ajustare pentru pierderi pentru </w:t>
      </w:r>
      <w:r>
        <w:rPr>
          <w:b/>
          <w:i/>
        </w:rPr>
        <w:t>pierderile din creditare preconizate</w:t>
      </w:r>
      <w:r>
        <w:rPr>
          <w:b/>
        </w:rPr>
        <w:t xml:space="preserve"> aferente unui activ financiar care este evaluat în conformitate cu punctul 4.1.2 sau punctul 4.1.2A, o creanţă care decurge dintr-un contract de leasing, un </w:t>
      </w:r>
      <w:r>
        <w:rPr>
          <w:b/>
          <w:i/>
        </w:rPr>
        <w:t>activ aferent contractului</w:t>
      </w:r>
      <w:r>
        <w:rPr>
          <w:b/>
        </w:rPr>
        <w:t xml:space="preserve"> sau un angajament de </w:t>
      </w:r>
      <w:r>
        <w:rPr>
          <w:b/>
        </w:rPr>
        <w:lastRenderedPageBreak/>
        <w:t>creditare şi un contract de garanţie financiară cărora li se aplică dispoziţiile privind deprecierea în conformitate cu punctele 2.1 litera (g), 4.2.1 litera (c) sau 4.2.1 litera (d).</w:t>
      </w:r>
      <w:bookmarkEnd w:id="193"/>
    </w:p>
    <w:p w:rsidR="00AC292A" w:rsidRDefault="00AC292A">
      <w:pPr>
        <w:pStyle w:val="IASBNormalnpara"/>
      </w:pPr>
      <w:r>
        <w:t>5.5.2</w:t>
      </w:r>
      <w:r>
        <w:tab/>
      </w:r>
      <w:bookmarkStart w:id="194" w:name="F32570083"/>
      <w:r>
        <w:t>O entitate trebuie să aplice dispoziţiile privind deprecierea pentru recunoaşterea şi evaluarea unei ajustări pentru pierderi pentru activele financiare care sunt evaluate la valoarea justă prin alte elemente ale rezultatului global în conformitate cu punctul 4.1.2A. Cu toate acestea, ajustarea pentru pierderi trebuie recunoscută în alte elemente ale rezultatului global şi nu trebuie să reducă valoarea contabilă a activului financiar în situaţia poziţiei financiare.</w:t>
      </w:r>
      <w:bookmarkEnd w:id="194"/>
    </w:p>
    <w:p w:rsidR="00AC292A" w:rsidRDefault="00AC292A">
      <w:pPr>
        <w:pStyle w:val="IASBNormalnpara"/>
        <w:rPr>
          <w:b/>
        </w:rPr>
      </w:pPr>
      <w:r>
        <w:rPr>
          <w:b/>
        </w:rPr>
        <w:t>5.5.3</w:t>
      </w:r>
      <w:bookmarkStart w:id="195" w:name="F32570084"/>
      <w:r w:rsidR="00190D26">
        <w:rPr>
          <w:b/>
        </w:rPr>
        <w:tab/>
      </w:r>
      <w:r>
        <w:rPr>
          <w:b/>
        </w:rPr>
        <w:t xml:space="preserve">Sub rezerva punctelor 5.5.13-5.5.16, la fiecare dată de raportare, o entitate trebuie să evalueze ajustarea pentru pierderi aferentă unui instrument financiar la o valoare egală cu </w:t>
      </w:r>
      <w:r>
        <w:rPr>
          <w:b/>
          <w:i/>
        </w:rPr>
        <w:t xml:space="preserve">pierderile din creditare preconizate pe toată durata de viață </w:t>
      </w:r>
      <w:r>
        <w:rPr>
          <w:b/>
        </w:rPr>
        <w:t xml:space="preserve">dacă riscul de credit aferent instrumentului financiar respectiv a crescut semnificativ de la recunoaşterea iniţială. </w:t>
      </w:r>
      <w:bookmarkEnd w:id="195"/>
    </w:p>
    <w:p w:rsidR="00AC292A" w:rsidRDefault="00AC292A">
      <w:pPr>
        <w:pStyle w:val="IASBNormalnpara"/>
      </w:pPr>
      <w:r>
        <w:t>5.5.4</w:t>
      </w:r>
      <w:r>
        <w:tab/>
      </w:r>
      <w:bookmarkStart w:id="196" w:name="F32570086"/>
      <w:r>
        <w:t>Obiectivul dispoziţiilor privind deprecierea este de a recunoaşte pierderile din creditare preconizate pe toată durata de viață pentru toate instrumentele financiare pentru care au existat creşteri semnificative în riscul de credit de la recunoaşterea inițială – indiferent dacă sunt tratate pe o bază individuală sau colectivă – luând în considerare toate informaţiile rezonabile şi justificabile, inclusiv cele previzionale.</w:t>
      </w:r>
      <w:bookmarkEnd w:id="196"/>
    </w:p>
    <w:p w:rsidR="00AC292A" w:rsidRDefault="00AC292A">
      <w:pPr>
        <w:pStyle w:val="IASBNormalnpara"/>
        <w:rPr>
          <w:b/>
        </w:rPr>
      </w:pPr>
      <w:r>
        <w:rPr>
          <w:b/>
        </w:rPr>
        <w:t>5.5.5</w:t>
      </w:r>
      <w:bookmarkStart w:id="197" w:name="F32570087"/>
      <w:r w:rsidR="00190D26">
        <w:rPr>
          <w:b/>
        </w:rPr>
        <w:tab/>
      </w:r>
      <w:r>
        <w:rPr>
          <w:b/>
        </w:rPr>
        <w:t xml:space="preserve">Sub rezerva punctelor 5.5.13-5.5.16, dacă, la data raportării, riscul de credit pentru un instrument financiar nu a crescut semnificativ de la recunoaşterea iniţială, o entitate trebuie să evalueze ajustarea pentru pierderi pentru acel instrument financiar la o valoare egală cu </w:t>
      </w:r>
      <w:r>
        <w:rPr>
          <w:b/>
          <w:i/>
        </w:rPr>
        <w:t>pierderile din creditare preconizate pe 12 luni</w:t>
      </w:r>
      <w:r>
        <w:rPr>
          <w:b/>
        </w:rPr>
        <w:t>.</w:t>
      </w:r>
      <w:bookmarkEnd w:id="197"/>
    </w:p>
    <w:p w:rsidR="00AC292A" w:rsidRDefault="00AC292A">
      <w:pPr>
        <w:pStyle w:val="IASBNormalnpara"/>
      </w:pPr>
      <w:r>
        <w:t>5.5.6</w:t>
      </w:r>
      <w:r>
        <w:tab/>
      </w:r>
      <w:bookmarkStart w:id="198" w:name="F32570090"/>
      <w:r>
        <w:t>Pentru angajamentele de creditare şi contractele de garanţie financiară, data la care entitatea devine parte a angajamentului irevocabil trebuie considerată ca fiind data recunoaşterii iniţiale în sensul aplicării dispoziţiilor privind deprecierea.</w:t>
      </w:r>
      <w:bookmarkEnd w:id="198"/>
    </w:p>
    <w:p w:rsidR="00AC292A" w:rsidRDefault="00AC292A">
      <w:pPr>
        <w:pStyle w:val="IASBNormalnpara"/>
      </w:pPr>
      <w:r>
        <w:t>5.5.7</w:t>
      </w:r>
      <w:r>
        <w:tab/>
      </w:r>
      <w:bookmarkStart w:id="199" w:name="F32570091"/>
      <w:r>
        <w:t>Dacă o entitate a evaluat ajustarea pentru pierderi pentru un instrument financiar la o valoare egală cu pierderile din creditare preconizate pe toată durata de viață în perioada de raportare anterioară, dar stabileşte la data de raportare curentă că nu se mai aplică punctul 5.5.3, entitatea trebuie să evalueze ajustarea pentru pierderi la o valoare egală cu pierderile din creditare preconizate pentru 12 luni la data de raportare curentă.</w:t>
      </w:r>
      <w:bookmarkEnd w:id="199"/>
    </w:p>
    <w:p w:rsidR="00AC292A" w:rsidRDefault="00AC292A">
      <w:pPr>
        <w:pStyle w:val="IASBNormalnpara"/>
      </w:pPr>
      <w:r>
        <w:t>5.5.8</w:t>
      </w:r>
      <w:r>
        <w:tab/>
      </w:r>
      <w:bookmarkStart w:id="200" w:name="F32570092"/>
      <w:r>
        <w:t xml:space="preserve">O entitate trebuie să recunoască în profit sau pierdere, drept </w:t>
      </w:r>
      <w:r>
        <w:rPr>
          <w:i/>
        </w:rPr>
        <w:t>câştig sau pierdere din depreciere</w:t>
      </w:r>
      <w:r>
        <w:t>, valoarea pierderilor din creditare preconizate (sau reluarea) care este impusă pentru a modifica ajustarea pentru pierderi la data de raportare în valoarea care trebuie recunoscută în conformitate cu prezentul standard.</w:t>
      </w:r>
      <w:bookmarkEnd w:id="200"/>
    </w:p>
    <w:p w:rsidR="00AC292A" w:rsidRDefault="00AC292A">
      <w:pPr>
        <w:pStyle w:val="IASBSectionTitle3Ind"/>
      </w:pPr>
      <w:bookmarkStart w:id="201" w:name="F32570094"/>
      <w:r>
        <w:t>Determinarea creşterilor semnificative ale riscului de credit</w:t>
      </w:r>
      <w:bookmarkEnd w:id="201"/>
    </w:p>
    <w:p w:rsidR="00AC292A" w:rsidRDefault="00AC292A">
      <w:pPr>
        <w:pStyle w:val="IASBNormalnpara"/>
      </w:pPr>
      <w:r>
        <w:t>5.5.9</w:t>
      </w:r>
      <w:r>
        <w:tab/>
      </w:r>
      <w:bookmarkStart w:id="202" w:name="F32570095"/>
      <w:r>
        <w:t>La fiecare dată de raportare, o entitate trebuie să evalueze dacă riscul de credit pentru un instrument financiar a crescut semnificativ de la recunoaşterea iniţială. Atunci când efectuează această evaluare o entitate trebuie să utilizeze modificarea riscului unei neîndepliniri a obligațiilor apărută pe parcursul duratei de viață preconizate a unui instrument financiar în loc de modificarea în valoarea pierderilor din creditare preconizate. Pentru a realiza această evaluare, o entitate trebuie să compare riscul unei neîndepliniri a obligaţiilor survenite pentru un instrument financiar existent la data de raportare cu riscul unei neîndepliniri a obligaţiilor unui instrument financiar existent la data recunoaşterii iniţiale şi să ia în considerare informaţii rezonabile şi justificabile, care sunt disponibile fără cost sau efort nejustificat, care sunt un indicator al creşterilor semnificative în riscul de credit de la recunoaşterea iniţială.</w:t>
      </w:r>
      <w:bookmarkEnd w:id="202"/>
    </w:p>
    <w:p w:rsidR="00AC292A" w:rsidRDefault="00AC292A">
      <w:pPr>
        <w:pStyle w:val="IASBNormalnpara"/>
      </w:pPr>
      <w:r>
        <w:t>5.5.10</w:t>
      </w:r>
      <w:r>
        <w:tab/>
      </w:r>
      <w:bookmarkStart w:id="203" w:name="F32570096"/>
      <w:r>
        <w:t>O entitate poate presupune că riscul de credit pentru un instrument financiar nu a crescut semnificativ de la recunoaşterea iniţială dacă se stabilește că instrumentul financiar are un risc de credit scăzut la data de raportare (a se vedea punctele B5.5.22</w:t>
      </w:r>
      <w:r>
        <w:rPr>
          <w:rFonts w:ascii="Cambria Math" w:hAnsi="Cambria Math"/>
        </w:rPr>
        <w:t>‒</w:t>
      </w:r>
      <w:r>
        <w:t>B5.5.24).</w:t>
      </w:r>
      <w:bookmarkEnd w:id="203"/>
    </w:p>
    <w:p w:rsidR="00AC292A" w:rsidRDefault="00AC292A">
      <w:pPr>
        <w:pStyle w:val="IASBNormalnpara"/>
      </w:pPr>
      <w:r>
        <w:t>5.5.11</w:t>
      </w:r>
      <w:r>
        <w:tab/>
      </w:r>
      <w:bookmarkStart w:id="204" w:name="F32570097"/>
      <w:r>
        <w:t xml:space="preserve">Dacă informațiile cu caracter previzional rezonabile şi justificabile sunt disponibile fără cost sau efort nejustificat, o entitate nu se poate baza doar pe informațiile privind </w:t>
      </w:r>
      <w:r>
        <w:rPr>
          <w:i/>
        </w:rPr>
        <w:t>depășirea scadenței</w:t>
      </w:r>
      <w:r>
        <w:t xml:space="preserve"> la stabilirea măsurii în care riscul de credit a crescut semnificativ de la recunoaşterea iniţială. Cu toate acestea, atunci când informaţii care sunt mai previzionale decât situaţiile privind restanțele (pe o bază individuală sau colectivă) nu sunt disponibile fără cost sau efort nejustificat, o entitate poate utiliza informațiile privind depășirea scadenței pentru a stabili dacă au existat creşteri semnificative ale riscului de credit de la recunoaşterea iniţială. Indiferent de metoda prin care o entitate evaluează creşterile semnificative ale riscului de credit, există o prezumţie relativă că riscul de credit pentru un activ financiar a crescut semnificativ de la recunoaşterea iniţială atunci când plăţile contractuale sunt restante cu mai mult de 30 de zile. O entitate poate respinge această prezumţie dacă entitatea are informaţii rezonabile şi justificabile, care sunt disponibile fără cost sau efort nejustificat, care demonstrează faptul că riscul de credit nu a crescut semnificativ de la recunoaşterea iniţială deşi plăţile contractuale sunt restante cu mai mult de 30 de zile. Atunci când entitatea stabileşte că au existat creşteri semnificative în riscul de credit înainte ca plăţile contractuale să fie restante cu mai mult de 30 de zile, prezumţia relativă nu se aplică.</w:t>
      </w:r>
      <w:bookmarkEnd w:id="204"/>
    </w:p>
    <w:p w:rsidR="00AC292A" w:rsidRDefault="00AC292A">
      <w:pPr>
        <w:pStyle w:val="IASBSectionTitle3Ind"/>
      </w:pPr>
      <w:bookmarkStart w:id="205" w:name="F32570099"/>
      <w:r>
        <w:lastRenderedPageBreak/>
        <w:t>Active financiare modificate</w:t>
      </w:r>
      <w:bookmarkEnd w:id="205"/>
    </w:p>
    <w:p w:rsidR="00AC292A" w:rsidRDefault="00AC292A">
      <w:pPr>
        <w:pStyle w:val="IASBNormalnpara"/>
      </w:pPr>
      <w:r>
        <w:t>5.5.12</w:t>
      </w:r>
      <w:r>
        <w:tab/>
      </w:r>
      <w:bookmarkStart w:id="206" w:name="F32570100"/>
      <w:r>
        <w:t>Dacă fluxurile de trezorerie contractuale ale unui activ financiar au fost renegociate sau modificate şi activul financiar nu a fost derecunoscut, o entitate trebuie să evalueze măsura în care a existat o creştere semnificativă a riscului de credit al instrumentului financiar în conformitate cu punctul 5.5.3 prin compararea:</w:t>
      </w:r>
      <w:bookmarkEnd w:id="206"/>
    </w:p>
    <w:p w:rsidR="00AC292A" w:rsidRDefault="00AC292A">
      <w:pPr>
        <w:pStyle w:val="IASBNormalnparaL1"/>
      </w:pPr>
      <w:r>
        <w:t>(a)</w:t>
      </w:r>
      <w:r>
        <w:tab/>
      </w:r>
      <w:bookmarkStart w:id="207" w:name="F32570103"/>
      <w:r>
        <w:t>riscului neîndeplinirii obligaţiilor apărut la data de raportare (pe baza termenelor contractuale modificate); și</w:t>
      </w:r>
      <w:bookmarkEnd w:id="207"/>
    </w:p>
    <w:p w:rsidR="00AC292A" w:rsidRDefault="00AC292A">
      <w:pPr>
        <w:pStyle w:val="IASBNormalnparaL1"/>
      </w:pPr>
      <w:r>
        <w:t>(b)</w:t>
      </w:r>
      <w:r>
        <w:tab/>
      </w:r>
      <w:bookmarkStart w:id="208" w:name="F32570105"/>
      <w:r>
        <w:t>riscului neîndeplinirii obligaţiilor apărut la recunoaşterea iniţială (pe baza termenelor contractuale originale nemodificate).</w:t>
      </w:r>
      <w:bookmarkEnd w:id="208"/>
    </w:p>
    <w:p w:rsidR="00AC292A" w:rsidRDefault="00AC292A">
      <w:pPr>
        <w:pStyle w:val="IASBSectionTitle3Ind"/>
      </w:pPr>
      <w:bookmarkStart w:id="209" w:name="F32570107"/>
      <w:r>
        <w:t>Active financiare achiziţionate sau emise depreciate ca urmare a riscului de credit</w:t>
      </w:r>
      <w:bookmarkEnd w:id="209"/>
    </w:p>
    <w:p w:rsidR="00AC292A" w:rsidRDefault="00AC292A">
      <w:pPr>
        <w:pStyle w:val="IASBNormalnpara"/>
        <w:rPr>
          <w:b/>
        </w:rPr>
      </w:pPr>
      <w:r>
        <w:rPr>
          <w:b/>
        </w:rPr>
        <w:t>5.5.13</w:t>
      </w:r>
      <w:r>
        <w:tab/>
      </w:r>
      <w:bookmarkStart w:id="210" w:name="F32570108"/>
      <w:r>
        <w:rPr>
          <w:b/>
        </w:rPr>
        <w:t>În ciuda punctelor 5.5.3 şi 5.5.5, la data de raportare, o entitate trebuie să recunoască doar modificările cumulate ale pierderilor din creditare preconizate pe toată durata de viață de la recunoaşterea iniţială drept ajustare pentru pierderi pentru activele financiare achiziţionate sau emise depreciate ca urmare a riscului de credit.</w:t>
      </w:r>
      <w:bookmarkEnd w:id="210"/>
    </w:p>
    <w:p w:rsidR="00AC292A" w:rsidRDefault="00AC292A">
      <w:pPr>
        <w:pStyle w:val="IASBNormalnpara"/>
      </w:pPr>
      <w:r>
        <w:t>5.5.14</w:t>
      </w:r>
      <w:r>
        <w:tab/>
      </w:r>
      <w:bookmarkStart w:id="211" w:name="F32570109"/>
      <w:r>
        <w:t>La fiecare dată de raportare, o entitate trebuie să recunoască în profit sau pierdere valoarea modificării pierderilor din creditare preconizate pe toată durata de viață drept câştig sau pierdere din depreciere. O entitate trebuie să recunoască modificările favorabile în pierderile din creditare preconizate pe toată durata de viață drept câştig din depreciere, chiar dacă pierderile din creditare preconizate pe toată durata de viață sunt mai mici decât valoarea pierderilor din creditare preconizate care au fost incluse în fluxurile de trezorerie estimate la recunoaşterea iniţială.</w:t>
      </w:r>
      <w:bookmarkEnd w:id="211"/>
    </w:p>
    <w:p w:rsidR="00AC292A" w:rsidRDefault="00AC292A">
      <w:pPr>
        <w:pStyle w:val="IASBSectionTitle2Ind"/>
      </w:pPr>
      <w:bookmarkStart w:id="212" w:name="F32570111"/>
      <w:r>
        <w:t>Abordare simplificată a creanţelor comerciale, a activelor aferente contractului şi a creanţelor care decurg din contracte de leasing</w:t>
      </w:r>
      <w:bookmarkEnd w:id="212"/>
    </w:p>
    <w:p w:rsidR="00AC292A" w:rsidRDefault="00AC292A">
      <w:pPr>
        <w:pStyle w:val="IASBNormalnpara"/>
        <w:rPr>
          <w:b/>
        </w:rPr>
      </w:pPr>
      <w:r>
        <w:rPr>
          <w:b/>
        </w:rPr>
        <w:t>5.5.15</w:t>
      </w:r>
      <w:bookmarkStart w:id="213" w:name="F46437780"/>
      <w:r w:rsidR="00190D26">
        <w:rPr>
          <w:b/>
        </w:rPr>
        <w:tab/>
      </w:r>
      <w:r>
        <w:rPr>
          <w:b/>
        </w:rPr>
        <w:t>În ciuda punctelor 5.5.3 şi 5.5.5, o entitate trebuie să evalueze întotdeauna ajustarea pentru pierderi la o valoare egală cu pierderile din creditare preconizate pe toată durata de viață pentru:</w:t>
      </w:r>
      <w:bookmarkEnd w:id="213"/>
    </w:p>
    <w:p w:rsidR="00AC292A" w:rsidRDefault="00AC292A">
      <w:pPr>
        <w:pStyle w:val="IASBNormalnparaL1"/>
        <w:rPr>
          <w:b/>
        </w:rPr>
      </w:pPr>
      <w:r>
        <w:rPr>
          <w:b/>
        </w:rPr>
        <w:t>(a)</w:t>
      </w:r>
      <w:bookmarkStart w:id="214" w:name="F46437787"/>
      <w:r w:rsidR="00190D26">
        <w:rPr>
          <w:b/>
        </w:rPr>
        <w:tab/>
      </w:r>
      <w:r>
        <w:rPr>
          <w:b/>
        </w:rPr>
        <w:t>creanţele comerciale sau activele aferente contractului care rezultă din tranzacţii ce intră sub incidenţa IFRS 15 şi care:</w:t>
      </w:r>
      <w:bookmarkEnd w:id="214"/>
    </w:p>
    <w:p w:rsidR="00AC292A" w:rsidRDefault="00AC292A">
      <w:pPr>
        <w:pStyle w:val="IASBNormalnparaL2"/>
        <w:rPr>
          <w:b/>
        </w:rPr>
      </w:pPr>
      <w:r>
        <w:rPr>
          <w:b/>
        </w:rPr>
        <w:t>(i)</w:t>
      </w:r>
      <w:bookmarkStart w:id="215" w:name="F46437797"/>
      <w:r w:rsidR="00190D26">
        <w:rPr>
          <w:b/>
        </w:rPr>
        <w:tab/>
      </w:r>
      <w:r>
        <w:rPr>
          <w:b/>
        </w:rPr>
        <w:t>nu conțin o componentă de finanțare semnificativă în conformitate cu IFRS 15 (sau atunci când entitatea aplică soluția practică în conformitate cu punctul 63 din IFRS 15); sau</w:t>
      </w:r>
      <w:bookmarkEnd w:id="215"/>
    </w:p>
    <w:p w:rsidR="00AC292A" w:rsidRDefault="00AC292A">
      <w:pPr>
        <w:pStyle w:val="IASBNormalnparaL2"/>
        <w:rPr>
          <w:b/>
        </w:rPr>
      </w:pPr>
      <w:r>
        <w:rPr>
          <w:b/>
        </w:rPr>
        <w:t>(ii)</w:t>
      </w:r>
      <w:bookmarkStart w:id="216" w:name="F46437800"/>
      <w:r w:rsidR="00190D26">
        <w:rPr>
          <w:b/>
        </w:rPr>
        <w:tab/>
      </w:r>
      <w:r>
        <w:rPr>
          <w:b/>
        </w:rPr>
        <w:t>conţin o componentă de finanțare semnificativă în conformitate cu IFRS 15, dacă entitatea alege ca politică contabilă să evalueze ajustarea pentru pierderi la o valoare egală cu pierderile din creditare preconizate pe toată durata de viață. Acea politică contabilă trebuie aplicată tuturor acestor creanţe comerciale sau active aferente contractului, dar poate fi aplicată separat creanţelor comerciale şi activelor aferente contractului.</w:t>
      </w:r>
      <w:bookmarkEnd w:id="216"/>
    </w:p>
    <w:p w:rsidR="00AC292A" w:rsidRDefault="00AC292A">
      <w:pPr>
        <w:pStyle w:val="IASBNormalnparaL1"/>
        <w:rPr>
          <w:b/>
        </w:rPr>
      </w:pPr>
      <w:r>
        <w:rPr>
          <w:b/>
        </w:rPr>
        <w:t>(b)</w:t>
      </w:r>
      <w:bookmarkStart w:id="217" w:name="F46437802"/>
      <w:r w:rsidR="00190D26">
        <w:rPr>
          <w:b/>
        </w:rPr>
        <w:tab/>
      </w:r>
      <w:r>
        <w:rPr>
          <w:b/>
        </w:rPr>
        <w:t>creanţele care decurg din contracte de leasing rezultate din tranzacţii ce intră sub incidența IFRS 16 dacă entitatea alege ca politică contabilă să evalueze ajustarea pentru pierderi la o valoare egală cu pierderile din creditare preconizate pe toată durata de viață. Acea politică contabilă trebuie aplicată tuturor creanţelor care decurg din contracte de leasing, dar poate fi aplicată separat creanţelor care decurg din contracte de leasing financiar și operațional.</w:t>
      </w:r>
      <w:bookmarkEnd w:id="217"/>
    </w:p>
    <w:p w:rsidR="00AC292A" w:rsidRDefault="00AC292A">
      <w:pPr>
        <w:pStyle w:val="IASBNormalnpara"/>
      </w:pPr>
      <w:r>
        <w:t>5.5.16</w:t>
      </w:r>
      <w:r>
        <w:tab/>
      </w:r>
      <w:bookmarkStart w:id="218" w:name="F32570123"/>
      <w:r>
        <w:t>O entitate îşi poate alege politica contabilă pentru creanţele comerciale, creanţele care decurg din contracte de leasing şi activele aferente contractului independent unele de celelalte.</w:t>
      </w:r>
      <w:bookmarkEnd w:id="218"/>
    </w:p>
    <w:p w:rsidR="00AC292A" w:rsidRDefault="00AC292A">
      <w:pPr>
        <w:pStyle w:val="IASBSectionTitle2Ind"/>
      </w:pPr>
      <w:bookmarkStart w:id="219" w:name="F32570125"/>
      <w:r>
        <w:t>Evaluarea pierderilor din creditare preconizate</w:t>
      </w:r>
      <w:bookmarkEnd w:id="219"/>
    </w:p>
    <w:p w:rsidR="00AC292A" w:rsidRDefault="00AC292A">
      <w:pPr>
        <w:pStyle w:val="IASBNormalnpara"/>
        <w:rPr>
          <w:b/>
        </w:rPr>
      </w:pPr>
      <w:r>
        <w:rPr>
          <w:b/>
        </w:rPr>
        <w:t>5.5.17</w:t>
      </w:r>
      <w:r>
        <w:tab/>
      </w:r>
      <w:bookmarkStart w:id="220" w:name="F32570126"/>
      <w:r>
        <w:rPr>
          <w:b/>
        </w:rPr>
        <w:t>O entitate trebuie să evalueze pierderile din creditare preconizate ale unui instrument financiar într-un mod care să reflecte:</w:t>
      </w:r>
      <w:bookmarkEnd w:id="220"/>
    </w:p>
    <w:p w:rsidR="00AC292A" w:rsidRDefault="00AC292A">
      <w:pPr>
        <w:pStyle w:val="IASBNormalnparaL1"/>
        <w:rPr>
          <w:b/>
        </w:rPr>
      </w:pPr>
      <w:r>
        <w:rPr>
          <w:b/>
        </w:rPr>
        <w:t>(a)</w:t>
      </w:r>
      <w:bookmarkStart w:id="221" w:name="F32570129"/>
      <w:r w:rsidR="00190D26">
        <w:rPr>
          <w:b/>
        </w:rPr>
        <w:tab/>
      </w:r>
      <w:r>
        <w:rPr>
          <w:b/>
        </w:rPr>
        <w:t>o valoare imparţială, ponderată prin probabilități, care este determinată prin evaluarea unei game de rezultate posibile;</w:t>
      </w:r>
      <w:bookmarkEnd w:id="221"/>
    </w:p>
    <w:p w:rsidR="00AC292A" w:rsidRDefault="00AC292A">
      <w:pPr>
        <w:pStyle w:val="IASBNormalnparaL1"/>
        <w:rPr>
          <w:b/>
        </w:rPr>
      </w:pPr>
      <w:r>
        <w:rPr>
          <w:b/>
        </w:rPr>
        <w:lastRenderedPageBreak/>
        <w:t>(b)</w:t>
      </w:r>
      <w:bookmarkStart w:id="222" w:name="F32570131"/>
      <w:r w:rsidR="00190D26">
        <w:rPr>
          <w:b/>
        </w:rPr>
        <w:tab/>
      </w:r>
      <w:r>
        <w:rPr>
          <w:b/>
        </w:rPr>
        <w:t>valoarea-timp a banilor; și</w:t>
      </w:r>
      <w:bookmarkEnd w:id="222"/>
    </w:p>
    <w:p w:rsidR="00AC292A" w:rsidRDefault="00AC292A">
      <w:pPr>
        <w:pStyle w:val="IASBNormalnparaL1"/>
        <w:rPr>
          <w:b/>
        </w:rPr>
      </w:pPr>
      <w:r>
        <w:rPr>
          <w:b/>
        </w:rPr>
        <w:t>(c)</w:t>
      </w:r>
      <w:bookmarkStart w:id="223" w:name="F32570133"/>
      <w:r w:rsidR="00190D26">
        <w:rPr>
          <w:b/>
        </w:rPr>
        <w:tab/>
      </w:r>
      <w:r>
        <w:rPr>
          <w:b/>
        </w:rPr>
        <w:t>informaţii rezonabile şi justificabile care sunt disponibile fără cost sau efort nejustificat la data de raportare cu privire la evenimente trecute, condiţii curente şi prognoze privind condițiile economice viitoare.</w:t>
      </w:r>
      <w:bookmarkEnd w:id="223"/>
    </w:p>
    <w:p w:rsidR="00AC292A" w:rsidRDefault="00AC292A">
      <w:pPr>
        <w:pStyle w:val="IASBNormalnpara"/>
      </w:pPr>
      <w:r>
        <w:t>5.5.18</w:t>
      </w:r>
      <w:r>
        <w:tab/>
      </w:r>
      <w:bookmarkStart w:id="224" w:name="F32570134"/>
      <w:r>
        <w:t>Atunci când evaluează pierderile din creditare preconizate o entitate nu identifică în mod necesar fiecare scenariu posibil. Cu toate acestea, ea trebuie să ia în considerare riscul sau probabilitatea ca o pierdere din creditare să aibă loc reflectând posibilitatea ca o pierdere din creditare să aibă sau loc și posibilitatea ca o pierdere din creditare să nu aibă loc, chiar dacă posibilitatea unei pierderi din creditare este foarte scăzută.</w:t>
      </w:r>
      <w:bookmarkEnd w:id="224"/>
    </w:p>
    <w:p w:rsidR="00AC292A" w:rsidRDefault="00AC292A">
      <w:pPr>
        <w:pStyle w:val="IASBNormalnpara"/>
      </w:pPr>
      <w:r>
        <w:t>5.5.19</w:t>
      </w:r>
      <w:r>
        <w:tab/>
      </w:r>
      <w:bookmarkStart w:id="225" w:name="F32570135"/>
      <w:r>
        <w:t>Perioada maximă avută în vedere la evaluarea pierderilor din creditare preconizate este perioada contractuală maximă (inclusiv opţiunile de prelungire) pe parcursul căreia entitatea este expusă riscului de credit, şi nu o perioadă mai lungă, chiar dacă acea perioadă mai lungă coincide cu practicile de afaceri.</w:t>
      </w:r>
      <w:bookmarkEnd w:id="225"/>
    </w:p>
    <w:p w:rsidR="00AC292A" w:rsidRDefault="00AC292A">
      <w:pPr>
        <w:pStyle w:val="IASBNormalnpara"/>
      </w:pPr>
      <w:r>
        <w:t>5.5.20</w:t>
      </w:r>
      <w:r>
        <w:tab/>
      </w:r>
      <w:bookmarkStart w:id="226" w:name="F32570136"/>
      <w:r>
        <w:t>Cu toate acestea, unele instrumente financiare includ atât un împrumut, cât şi o componentă de angajament nefolosită şi capacitatea contractuală a entităţii de a solicita rambursarea şi anularea angajamentului nefolosit nu limitează expunerea entităţii la pierderile din creditare doar la perioada de notificare contractuală. Pentru astfel de instrumente financiare şi doar pentru acele instrumente financiare, entitatea trebuie să evalueze pierderile din creditare preconizate pe perioada în care entitatea este expusă riscului de credit iar pierderile din creditare preconizate nu vor fi reduse prin acţiuni de gestionare a riscului de credit, chiar dacă acea perioadă se extinde dincolo de perioada contractuală maximă.</w:t>
      </w:r>
      <w:bookmarkEnd w:id="226"/>
    </w:p>
    <w:p w:rsidR="00AC292A" w:rsidRDefault="00AC292A">
      <w:pPr>
        <w:pStyle w:val="IASBSectionTitle1NonInd"/>
      </w:pPr>
      <w:bookmarkStart w:id="227" w:name="F32570138"/>
      <w:r>
        <w:t>5.6 Reclasificarea activelor financiare</w:t>
      </w:r>
      <w:bookmarkEnd w:id="227"/>
    </w:p>
    <w:p w:rsidR="00AC292A" w:rsidRDefault="00AC292A">
      <w:pPr>
        <w:pStyle w:val="IASBNormalnpara"/>
        <w:rPr>
          <w:b/>
        </w:rPr>
      </w:pPr>
      <w:r>
        <w:rPr>
          <w:b/>
        </w:rPr>
        <w:t>5.6.1</w:t>
      </w:r>
      <w:bookmarkStart w:id="228" w:name="F32570139"/>
      <w:r w:rsidR="00190D26">
        <w:rPr>
          <w:b/>
        </w:rPr>
        <w:tab/>
      </w:r>
      <w:r>
        <w:rPr>
          <w:b/>
        </w:rPr>
        <w:t xml:space="preserve">Dacă o entitate reclasifică activele financiare în conformitate cu punctul 4.4.1, aceasta trebuie să aplice reclasificarea în mod prospectiv de la </w:t>
      </w:r>
      <w:r>
        <w:rPr>
          <w:b/>
          <w:i/>
        </w:rPr>
        <w:t>data reclasificării</w:t>
      </w:r>
      <w:r>
        <w:rPr>
          <w:b/>
        </w:rPr>
        <w:t>. Entitatea nu trebuie să retrateze orice câştiguri, pierderi (inclusiv câştiguri sau pierderi din depreciere) sau dobânzi recunoscute anterior. Punctele 5.6.2-5.6.7 prezintă dispoziţiile pentru reclasificări.</w:t>
      </w:r>
      <w:bookmarkEnd w:id="228"/>
    </w:p>
    <w:p w:rsidR="00AC292A" w:rsidRDefault="00AC292A">
      <w:pPr>
        <w:pStyle w:val="IASBNormalnpara"/>
        <w:rPr>
          <w:b/>
        </w:rPr>
      </w:pPr>
      <w:r>
        <w:rPr>
          <w:b/>
        </w:rPr>
        <w:t>5.6.2</w:t>
      </w:r>
      <w:bookmarkStart w:id="229" w:name="F32570141"/>
      <w:r w:rsidR="00190D26">
        <w:rPr>
          <w:b/>
        </w:rPr>
        <w:tab/>
      </w:r>
      <w:r>
        <w:rPr>
          <w:b/>
        </w:rPr>
        <w:t>Dacă o entitate reclasifică un activ financiar în afara categoriei de evaluare a costului amortizat și în categoria de evaluare a valorii juste prin profit sau pierdere, valoarea sa justă este evaluată la data reclasificării. Orice câştig sau pierdere care rezultă din diferenţa dintre costul amortizat anterior al activului financiar şi valoarea justă este recunoscut(ă) în profit sau pierdere.</w:t>
      </w:r>
      <w:bookmarkEnd w:id="229"/>
    </w:p>
    <w:p w:rsidR="00AC292A" w:rsidRDefault="00AC292A">
      <w:pPr>
        <w:pStyle w:val="IASBNormalnpara"/>
        <w:rPr>
          <w:b/>
        </w:rPr>
      </w:pPr>
      <w:r>
        <w:rPr>
          <w:b/>
        </w:rPr>
        <w:t>5.6.3</w:t>
      </w:r>
      <w:bookmarkStart w:id="230" w:name="F32570142"/>
      <w:r w:rsidR="00190D26">
        <w:rPr>
          <w:b/>
        </w:rPr>
        <w:tab/>
      </w:r>
      <w:r>
        <w:rPr>
          <w:b/>
        </w:rPr>
        <w:t>Dacă o entitate reclasifică un activ financiar în afara categoriei de evaluare a valorii juste prin profit sau pierdere și în categoria de evaluare a costului amortizat, valoarea sa justă la data reclasificării devine noua sa valoare contabilă brută. (A se vedea punctul B5.6.2 pentru îndrumări cu privire la determinarea ratei dobânzii efective şi a ajustării pentru pierderi la data reclasificării.)</w:t>
      </w:r>
      <w:bookmarkEnd w:id="230"/>
    </w:p>
    <w:p w:rsidR="00AC292A" w:rsidRDefault="00AC292A">
      <w:pPr>
        <w:pStyle w:val="IASBNormalnpara"/>
        <w:rPr>
          <w:b/>
        </w:rPr>
      </w:pPr>
      <w:r>
        <w:rPr>
          <w:b/>
        </w:rPr>
        <w:t>5.6.4</w:t>
      </w:r>
      <w:bookmarkStart w:id="231" w:name="F32570143"/>
      <w:r w:rsidR="00190D26">
        <w:rPr>
          <w:b/>
        </w:rPr>
        <w:tab/>
      </w:r>
      <w:r>
        <w:rPr>
          <w:b/>
        </w:rPr>
        <w:t>Dacă o entitate reclasifică un activ financiar în afara categoriei de evaluare a costului amortizat și în categoria de evaluare a valorii juste prin alte elemente ale rezultatului global, valoarea sa justă este evaluată la data reclasificării. Orice câştig sau pierdere care rezultă din diferenţa dintre costul amortizat anterior al activului financiar şi valoarea justă este recunoscut(ă) în alte elemente ale rezultatului global. Rata dobânzii efective şi evaluarea pierderilor din creditare preconizate nu sunt ajustate ca urmare a reclasificării. (A se vedea punctul B5.6.1.)</w:t>
      </w:r>
      <w:bookmarkEnd w:id="231"/>
    </w:p>
    <w:p w:rsidR="00AC292A" w:rsidRDefault="00AC292A">
      <w:pPr>
        <w:pStyle w:val="IASBNormalnpara"/>
        <w:rPr>
          <w:b/>
        </w:rPr>
      </w:pPr>
      <w:r>
        <w:rPr>
          <w:b/>
        </w:rPr>
        <w:t>5.6.5</w:t>
      </w:r>
      <w:bookmarkStart w:id="232" w:name="F32570144"/>
      <w:r w:rsidR="00190D26">
        <w:rPr>
          <w:b/>
        </w:rPr>
        <w:tab/>
      </w:r>
      <w:r>
        <w:rPr>
          <w:b/>
        </w:rPr>
        <w:t xml:space="preserve">Dacă o entitate reclasifică un activ financiar în afara categoriei de evaluare a valorii juste prin alte elemente ale rezultatului global și în categoria de evaluare a costului amortizat, activul financiar este reclasificat la valoarea sa justă la data reclasificării. Cu toate acestea, câştigul sau pierderea cumulat(ă) recunoscut(ă) anterior în alte elemente ale rezultatului global este eliminat(ă) din capitalurile proprii şi ajustat(ă) în raport cu valoarea justă a activului financiar la data reclasificării. Drept rezultat, activul financiar este evaluat la data reclasificării ca şi cum ar fi fost dintotdeauna evaluat la costul amortizat. Această ajustare afectează alte elemente ale rezultatului global, însă nu afectează profitul sau pierderea şi prin urmare nu este o ajustare din reclasificare (a se vedea IAS 1 </w:t>
      </w:r>
      <w:r>
        <w:rPr>
          <w:b/>
          <w:i/>
        </w:rPr>
        <w:t>Prezentarea situaţiilor financiare</w:t>
      </w:r>
      <w:r>
        <w:rPr>
          <w:b/>
        </w:rPr>
        <w:t>). Rata dobânzii efective şi evaluarea pierderilor din creditare preconizate nu sunt ajustate ca urmare a reclasificării. (A se vedea punctul B5.6.1.)</w:t>
      </w:r>
      <w:bookmarkEnd w:id="232"/>
    </w:p>
    <w:p w:rsidR="00AC292A" w:rsidRDefault="00AC292A">
      <w:pPr>
        <w:pStyle w:val="IASBNormalnpara"/>
        <w:rPr>
          <w:b/>
        </w:rPr>
      </w:pPr>
      <w:r>
        <w:rPr>
          <w:b/>
        </w:rPr>
        <w:t>5.6.6</w:t>
      </w:r>
      <w:bookmarkStart w:id="233" w:name="F32570146"/>
      <w:r w:rsidR="00190D26">
        <w:rPr>
          <w:b/>
        </w:rPr>
        <w:tab/>
      </w:r>
      <w:r>
        <w:rPr>
          <w:b/>
        </w:rPr>
        <w:t>Dacă o entitate reclasifică un activ financiar în afara categoriei de evaluare a valorii juste prin profit sau pierdere și în categoria de evaluare a valorii juste prin alte elemente ale rezultatului global, activul financiar continuă să fie evaluat la valoarea justă. (A se vedea punctul B5.6.2 pentru îndrumări cu privire la determinarea ratei dobânzii efective şi a ajustării pentru pierderi la data reclasificării.)</w:t>
      </w:r>
      <w:bookmarkEnd w:id="233"/>
    </w:p>
    <w:p w:rsidR="00AC292A" w:rsidRDefault="00AC292A">
      <w:pPr>
        <w:pStyle w:val="IASBNormalnpara"/>
        <w:rPr>
          <w:b/>
        </w:rPr>
      </w:pPr>
      <w:r>
        <w:rPr>
          <w:b/>
        </w:rPr>
        <w:t>5.6.7</w:t>
      </w:r>
      <w:bookmarkStart w:id="234" w:name="F32570147"/>
      <w:r w:rsidR="00190D26">
        <w:rPr>
          <w:b/>
        </w:rPr>
        <w:tab/>
      </w:r>
      <w:r>
        <w:rPr>
          <w:b/>
        </w:rPr>
        <w:t xml:space="preserve">Dacă o entitate reclasifică un activ financiar în afara categoriei de evaluare a valorii juste prin alte elemente ale rezultatului global și în categoria de evaluare a valorii juste prin profit sau pierdere, activul financiar continuă să fie evaluat la valoarea justă. Câştigul sau pierderea cumulat(ă) </w:t>
      </w:r>
      <w:r>
        <w:rPr>
          <w:b/>
        </w:rPr>
        <w:lastRenderedPageBreak/>
        <w:t>recunoscut(ă) anterior în alte elemente ale rezultatului global este reclasificat(ă) din capitalurile proprii în profit sau pierdere drept o ajustare din reclasificare (a se vedea IAS 1) la data reclasificării.</w:t>
      </w:r>
      <w:bookmarkEnd w:id="234"/>
    </w:p>
    <w:p w:rsidR="00AC292A" w:rsidRDefault="00AC292A">
      <w:pPr>
        <w:pStyle w:val="IASBSectionTitle1NonInd"/>
      </w:pPr>
      <w:bookmarkStart w:id="235" w:name="F32570149"/>
      <w:r>
        <w:t>5.7 Câştiguri şi pierderi</w:t>
      </w:r>
      <w:bookmarkEnd w:id="235"/>
    </w:p>
    <w:p w:rsidR="00AC292A" w:rsidRDefault="00AC292A">
      <w:pPr>
        <w:pStyle w:val="IASBNormalnpara"/>
        <w:rPr>
          <w:b/>
        </w:rPr>
      </w:pPr>
      <w:r>
        <w:rPr>
          <w:b/>
        </w:rPr>
        <w:t>5.7.1</w:t>
      </w:r>
      <w:bookmarkStart w:id="236" w:name="F32570150"/>
      <w:r w:rsidR="00190D26">
        <w:rPr>
          <w:b/>
        </w:rPr>
        <w:tab/>
      </w:r>
      <w:r>
        <w:rPr>
          <w:b/>
        </w:rPr>
        <w:t>Un câştig sau o pierdere aferent(ă) unui activ financiar sau unei datorii financiare care este evaluat(ă) la valoarea justă trebuie recunoscut(ă) în profit sau pierdere, cu excepţia cazului în care:</w:t>
      </w:r>
      <w:bookmarkEnd w:id="236"/>
    </w:p>
    <w:p w:rsidR="00AC292A" w:rsidRDefault="00AC292A">
      <w:pPr>
        <w:pStyle w:val="IASBNormalnparaL1"/>
        <w:rPr>
          <w:b/>
        </w:rPr>
      </w:pPr>
      <w:r>
        <w:rPr>
          <w:b/>
        </w:rPr>
        <w:t>(a)</w:t>
      </w:r>
      <w:bookmarkStart w:id="237" w:name="F32570153"/>
      <w:r w:rsidR="00190D26">
        <w:rPr>
          <w:b/>
        </w:rPr>
        <w:tab/>
      </w:r>
      <w:r>
        <w:rPr>
          <w:b/>
        </w:rPr>
        <w:t>face parte dintr-o relaţie de acoperire împotriva riscurilor (a se vedea punctele 6.5.8-6.5.14 şi, dacă se aplică, punctele 89-94 din IAS 39 pentru contabilitatea de acoperire a valorii juste împotriva riscurilor în cazul acoperirii unui portofoliu împotriva riscului ratei dobânzii);</w:t>
      </w:r>
      <w:bookmarkEnd w:id="237"/>
    </w:p>
    <w:p w:rsidR="00AC292A" w:rsidRDefault="00AC292A">
      <w:pPr>
        <w:pStyle w:val="IASBNormalnparaL1"/>
        <w:rPr>
          <w:b/>
        </w:rPr>
      </w:pPr>
      <w:r>
        <w:rPr>
          <w:b/>
        </w:rPr>
        <w:t>(b)</w:t>
      </w:r>
      <w:bookmarkStart w:id="238" w:name="F32570155"/>
      <w:r w:rsidR="00190D26">
        <w:rPr>
          <w:b/>
        </w:rPr>
        <w:tab/>
      </w:r>
      <w:r>
        <w:rPr>
          <w:b/>
        </w:rPr>
        <w:t>este o investiţie într-un instrument de capitaluri proprii şi entitatea a ales să prezinte câştigurile şi pierderile din această investiţie în alte elemente ale rezultatului global în conformitate cu punctul 5.7.5;</w:t>
      </w:r>
      <w:bookmarkEnd w:id="238"/>
    </w:p>
    <w:p w:rsidR="00AC292A" w:rsidRDefault="00AC292A">
      <w:pPr>
        <w:pStyle w:val="IASBNormalnparaL1"/>
        <w:rPr>
          <w:b/>
        </w:rPr>
      </w:pPr>
      <w:r>
        <w:rPr>
          <w:b/>
        </w:rPr>
        <w:t>(c)</w:t>
      </w:r>
      <w:bookmarkStart w:id="239" w:name="F32570158"/>
      <w:r w:rsidR="00190D26">
        <w:rPr>
          <w:b/>
        </w:rPr>
        <w:tab/>
      </w:r>
      <w:r>
        <w:rPr>
          <w:b/>
        </w:rPr>
        <w:t xml:space="preserve">este o datorie financiară desemnată la valoarea justă prin profit sau pierdere şi entitatea trebuie să prezinte efectele modificărilor în </w:t>
      </w:r>
      <w:r>
        <w:rPr>
          <w:b/>
          <w:i/>
        </w:rPr>
        <w:t>riscul de credit</w:t>
      </w:r>
      <w:r>
        <w:rPr>
          <w:b/>
        </w:rPr>
        <w:t xml:space="preserve"> al datoriei în cadrul altor elemente ale rezultatului global, în conformitate cu punctul 5.7.7; sau</w:t>
      </w:r>
      <w:bookmarkEnd w:id="239"/>
    </w:p>
    <w:p w:rsidR="00AC292A" w:rsidRDefault="00AC292A">
      <w:pPr>
        <w:pStyle w:val="IASBNormalnparaL1"/>
        <w:rPr>
          <w:b/>
        </w:rPr>
      </w:pPr>
      <w:r>
        <w:rPr>
          <w:b/>
        </w:rPr>
        <w:t>(d)</w:t>
      </w:r>
      <w:bookmarkStart w:id="240" w:name="F32570160"/>
      <w:r w:rsidR="0031067B">
        <w:rPr>
          <w:b/>
        </w:rPr>
        <w:tab/>
      </w:r>
      <w:r>
        <w:rPr>
          <w:b/>
        </w:rPr>
        <w:t>este un activ financiar evaluat la valoarea justă prin alte elemente ale rezultatului global în conformitate cu punctul 4.1.2A, iar entităţii i se impune să recunoască anumite schimbări în valoarea justă în alte elemente ale rezultatului global în conformitate cu punctul 5.7.10.</w:t>
      </w:r>
      <w:bookmarkEnd w:id="240"/>
    </w:p>
    <w:p w:rsidR="00AC292A" w:rsidRDefault="00AC292A">
      <w:pPr>
        <w:pStyle w:val="IASBNormalnpara"/>
      </w:pPr>
      <w:r>
        <w:t>5.7.1A</w:t>
      </w:r>
      <w:r>
        <w:tab/>
      </w:r>
      <w:bookmarkStart w:id="241" w:name="F32570161"/>
      <w:r>
        <w:rPr>
          <w:i/>
        </w:rPr>
        <w:t>Dividendele</w:t>
      </w:r>
      <w:r>
        <w:t xml:space="preserve"> sunt recunoscute în profit sau pierdere doar atunci când:</w:t>
      </w:r>
      <w:bookmarkEnd w:id="241"/>
    </w:p>
    <w:p w:rsidR="00AC292A" w:rsidRDefault="00AC292A">
      <w:pPr>
        <w:pStyle w:val="IASBNormalnparaL1"/>
      </w:pPr>
      <w:r>
        <w:t>(a)</w:t>
      </w:r>
      <w:r>
        <w:tab/>
      </w:r>
      <w:bookmarkStart w:id="242" w:name="F32570164"/>
      <w:r>
        <w:t>dreptul entităţii de a primi plata dividendului este stabilit;</w:t>
      </w:r>
      <w:bookmarkEnd w:id="242"/>
    </w:p>
    <w:p w:rsidR="00AC292A" w:rsidRDefault="00AC292A">
      <w:pPr>
        <w:pStyle w:val="IASBNormalnparaL1"/>
      </w:pPr>
      <w:r>
        <w:t>(b)</w:t>
      </w:r>
      <w:r>
        <w:tab/>
      </w:r>
      <w:bookmarkStart w:id="243" w:name="F32570166"/>
      <w:r>
        <w:t>este probabil ca beneficiile economice asociate dividendului să fie generate pentru entitate; și</w:t>
      </w:r>
      <w:bookmarkEnd w:id="243"/>
    </w:p>
    <w:p w:rsidR="00AC292A" w:rsidRDefault="00AC292A">
      <w:pPr>
        <w:pStyle w:val="IASBNormalnparaL1"/>
      </w:pPr>
      <w:r>
        <w:t>(c)</w:t>
      </w:r>
      <w:r>
        <w:tab/>
      </w:r>
      <w:bookmarkStart w:id="244" w:name="F32570168"/>
      <w:r>
        <w:t>valoarea dividendului poate fi evaluată în mod fiabil.</w:t>
      </w:r>
      <w:bookmarkEnd w:id="244"/>
    </w:p>
    <w:p w:rsidR="00AC292A" w:rsidRDefault="00AC292A">
      <w:pPr>
        <w:pStyle w:val="IASBNormalnpara"/>
        <w:rPr>
          <w:b/>
        </w:rPr>
      </w:pPr>
      <w:r>
        <w:rPr>
          <w:b/>
        </w:rPr>
        <w:t>5.7.2</w:t>
      </w:r>
      <w:bookmarkStart w:id="245" w:name="F32570170"/>
      <w:r w:rsidR="0031067B">
        <w:rPr>
          <w:b/>
        </w:rPr>
        <w:tab/>
      </w:r>
      <w:r>
        <w:rPr>
          <w:b/>
        </w:rPr>
        <w:t>Un câştig sau o pierdere aferent(ă) unui activ financiar care este evaluat la costul amortizat şi nu face parte dintr-o relaţie de acoperire împotriva riscurilor (a se vedea punctele 6.5.8-6.5.14 şi, dacă se aplică, punctele 89-94 din IAS 39 pentru contabilitatea de acoperire a valorii juste împotriva riscurilor în cazul acoperirii unui portofoliu împotriva riscului ratei dobânzii) trebuie recunoscut(ă) în profit sau pierdere atunci când activul financiar este derecunoscut, reclasificat în conformitate cu punctul 5.6.2, prin procesul de amortizare sau pentru a recunoaște câştigurile sau pierderile din depreciere. O entitate trebuie să aplice punctele 5.6.2 şi 5.6.4 dacă reclasifică activele financiare în afara categoriei de evaluare a costului amortizat. Un câştig sau o pierdere aferent(ă) unei datorii financiare care este evaluată la costul amortizat şi nu face parte dintr-o relaţie de acoperire împotriva riscurilor (a se vedea punctele 6.5.8-6.5.14 şi, dacă se aplică, punctele 89-94 din IAS 39 pentru contabilitatea de acoperire a valorii juste împotriva riscurilor în cazul acoperirii unui portofoliu împotriva riscului ratei dobânzii) trebuie recunoscut(ă) în profit sau pierdere atunci când datoria financiară este derecunoscută şi prin procesul de amortizare. (A se vedea punctul B5.7.2 pentru îndrumări privind câştigurile sau pierderile din cursurile de schimb valutar.)</w:t>
      </w:r>
      <w:bookmarkEnd w:id="245"/>
    </w:p>
    <w:p w:rsidR="00AC292A" w:rsidRDefault="00AC292A">
      <w:pPr>
        <w:pStyle w:val="IASBNormalnpara"/>
        <w:rPr>
          <w:b/>
        </w:rPr>
      </w:pPr>
      <w:r>
        <w:rPr>
          <w:b/>
        </w:rPr>
        <w:t>5.7.3</w:t>
      </w:r>
      <w:bookmarkStart w:id="246" w:name="F32570171"/>
      <w:r w:rsidR="0031067B">
        <w:rPr>
          <w:b/>
        </w:rPr>
        <w:tab/>
      </w:r>
      <w:r>
        <w:rPr>
          <w:b/>
        </w:rPr>
        <w:t>Un câştig sau o pierdere aferent(ă) unor active financiare sau unor datorii financiare care sunt elemente acoperite într-o relaţie de acoperire împotriva riscurilor trebuie recunoscut(ă) în conformitate cu punctele 6.5.8-6.5.14 şi, dacă se aplică, punctele 89-94 din IAS 39 pentru contabilitatea de acoperire a valorii juste împotriva riscurilor în cazul acoperirii unui portofoliu împotriva riscului ratei dobânzii.</w:t>
      </w:r>
      <w:bookmarkEnd w:id="246"/>
    </w:p>
    <w:p w:rsidR="00AC292A" w:rsidRDefault="00AC292A">
      <w:pPr>
        <w:pStyle w:val="IASBNormalnpara"/>
        <w:rPr>
          <w:b/>
        </w:rPr>
      </w:pPr>
      <w:r>
        <w:rPr>
          <w:b/>
        </w:rPr>
        <w:t>5.7.4</w:t>
      </w:r>
      <w:bookmarkStart w:id="247" w:name="F32570172"/>
      <w:r w:rsidR="0031067B">
        <w:rPr>
          <w:b/>
        </w:rPr>
        <w:tab/>
      </w:r>
      <w:r>
        <w:rPr>
          <w:b/>
        </w:rPr>
        <w:t>În cazul în care o entitate recunoaşte activele financiare utilizând contabilizarea la data decontării (a se vedea punctele 3.1.2, B3.1.3 şi B3.1.6), nicio modificare a valorii juste a activului ce urmează a fi primit pe parcursul perioadei dintre data tranzacţionării şi data decontării nu este recunoscută pentru activele evaluate la costul amortizat. Pentru activele evaluate la valoarea justă însă, modificarea valorii juste trebuie recunoscută în profit sau pierdere ori în alte elemente ale rezultatului global, după cum este cazul, în conformitate cu punctul 5.7.1. Data tranzacţionării trebuie considerată data recunoaşterii iniţiale în sensul aplicării dispoziţiilor privind deprecierea.</w:t>
      </w:r>
      <w:bookmarkEnd w:id="247"/>
    </w:p>
    <w:p w:rsidR="00AC292A" w:rsidRDefault="00AC292A">
      <w:pPr>
        <w:pStyle w:val="IASBSectionTitle2Ind"/>
      </w:pPr>
      <w:bookmarkStart w:id="248" w:name="F32570174"/>
      <w:r>
        <w:t>Investiţii în instrumente de capitaluri proprii</w:t>
      </w:r>
      <w:bookmarkEnd w:id="248"/>
    </w:p>
    <w:p w:rsidR="00AC292A" w:rsidRDefault="00AC292A">
      <w:pPr>
        <w:pStyle w:val="IASBNormalnpara"/>
        <w:rPr>
          <w:b/>
        </w:rPr>
      </w:pPr>
      <w:r>
        <w:rPr>
          <w:b/>
        </w:rPr>
        <w:t>5.7.5</w:t>
      </w:r>
      <w:bookmarkStart w:id="249" w:name="F32570175"/>
      <w:r w:rsidR="0031067B">
        <w:rPr>
          <w:b/>
        </w:rPr>
        <w:tab/>
      </w:r>
      <w:r>
        <w:rPr>
          <w:b/>
        </w:rPr>
        <w:t xml:space="preserve">La recunoaşterea iniţială, o entitate poate face o alegere irevocabilă de a prezenta în alte elemente ale rezultatului global modificările ulterioare în valoarea justă a unei investiţii într-un instrument de </w:t>
      </w:r>
      <w:r>
        <w:rPr>
          <w:b/>
        </w:rPr>
        <w:lastRenderedPageBreak/>
        <w:t xml:space="preserve">capitaluri proprii din domeniul de aplicare al prezentului standard care nu este nici </w:t>
      </w:r>
      <w:r>
        <w:rPr>
          <w:b/>
          <w:i/>
        </w:rPr>
        <w:t>deţinut în vederea tranzacţionării</w:t>
      </w:r>
      <w:r>
        <w:rPr>
          <w:b/>
        </w:rPr>
        <w:t xml:space="preserve"> şi nici nu este o compensație contingentă recunoscută de o entitate dobânditoare într-o combinare de întreprinderi la care se aplică IFRS 3. (A se vedea punctul B5.7.3 pentru îndrumări privind câştigurile sau pierderile din cursurile de schimb valutar.)</w:t>
      </w:r>
      <w:bookmarkEnd w:id="249"/>
    </w:p>
    <w:p w:rsidR="00AC292A" w:rsidRDefault="00AC292A">
      <w:pPr>
        <w:pStyle w:val="IASBNormalnpara"/>
      </w:pPr>
      <w:r>
        <w:t>5.7.6</w:t>
      </w:r>
      <w:r>
        <w:tab/>
      </w:r>
      <w:bookmarkStart w:id="250" w:name="F32570177"/>
      <w:r>
        <w:t>Dacă o entitate face alegerea de la punctul 5.7.5, atunci aceasta trebuie să recunoască în profit sau pierdere dividendele din investiţia respectivă în conformitate cu punctul 5.7.1A.</w:t>
      </w:r>
      <w:bookmarkEnd w:id="250"/>
    </w:p>
    <w:p w:rsidR="00AC292A" w:rsidRDefault="00AC292A">
      <w:pPr>
        <w:pStyle w:val="IASBSectionTitle2Ind"/>
      </w:pPr>
      <w:bookmarkStart w:id="251" w:name="F32570179"/>
      <w:r>
        <w:t>Datorii desemnate ca fiind la valoarea justă prin profit sau pierdere</w:t>
      </w:r>
      <w:bookmarkEnd w:id="251"/>
    </w:p>
    <w:p w:rsidR="00AC292A" w:rsidRDefault="00AC292A">
      <w:pPr>
        <w:pStyle w:val="IASBNormalnpara"/>
        <w:rPr>
          <w:b/>
        </w:rPr>
      </w:pPr>
      <w:r>
        <w:rPr>
          <w:b/>
        </w:rPr>
        <w:t>5.7.7</w:t>
      </w:r>
      <w:bookmarkStart w:id="252" w:name="F32570180"/>
      <w:r w:rsidR="0031067B">
        <w:rPr>
          <w:b/>
        </w:rPr>
        <w:tab/>
      </w:r>
      <w:r>
        <w:rPr>
          <w:b/>
        </w:rPr>
        <w:t>O entitate trebuie să prezinte un câştig sau o pierdere aferent(ă) unei datorii financiare desemnate ca fiind la valoarea justă prin profit sau pierdere în conformitate cu punctul 4.2.2 sau punctul 4.3.5 după cum urmează:</w:t>
      </w:r>
      <w:bookmarkEnd w:id="252"/>
    </w:p>
    <w:p w:rsidR="00AC292A" w:rsidRDefault="00AC292A">
      <w:pPr>
        <w:pStyle w:val="IASBNormalnparaL1"/>
        <w:rPr>
          <w:b/>
        </w:rPr>
      </w:pPr>
      <w:r>
        <w:rPr>
          <w:b/>
        </w:rPr>
        <w:t>(a)</w:t>
      </w:r>
      <w:bookmarkStart w:id="253" w:name="F32570184"/>
      <w:r>
        <w:rPr>
          <w:b/>
        </w:rPr>
        <w:t>Gradul de modificare a valorii juste a datoriei financiare care poate fi atribuit modificărilor riscului de credit al datoriei respective trebuie prezentat în alte elemente ale rezultatului global (a se vedea punctele B5.7.13-B5.7.20), şi</w:t>
      </w:r>
      <w:bookmarkEnd w:id="253"/>
    </w:p>
    <w:p w:rsidR="00AC292A" w:rsidRDefault="00AC292A">
      <w:pPr>
        <w:pStyle w:val="IASBNormalnparaL1"/>
        <w:rPr>
          <w:b/>
        </w:rPr>
      </w:pPr>
      <w:r>
        <w:rPr>
          <w:b/>
        </w:rPr>
        <w:t>(b)</w:t>
      </w:r>
      <w:bookmarkStart w:id="254" w:name="F32570186"/>
      <w:r>
        <w:rPr>
          <w:b/>
        </w:rPr>
        <w:t>Valoarea rămasă din modificarea valorii juste a datoriei trebuie prezentată în profit sau pierdere,</w:t>
      </w:r>
      <w:bookmarkEnd w:id="254"/>
    </w:p>
    <w:p w:rsidR="00AC292A" w:rsidRDefault="00AC292A">
      <w:pPr>
        <w:pStyle w:val="IASBNormalnparaP"/>
        <w:rPr>
          <w:b/>
        </w:rPr>
      </w:pPr>
      <w:bookmarkStart w:id="255" w:name="F32570181"/>
      <w:r>
        <w:rPr>
          <w:b/>
        </w:rPr>
        <w:t>exceptând cazul în care tratamentul efectelor modificărilor în riscul de credit al datoriei prezentat la litera (a) ar crea sau ar amplifica o necorelare contabilă în profit sau pierdere (caz în care se aplică punctul 5.7.8). Punctele B5.7.5-B5.7.7 şi B5.7.10-B5.7.12 oferă îndrumări pentru a stabili dacă se creează sau se amplifică o necorelare contabilă.</w:t>
      </w:r>
      <w:bookmarkEnd w:id="255"/>
    </w:p>
    <w:p w:rsidR="00AC292A" w:rsidRDefault="00AC292A">
      <w:pPr>
        <w:pStyle w:val="IASBNormalnpara"/>
        <w:rPr>
          <w:b/>
        </w:rPr>
      </w:pPr>
      <w:r>
        <w:rPr>
          <w:b/>
        </w:rPr>
        <w:t>5.7.8</w:t>
      </w:r>
      <w:bookmarkStart w:id="256" w:name="F32570187"/>
      <w:r w:rsidR="0031067B">
        <w:rPr>
          <w:b/>
        </w:rPr>
        <w:tab/>
      </w:r>
      <w:r>
        <w:rPr>
          <w:b/>
        </w:rPr>
        <w:t>Dacă dispoziţiile de la punctul 5.7.7 ar crea sau ar amplifica o necorelare contabilă în profit sau pierdere, o entitate trebuie să prezinte toate câştigurile sau pierderile din acea datorie (inclusiv efectele modificărilor în riscul de credit al datoriei) în profit sau pierdere.</w:t>
      </w:r>
      <w:bookmarkEnd w:id="256"/>
    </w:p>
    <w:p w:rsidR="00AC292A" w:rsidRDefault="00AC292A">
      <w:pPr>
        <w:pStyle w:val="IASBNormalnpara"/>
      </w:pPr>
      <w:r>
        <w:t>5.7.9</w:t>
      </w:r>
      <w:r>
        <w:tab/>
      </w:r>
      <w:bookmarkStart w:id="257" w:name="F32570188"/>
      <w:r>
        <w:t>În ciuda dispoziţiilor de la punctele 5.7.7 şi 5.7.8, o entitate trebuie să prezinte în profit sau pierdere toate câştigurile şi pierderile din angajamentele de creditare şi contractele de garanţie financiară care sunt desemnate ca fiind la valoarea justă prin profit sau pierdere.</w:t>
      </w:r>
      <w:bookmarkEnd w:id="257"/>
    </w:p>
    <w:p w:rsidR="00AC292A" w:rsidRDefault="00AC292A">
      <w:pPr>
        <w:pStyle w:val="IASBSectionTitle2Ind"/>
      </w:pPr>
      <w:bookmarkStart w:id="258" w:name="F32570190"/>
      <w:r>
        <w:t>Active evaluate la valoarea justă prin alte elemente ale rezultatului global</w:t>
      </w:r>
      <w:bookmarkEnd w:id="258"/>
    </w:p>
    <w:p w:rsidR="00AC292A" w:rsidRDefault="00AC292A">
      <w:pPr>
        <w:pStyle w:val="IASBNormalnpara"/>
        <w:rPr>
          <w:b/>
        </w:rPr>
      </w:pPr>
      <w:r>
        <w:rPr>
          <w:b/>
        </w:rPr>
        <w:t>5.7.10</w:t>
      </w:r>
      <w:r>
        <w:tab/>
      </w:r>
      <w:bookmarkStart w:id="259" w:name="F32570191"/>
      <w:r>
        <w:rPr>
          <w:b/>
        </w:rPr>
        <w:t>Un câştig sau o pierdere aferent(ă) unui activ financiar evaluat la valoarea justă prin alte elemente ale rezultatului global în conformitate cu punctul 4.1.2A trebuie recunoscut(ă) în alte elemente ale rezultatului global, cu excepţia câştigurilor sau pierderilor din depreciere (a se vedea secţiunea 5.5) şi a câştigurilor și pierderilor din cursurile de schimb valutar (a se vedea punctele B5.7.2-B5.7.2A), până când activul financiar este derecunoscut sau reclasificat. Atunci când activul financiar este derecunoscut, câştigul sau pierderea cumulat(ă) recunoscut(ă) anterior în alte elemente ale rezultatului global este reclasificat(ă) din capitalurile proprii în profit sau pierdere drept o ajustare din reclasificare (a se vedea IAS 1). Dacă activul financiar este reclasificat în afara categoriei de evaluare a valorii juste prin alte elemente ale rezultatului global, entitatea trebuie să contabilizeze câştigul sau pierderea cumulat(ă) care a fost anterior recunoscut(ă) în alte elemente ale rezultatului global în conformitate cu punctele 5.6.5 şi 5.6.7. Dobânda calculată utilizând metoda dobânzii efective este recunoscută în profit sau pierdere.</w:t>
      </w:r>
      <w:bookmarkEnd w:id="259"/>
    </w:p>
    <w:p w:rsidR="00AC292A" w:rsidRDefault="00AC292A">
      <w:pPr>
        <w:pStyle w:val="IASBNormalnpara"/>
        <w:rPr>
          <w:b/>
        </w:rPr>
      </w:pPr>
      <w:r>
        <w:rPr>
          <w:b/>
        </w:rPr>
        <w:t>5.7.11</w:t>
      </w:r>
      <w:r>
        <w:tab/>
      </w:r>
      <w:bookmarkStart w:id="260" w:name="F32570192"/>
      <w:r>
        <w:rPr>
          <w:b/>
        </w:rPr>
        <w:t>Aşa cum este descris la punctul 5.7.10, dacă un activ financiar este evaluat la valoarea justă prin alte elemente ale rezultatului global în conformitate cu punctul 4.1.2A, valorile care sunt recunoscute în profit sau pierdere sunt aceleaşi cu valorile care ar fi fost recunoscute în profit sau pierdere dacă activul financiar ar fi fost evaluat la costul amortizat.</w:t>
      </w:r>
      <w:bookmarkEnd w:id="260"/>
    </w:p>
    <w:p w:rsidR="00AC292A" w:rsidRDefault="00AC292A">
      <w:pPr>
        <w:pStyle w:val="IASBSectionTitle1NonInd"/>
        <w:pBdr>
          <w:bottom w:val="none" w:sz="0" w:space="0" w:color="auto"/>
        </w:pBdr>
      </w:pPr>
      <w:bookmarkStart w:id="261" w:name="F32570195"/>
      <w:r>
        <w:lastRenderedPageBreak/>
        <w:t>Capitolul 6 Contabilitatea de acoperire împotriva riscurilor</w:t>
      </w:r>
      <w:bookmarkEnd w:id="261"/>
    </w:p>
    <w:p w:rsidR="00AC292A" w:rsidRDefault="00AC292A">
      <w:pPr>
        <w:pStyle w:val="IASBSectionTitle1NonInd"/>
      </w:pPr>
      <w:bookmarkStart w:id="262" w:name="SL32570197"/>
      <w:r>
        <w:t>6.1 Obiectivul şi domeniul de aplicare al contabilităţii de acoperire împotriva riscurilor</w:t>
      </w:r>
      <w:bookmarkEnd w:id="262"/>
    </w:p>
    <w:p w:rsidR="00AC292A" w:rsidRDefault="00AC292A">
      <w:pPr>
        <w:pStyle w:val="IASBNormalnpara"/>
      </w:pPr>
      <w:r>
        <w:t>6.1.1</w:t>
      </w:r>
      <w:r>
        <w:tab/>
      </w:r>
      <w:bookmarkStart w:id="263" w:name="SL32570198"/>
      <w:r>
        <w:t>Obiectivul contabilităţii de acoperire împotriva riscurilor este să reprezinte, în situaţiile financiare, efectul operaţiunilor de gestionare a riscului ale unei entităţi care utilizează instrumente financiare pentru a gestiona expuneri ce rezultă din anumite riscuri care ar putea afecta profitul sau pierderea (sau alte elemente ale rezultatului global, în cazul investiţiilor în instrumente de capitaluri proprii pentru care o entitate a ales să prezinte modificările în valoarea justă în alte elemente ale rezultatului global în conformitate cu punctul 5.7.5). Această metodă are scopul de a prezenta contextul instrumentelor de acoperire împotriva riscurilor pentru care este aplicată contabilitatea de acoperire împotriva riscurilor pentru a permite înţelegerea obiectivului şi a efectului acestora.</w:t>
      </w:r>
      <w:bookmarkEnd w:id="263"/>
    </w:p>
    <w:p w:rsidR="00AC292A" w:rsidRDefault="00AC292A">
      <w:pPr>
        <w:pStyle w:val="IASBNormalnpara"/>
      </w:pPr>
      <w:r>
        <w:t>6.1.2</w:t>
      </w:r>
      <w:r>
        <w:tab/>
      </w:r>
      <w:bookmarkStart w:id="264" w:name="SL32570199"/>
      <w:r>
        <w:t>O entitate poate opta să desemneze o relaţie de acoperire împotriva riscurilor între un instrument de acoperire împotriva riscurilor şi un element acoperit în conformitate cu punctele 6.2.1-6.3.7 şi B6.2.1-B6.3.25. În cazul relaţiilor de acoperire împotriva riscurilor care îndeplinesc criteriile necesare, o entitate va contabiliza câştigul sau pierderea aferent(ă) instrumentului de acoperire împotriva riscurilor şi elementului acoperit în conformitate cu punctele 6.5.1-6.5.14 şi B6.5.1-B6.5.28. Atunci când elementul acoperit împotriva riscurilor este un grup de elemente, o entitate trebuie să respecte dispoziţiile suplimentare de la punctele 6.6.1-6.6.6 și B6.6.1-B6.6.16.</w:t>
      </w:r>
      <w:bookmarkEnd w:id="264"/>
    </w:p>
    <w:p w:rsidR="00AC292A" w:rsidRDefault="00AC292A">
      <w:pPr>
        <w:pStyle w:val="IASBNormalnpara"/>
      </w:pPr>
      <w:r>
        <w:t>6.1.3</w:t>
      </w:r>
      <w:r>
        <w:tab/>
      </w:r>
      <w:bookmarkStart w:id="265" w:name="SL32570200"/>
      <w:r>
        <w:t xml:space="preserve">În cazul unei acoperiri a valorii juste împotriva riscurilor pentru o expunere a unui portofoliu de active financiare sau datorii financiare la riscul ratei dobânzii (şi doar în cazul unei astfel de acoperiri), o entitate poate aplica dispoziţiile contabilității de acoperire împotriva riscurilor din IAS 39 în locul celor din prezentul standard. În această situaţie, entitatea trebuie să aplice şi dispoziţiile specifice pentru contabilitatea de acoperire a valorii juste împotriva riscurilor pentru o acoperire a portofoliului împotriva riscului ratei dobânzii şi trebuie să desemneze ca element acoperit împotriva riscurilor o parte care este o valoare monetară (a se vedea punctele 81A, 89A şi AG114-AG132 din IAS 39). </w:t>
      </w:r>
      <w:bookmarkEnd w:id="265"/>
    </w:p>
    <w:p w:rsidR="00AC292A" w:rsidRDefault="00AC292A">
      <w:pPr>
        <w:pStyle w:val="IASBSectionTitle1NonInd"/>
      </w:pPr>
      <w:bookmarkStart w:id="266" w:name="SL32570202"/>
      <w:r>
        <w:t>6.2 Instrumente de acoperire împotriva riscurilor</w:t>
      </w:r>
      <w:bookmarkEnd w:id="266"/>
    </w:p>
    <w:p w:rsidR="00AC292A" w:rsidRDefault="00AC292A">
      <w:pPr>
        <w:pStyle w:val="IASBSectionTitle2Ind"/>
      </w:pPr>
      <w:bookmarkStart w:id="267" w:name="SL32570204"/>
      <w:r>
        <w:t>Instrumente care îndeplinesc condițiile pentru această categorie</w:t>
      </w:r>
      <w:bookmarkEnd w:id="267"/>
    </w:p>
    <w:p w:rsidR="00AC292A" w:rsidRDefault="00AC292A">
      <w:pPr>
        <w:pStyle w:val="IASBNormalnpara"/>
        <w:rPr>
          <w:b/>
        </w:rPr>
      </w:pPr>
      <w:r>
        <w:rPr>
          <w:b/>
        </w:rPr>
        <w:t>6.2.1</w:t>
      </w:r>
      <w:bookmarkStart w:id="268" w:name="SL32570205"/>
      <w:r w:rsidR="0031067B">
        <w:rPr>
          <w:b/>
        </w:rPr>
        <w:tab/>
      </w:r>
      <w:r>
        <w:rPr>
          <w:b/>
        </w:rPr>
        <w:t>Un instrument derivat evaluat la valoarea justă prin profit sau pierdere poate fi desemnat ca instrument de acoperire împotriva riscurilor, cu excepţia anumitor opţiuni emise (a se vedea punctul B6.2.4).</w:t>
      </w:r>
      <w:bookmarkEnd w:id="268"/>
    </w:p>
    <w:p w:rsidR="00AC292A" w:rsidRDefault="00AC292A">
      <w:pPr>
        <w:pStyle w:val="IASBNormalnpara"/>
        <w:rPr>
          <w:b/>
        </w:rPr>
      </w:pPr>
      <w:r>
        <w:rPr>
          <w:b/>
        </w:rPr>
        <w:t>6.2.2</w:t>
      </w:r>
      <w:bookmarkStart w:id="269" w:name="SL32570206"/>
      <w:r w:rsidR="0031067B">
        <w:rPr>
          <w:b/>
        </w:rPr>
        <w:tab/>
      </w:r>
      <w:r>
        <w:rPr>
          <w:b/>
        </w:rPr>
        <w:t>Un activ financiar nederivat sau o datorie financiară nederivată evaluat(ă) la valoarea justă prin profit sau pierdere poate fi desemnat(ă) ca instrument de acoperire împotriva riscurilor doar dacă nu este o datorie financiară desemnată ca fiind la valoarea justă prin profit sau pierdere pentru care cuantumul modificării valorii juste care este atribuibil modificărilor riscului de credit aferent acelei datorii este prezentat în alte elemente ale rezultatului global în conformitate cu punctul 5.7.7. Pentru o acoperire a riscului valutar, componenta de risc valutar a unui activ financiar nederivat sau a unei datorii financiare nederivate poate fi desemnată ca instrument de acoperire împotriva riscurilor cu condiţia să nu fie o investiţie într-un instrument de capitaluri proprii pentru care o entitate a optat să prezinte modificările valorii juste în alte elemente ale rezultatului global în conformitate cu punctul 5.7.5.</w:t>
      </w:r>
      <w:bookmarkEnd w:id="269"/>
    </w:p>
    <w:p w:rsidR="00AC292A" w:rsidRDefault="00AC292A">
      <w:pPr>
        <w:pStyle w:val="IASBNormalnpara"/>
        <w:rPr>
          <w:b/>
        </w:rPr>
      </w:pPr>
      <w:r>
        <w:rPr>
          <w:b/>
        </w:rPr>
        <w:t>6.2.3</w:t>
      </w:r>
      <w:bookmarkStart w:id="270" w:name="SL32570207"/>
      <w:r w:rsidR="0031067B">
        <w:rPr>
          <w:b/>
        </w:rPr>
        <w:tab/>
      </w:r>
      <w:r>
        <w:rPr>
          <w:b/>
        </w:rPr>
        <w:t>În sensul contabilităţii de acoperire împotriva riscurilor, doar contractele cu o parte din afara entităţii raportoare (adică externă grupului sau entităţii individuale care face obiectul raportării) pot fi desemnate drept instrumente de acoperire împotriva riscurilor.</w:t>
      </w:r>
      <w:bookmarkEnd w:id="270"/>
    </w:p>
    <w:p w:rsidR="00AC292A" w:rsidRDefault="00AC292A">
      <w:pPr>
        <w:pStyle w:val="IASBSectionTitle2Ind"/>
      </w:pPr>
      <w:bookmarkStart w:id="271" w:name="SL32570209"/>
      <w:r>
        <w:t>Desemnarea instrumentelor de acoperire împotriva riscurilor</w:t>
      </w:r>
      <w:bookmarkEnd w:id="271"/>
    </w:p>
    <w:p w:rsidR="00AC292A" w:rsidRDefault="00AC292A">
      <w:pPr>
        <w:pStyle w:val="IASBNormalnpara"/>
      </w:pPr>
      <w:r>
        <w:t>6.2.4</w:t>
      </w:r>
      <w:r>
        <w:tab/>
      </w:r>
      <w:bookmarkStart w:id="272" w:name="SL32570210"/>
      <w:r>
        <w:t>Un instrument care îndeplinește condițiile necesare trebuie desemnat în întregime drept instrument de acoperire împotriva riscurilor. Singurele excepţii permise sunt:</w:t>
      </w:r>
      <w:bookmarkEnd w:id="272"/>
    </w:p>
    <w:p w:rsidR="00AC292A" w:rsidRDefault="00AC292A">
      <w:pPr>
        <w:pStyle w:val="IASBNormalnparaL1"/>
      </w:pPr>
      <w:r>
        <w:lastRenderedPageBreak/>
        <w:t>(a)</w:t>
      </w:r>
      <w:r>
        <w:tab/>
      </w:r>
      <w:bookmarkStart w:id="273" w:name="SL32570213"/>
      <w:r>
        <w:t>separarea valorii intrinsece şi a valorii-timp pentru un contract pe opţiuni şi desemnarea ca instrument de acoperire împotriva riscurilor doar a modificării valorii intrinsece a unei opţiuni, şi nu a modificării valorii sale timp (a se vedea punctele 6.5.15 și B6.5.29-B6.5.33);</w:t>
      </w:r>
      <w:bookmarkEnd w:id="273"/>
    </w:p>
    <w:p w:rsidR="00AC292A" w:rsidRDefault="00AC292A">
      <w:pPr>
        <w:pStyle w:val="IASBNormalnparaL1"/>
      </w:pPr>
      <w:r>
        <w:t>(b)</w:t>
      </w:r>
      <w:r>
        <w:tab/>
      </w:r>
      <w:bookmarkStart w:id="274" w:name="SL32570215"/>
      <w:r>
        <w:t>separarea elementului forward şi a elementului la vedere dintr-un contract forward şi desemnarea ca instrument de acoperire împotriva riscurilor doar a modificării valorii elementului la vedere din contractul forward, şi nu a elementului forward; similar, marja cu bază valutară poate fi separată şi exclusă din desemnarea unui instrument financiar ca instrument de acoperire împotriva riscurilor (a se vedea punctele 6.5.16 şi B6.5.34-B6.5.39); și</w:t>
      </w:r>
      <w:bookmarkEnd w:id="274"/>
    </w:p>
    <w:p w:rsidR="00AC292A" w:rsidRDefault="00AC292A">
      <w:pPr>
        <w:pStyle w:val="IASBNormalnparaL1"/>
      </w:pPr>
      <w:r>
        <w:t>(c)</w:t>
      </w:r>
      <w:r>
        <w:tab/>
      </w:r>
      <w:bookmarkStart w:id="275" w:name="SL32570217"/>
      <w:r>
        <w:t>o parte a întregului instrument de acoperire împotriva riscurilor, cum ar fi 50% din valoarea nominală, poate fi desemnată drept instrumentul de acoperire într-o relaţie de acoperire împotriva riscurilor. Totuși, un instrument de acoperire împotriva riscurilor poate să nu fie desemnat pentru o parte din modificarea valorii juste care rezultă doar dintr-o porțiune a perioadei de timp în care instrumentul de acoperire împotriva riscurilor rămâne valabil.</w:t>
      </w:r>
      <w:bookmarkEnd w:id="275"/>
    </w:p>
    <w:p w:rsidR="00AC292A" w:rsidRDefault="00AC292A">
      <w:pPr>
        <w:pStyle w:val="IASBNormalnpara"/>
      </w:pPr>
      <w:r>
        <w:t>6.2.5</w:t>
      </w:r>
      <w:r>
        <w:tab/>
      </w:r>
      <w:bookmarkStart w:id="276" w:name="SL32570218"/>
      <w:r>
        <w:t>O entitate poate considera în combinaţie şi poate desemna în comun ca instrument de acoperire împotriva riscurilor orice combinație dintre următoarele elemente (inclusiv acele situaţii în care riscul sau riscurile generat(e) de anumite instrumente de acoperire le compensează pe cele generate de altele):</w:t>
      </w:r>
      <w:bookmarkEnd w:id="276"/>
    </w:p>
    <w:p w:rsidR="00AC292A" w:rsidRDefault="00AC292A">
      <w:pPr>
        <w:pStyle w:val="IASBNormalnparaL1"/>
      </w:pPr>
      <w:r>
        <w:t>(a)</w:t>
      </w:r>
      <w:r>
        <w:tab/>
      </w:r>
      <w:bookmarkStart w:id="277" w:name="SL32570221"/>
      <w:r>
        <w:t>instrumente derivate sau o parte din acestea; și</w:t>
      </w:r>
      <w:bookmarkEnd w:id="277"/>
    </w:p>
    <w:p w:rsidR="00AC292A" w:rsidRDefault="00AC292A">
      <w:pPr>
        <w:pStyle w:val="IASBNormalnparaL1"/>
      </w:pPr>
      <w:r>
        <w:t>(b)</w:t>
      </w:r>
      <w:r>
        <w:tab/>
      </w:r>
      <w:bookmarkStart w:id="278" w:name="SL32570223"/>
      <w:r>
        <w:t>instrumente nederivate sau o parte din acestea.</w:t>
      </w:r>
      <w:bookmarkEnd w:id="278"/>
    </w:p>
    <w:p w:rsidR="00AC292A" w:rsidRDefault="00AC292A">
      <w:pPr>
        <w:pStyle w:val="IASBNormalnpara"/>
      </w:pPr>
      <w:r>
        <w:t>6.2.6</w:t>
      </w:r>
      <w:r>
        <w:tab/>
      </w:r>
      <w:bookmarkStart w:id="279" w:name="SL32570224"/>
      <w:r>
        <w:t>Totuşi, un instrument derivat care combină o opţiune emisă şi o opţiune cumpărată (de exemplu, un „collar” de rată a dobânzii) nu se califică drept instrument de acoperire împotriva riscurilor dacă este, de fapt, o opţiune emisă netă la data desemnării (cu excepția cazului în care se califică în conformitate cu punctul B6.2.4). În mod similar, două sau mai multe instrumente (sau părţi din acestea) pot fi desemnate împreună ca instrument de acoperire împotriva riscurilor doar dacă nu sunt, de fapt, în combinaţie, o opţiune emisă netă la data desemnării (cu excepţia situaţiei în care se califică în conformitate cu punctul B6.2.4).</w:t>
      </w:r>
      <w:bookmarkEnd w:id="279"/>
    </w:p>
    <w:p w:rsidR="00AC292A" w:rsidRDefault="00AC292A">
      <w:pPr>
        <w:pStyle w:val="IASBSectionTitle1NonInd"/>
      </w:pPr>
      <w:bookmarkStart w:id="280" w:name="SL32570226"/>
      <w:r>
        <w:t>6.3 Elemente acoperite împotriva riscurilor</w:t>
      </w:r>
      <w:bookmarkEnd w:id="280"/>
    </w:p>
    <w:p w:rsidR="00AC292A" w:rsidRDefault="00AC292A">
      <w:pPr>
        <w:pStyle w:val="IASBSectionTitle2Ind"/>
      </w:pPr>
      <w:bookmarkStart w:id="281" w:name="SL32570228"/>
      <w:r>
        <w:t>Elemente care îndeplinesc condiţiile pentru această categorie</w:t>
      </w:r>
      <w:bookmarkEnd w:id="281"/>
    </w:p>
    <w:p w:rsidR="00AC292A" w:rsidRDefault="00AC292A">
      <w:pPr>
        <w:pStyle w:val="IASBNormalnpara"/>
        <w:rPr>
          <w:b/>
        </w:rPr>
      </w:pPr>
      <w:r>
        <w:rPr>
          <w:b/>
        </w:rPr>
        <w:t>6.3.1</w:t>
      </w:r>
      <w:bookmarkStart w:id="282" w:name="SL32570229"/>
      <w:r w:rsidR="0031067B">
        <w:rPr>
          <w:b/>
        </w:rPr>
        <w:tab/>
      </w:r>
      <w:r>
        <w:rPr>
          <w:b/>
        </w:rPr>
        <w:t xml:space="preserve">Un element acoperit împotriva riscurilor poate fi un activ sau o datorie recunoscut(ă), un </w:t>
      </w:r>
      <w:r>
        <w:rPr>
          <w:b/>
          <w:i/>
        </w:rPr>
        <w:t>angajament ferm</w:t>
      </w:r>
      <w:r>
        <w:rPr>
          <w:b/>
        </w:rPr>
        <w:t xml:space="preserve"> nerecunoscut, o </w:t>
      </w:r>
      <w:r>
        <w:rPr>
          <w:b/>
          <w:i/>
        </w:rPr>
        <w:t>tranzacţie prognozată</w:t>
      </w:r>
      <w:r>
        <w:rPr>
          <w:b/>
        </w:rPr>
        <w:t xml:space="preserve"> sau o investiţie netă într-o operaţiune din străinătate. Elementul acoperit împotriva riscurilor poate fi:</w:t>
      </w:r>
      <w:bookmarkEnd w:id="282"/>
    </w:p>
    <w:p w:rsidR="00AC292A" w:rsidRDefault="00AC292A">
      <w:pPr>
        <w:pStyle w:val="IASBNormalnparaL1"/>
        <w:rPr>
          <w:b/>
        </w:rPr>
      </w:pPr>
      <w:r>
        <w:rPr>
          <w:b/>
        </w:rPr>
        <w:t>(a)</w:t>
      </w:r>
      <w:bookmarkStart w:id="283" w:name="SL32570235"/>
      <w:r>
        <w:rPr>
          <w:b/>
        </w:rPr>
        <w:t>un singur element; sau</w:t>
      </w:r>
      <w:bookmarkEnd w:id="283"/>
    </w:p>
    <w:p w:rsidR="00AC292A" w:rsidRDefault="00AC292A">
      <w:pPr>
        <w:pStyle w:val="IASBNormalnparaL1"/>
        <w:rPr>
          <w:b/>
        </w:rPr>
      </w:pPr>
      <w:r>
        <w:rPr>
          <w:b/>
        </w:rPr>
        <w:t>(b)</w:t>
      </w:r>
      <w:bookmarkStart w:id="284" w:name="SL32570237"/>
      <w:r>
        <w:rPr>
          <w:b/>
        </w:rPr>
        <w:t>un grup de elemente (sub rezerva dispoziţiilor de la punctele 6.6.1-6.6.6 şi B6.6.1-B6.6.16).</w:t>
      </w:r>
      <w:bookmarkEnd w:id="284"/>
    </w:p>
    <w:p w:rsidR="00AC292A" w:rsidRDefault="00AC292A">
      <w:pPr>
        <w:pStyle w:val="IASBNormalnparaP"/>
        <w:rPr>
          <w:b/>
        </w:rPr>
      </w:pPr>
      <w:bookmarkStart w:id="285" w:name="SL32570238"/>
      <w:r>
        <w:rPr>
          <w:b/>
        </w:rPr>
        <w:t>Un element acoperit împotriva riscurilor poate fi şi o componentă a unui astfel de element sau grup de elemente (a se vedea punctele 6.3.7 şi B6.3.7-B6.3.25).</w:t>
      </w:r>
      <w:bookmarkEnd w:id="285"/>
    </w:p>
    <w:p w:rsidR="00AC292A" w:rsidRDefault="00AC292A">
      <w:pPr>
        <w:pStyle w:val="IASBNormalnpara"/>
        <w:rPr>
          <w:b/>
        </w:rPr>
      </w:pPr>
      <w:r>
        <w:rPr>
          <w:b/>
        </w:rPr>
        <w:t>6.3.2</w:t>
      </w:r>
      <w:bookmarkStart w:id="286" w:name="SL32570239"/>
      <w:r w:rsidR="0031067B">
        <w:rPr>
          <w:b/>
        </w:rPr>
        <w:tab/>
      </w:r>
      <w:r>
        <w:rPr>
          <w:b/>
        </w:rPr>
        <w:t>Elementul acoperit împotriva riscurilor trebuie să poată fi evaluat în mod fiabil.</w:t>
      </w:r>
      <w:bookmarkEnd w:id="286"/>
    </w:p>
    <w:p w:rsidR="00AC292A" w:rsidRDefault="00AC292A">
      <w:pPr>
        <w:pStyle w:val="IASBNormalnpara"/>
        <w:rPr>
          <w:b/>
        </w:rPr>
      </w:pPr>
      <w:r>
        <w:rPr>
          <w:b/>
        </w:rPr>
        <w:t>6.3.3</w:t>
      </w:r>
      <w:bookmarkStart w:id="287" w:name="SL32570240"/>
      <w:r w:rsidR="0031067B">
        <w:rPr>
          <w:b/>
        </w:rPr>
        <w:tab/>
      </w:r>
      <w:r>
        <w:rPr>
          <w:b/>
        </w:rPr>
        <w:t>Dacă un element acoperit împotriva riscurilor este o tranzacţie prognozată (sau o componentă a tranzacţiei), acea tranzacţie trebuie să fie foarte probabilă.</w:t>
      </w:r>
      <w:bookmarkEnd w:id="287"/>
    </w:p>
    <w:p w:rsidR="00AC292A" w:rsidRDefault="00AC292A">
      <w:pPr>
        <w:pStyle w:val="IASBNormalnpara"/>
        <w:rPr>
          <w:b/>
        </w:rPr>
      </w:pPr>
      <w:r>
        <w:rPr>
          <w:b/>
        </w:rPr>
        <w:t>6.3.4</w:t>
      </w:r>
      <w:bookmarkStart w:id="288" w:name="SL32570241"/>
      <w:r w:rsidR="0031067B">
        <w:rPr>
          <w:b/>
        </w:rPr>
        <w:tab/>
      </w:r>
      <w:r>
        <w:rPr>
          <w:b/>
        </w:rPr>
        <w:t>O expunere agregată care este o combinaţie între o expunere care s-ar putea califica drept element acoperit împotriva riscurilor conform punctului 6.3.1 şi un instrument derivat poate fi desemnată ca element acoperit împotriva riscurilor (a se vedea punctele B6.3.3-B6.3.4). Aici este inclusă şi o tranzacţie prognozată aferentă unei expuneri agregate (adică tranzacţii viitoare neangajate, dar anticipate care ar genera o expunere şi un instrument derivat) dacă acea expunere agregată este foarte probabilă şi este eligibilă ca element acoperit împotriva riscurilor odată ce a apărut şi nu mai este, prin urmare, prognozată.</w:t>
      </w:r>
      <w:bookmarkEnd w:id="288"/>
    </w:p>
    <w:p w:rsidR="00AC292A" w:rsidRDefault="00AC292A">
      <w:pPr>
        <w:pStyle w:val="IASBNormalnpara"/>
        <w:rPr>
          <w:b/>
        </w:rPr>
      </w:pPr>
      <w:r>
        <w:rPr>
          <w:b/>
        </w:rPr>
        <w:t>6.3.5</w:t>
      </w:r>
      <w:bookmarkStart w:id="289" w:name="SL32570242"/>
      <w:r w:rsidR="0031067B">
        <w:rPr>
          <w:b/>
        </w:rPr>
        <w:tab/>
      </w:r>
      <w:r>
        <w:rPr>
          <w:b/>
        </w:rPr>
        <w:t xml:space="preserve">În sensul contabilităţii de acoperire împotriva riscurilor, doar activele, datoriile, angajamentele ferme sau tranzacţiile prognozate foarte probabile cu părți externe entităţii raportoare pot fi desemnate ca elemente acoperite împotriva riscurilor. Contabilitatea de acoperire împotriva riscurilor poate fi aplicată tranzacţiilor dintre entităţi din acelaşi grup doar în situaţiile financiare separate sau individuale ale acelor entităţi, şi nu în situaţiile financiare consolidate ale grupului, cu excepţia situaţiilor financiare consolidate ale unei entităţi de investiţii, conform definiţiei din IFRS 10, în care tranzacţiile dintre o entitate de investiţii şi filialele sale evaluate la valoarea justă prin profit sau pierdere nu vor fi eliminate din situaţiile financiare consolidate. </w:t>
      </w:r>
      <w:bookmarkEnd w:id="289"/>
    </w:p>
    <w:p w:rsidR="00AC292A" w:rsidRDefault="00AC292A">
      <w:pPr>
        <w:pStyle w:val="IASBNormalnpara"/>
      </w:pPr>
      <w:r>
        <w:lastRenderedPageBreak/>
        <w:t>6.3.6</w:t>
      </w:r>
      <w:r>
        <w:tab/>
      </w:r>
      <w:bookmarkStart w:id="290" w:name="SL32570243"/>
      <w:r>
        <w:t xml:space="preserve">Totuși, ca o excepţie de la punctul 6.3.5, riscul valutar pentru un element monetar din interiorul grupului (de exemplu, o creanţă/datorie dintre două filiale) poate îndeplini condiţiile unui element acoperit împotriva riscurilor în situaţiile financiare consolidate dacă are drept rezultat expunerea la pierderi sau câştiguri din cursul de schimb valutar care nu sunt eliminate pe deplin la consolidare conform IAS 21 </w:t>
      </w:r>
      <w:r>
        <w:rPr>
          <w:i/>
        </w:rPr>
        <w:t>Efectele variaţiei cursurilor de schimb valutar</w:t>
      </w:r>
      <w:r>
        <w:t>. În conformitate cu IAS 21, pierderile şi câştigurile din cursul de schimb valutar pentru elemente monetare din interiorul grupului nu sunt pe deplin eliminate la consolidare atunci când elementul monetar din interiorul grupului este tranzacţionat între două entităţi ale grupului care au monede funcţionale diferite. În plus, riscul valutar aferent unei tranzacţii prognozate foarte probabile din interiorul grupului poate îndeplini condiţiile unui element acoperit împotriva riscurilor în situaţiile financiare consolidate cu condiţia ca tranzacţia să fie exprimată în altă monedă decât moneda funcţională a entităţii care iniţiază tranzacţia, iar riscul valutar să afecteze profitul sau pierderea consolidat(ă).</w:t>
      </w:r>
      <w:bookmarkEnd w:id="290"/>
    </w:p>
    <w:p w:rsidR="00AC292A" w:rsidRDefault="00AC292A">
      <w:pPr>
        <w:pStyle w:val="IASBSectionTitle2Ind"/>
      </w:pPr>
      <w:bookmarkStart w:id="291" w:name="SL32570246"/>
      <w:r>
        <w:t>Desemnarea elementelor acoperite împotriva riscurilor</w:t>
      </w:r>
      <w:bookmarkEnd w:id="291"/>
    </w:p>
    <w:p w:rsidR="00AC292A" w:rsidRDefault="00AC292A">
      <w:pPr>
        <w:pStyle w:val="IASBNormalnpara"/>
      </w:pPr>
      <w:r>
        <w:t>6.3.7</w:t>
      </w:r>
      <w:r>
        <w:tab/>
      </w:r>
      <w:bookmarkStart w:id="292" w:name="SL32570247"/>
      <w:r>
        <w:t>O entitate poate desemna un element în totalitatea sa sau o componentă a unui element ca element acoperit împotriva riscurilor într-o relaţie de acoperire împotriva riscurilor. Un element în totalitatea sa cuprinde toate modificările fluxurilor de trezorerie sau ale valorii juste aferente unui element. O componentă cuprinde mai puțin decât totalitatea modificărilor valorii juste sau a variabilităţii fluxurilor de trezorerie aferente unui element. În această situaţie, o entitate poate desemna ca elemente acoperite împotriva riscurilor doar următoarele tipuri de componente (inclusiv combinaţii):</w:t>
      </w:r>
      <w:bookmarkEnd w:id="292"/>
    </w:p>
    <w:p w:rsidR="00AC292A" w:rsidRDefault="00AC292A">
      <w:pPr>
        <w:pStyle w:val="IASBNormalnparaL1"/>
      </w:pPr>
      <w:r>
        <w:t>(a)</w:t>
      </w:r>
      <w:r>
        <w:tab/>
      </w:r>
      <w:bookmarkStart w:id="293" w:name="SL32570250"/>
      <w:r>
        <w:t>doar modificări ale fluxurilor de trezorerie sau ale valorii juste aferente unui element atribuibile unui anumit risc sau anumitor riscuri (componente de risc), cu condiţia ca, pe baza unei evaluări în contextul structurii specifice a pieţei, componenta de risc să fie identificabilă în mod distinct şi să poată fi evaluată în mod fiabil (a se vedea punctele B6.3.8-B6.3.15). Componentele de risc includ numai o desemnare a modificărilor fluxurilor de trezorerie sau ale valorii juste a unui element acoperit împotriva riscurilor peste sau sub un preţ specificat sau o altă variabilă (un risc unilateral).</w:t>
      </w:r>
      <w:bookmarkEnd w:id="293"/>
    </w:p>
    <w:p w:rsidR="00AC292A" w:rsidRDefault="00AC292A">
      <w:pPr>
        <w:pStyle w:val="IASBNormalnparaL1"/>
      </w:pPr>
      <w:r>
        <w:t>(b)</w:t>
      </w:r>
      <w:r>
        <w:tab/>
      </w:r>
      <w:bookmarkStart w:id="294" w:name="SL32570252"/>
      <w:r>
        <w:t>unul sau mai multe fluxuri de trezorerie contractuale selectate.</w:t>
      </w:r>
      <w:bookmarkEnd w:id="294"/>
    </w:p>
    <w:p w:rsidR="00AC292A" w:rsidRDefault="00AC292A">
      <w:pPr>
        <w:pStyle w:val="IASBNormalnparaL1"/>
      </w:pPr>
      <w:r>
        <w:t>(c)</w:t>
      </w:r>
      <w:r>
        <w:tab/>
      </w:r>
      <w:bookmarkStart w:id="295" w:name="SL32570254"/>
      <w:r>
        <w:t>componente la o valoare nominală, adică o anumită parte din valoarea unui element (a se vedea punctele B6.3.16-B6.3.20).</w:t>
      </w:r>
      <w:bookmarkEnd w:id="295"/>
    </w:p>
    <w:p w:rsidR="00AC292A" w:rsidRDefault="00AC292A">
      <w:pPr>
        <w:pStyle w:val="IASBSectionTitle1NonInd"/>
      </w:pPr>
      <w:bookmarkStart w:id="296" w:name="SL32570256"/>
      <w:r>
        <w:t>6.4 Criteriile necesare pentru contabilitatea de acoperire împotriva riscurilor</w:t>
      </w:r>
      <w:bookmarkEnd w:id="296"/>
    </w:p>
    <w:p w:rsidR="00AC292A" w:rsidRDefault="00AC292A">
      <w:pPr>
        <w:pStyle w:val="IASBNormalnpara"/>
        <w:rPr>
          <w:b/>
        </w:rPr>
      </w:pPr>
      <w:r>
        <w:rPr>
          <w:b/>
        </w:rPr>
        <w:t>6.4.1</w:t>
      </w:r>
      <w:bookmarkStart w:id="297" w:name="SL32570257"/>
      <w:r w:rsidR="0031067B">
        <w:rPr>
          <w:b/>
        </w:rPr>
        <w:tab/>
      </w:r>
      <w:r>
        <w:rPr>
          <w:b/>
        </w:rPr>
        <w:t>O relaţie de acoperire împotriva riscurilor îndeplineşte condiţiile pentru contabilitatea de acoperire împotriva riscurilor dacă respectă toate criteriile de mai jos:</w:t>
      </w:r>
      <w:bookmarkEnd w:id="297"/>
    </w:p>
    <w:p w:rsidR="00AC292A" w:rsidRDefault="00AC292A">
      <w:pPr>
        <w:pStyle w:val="IASBNormalnparaL1"/>
        <w:rPr>
          <w:b/>
        </w:rPr>
      </w:pPr>
      <w:r>
        <w:rPr>
          <w:b/>
        </w:rPr>
        <w:t>(a)</w:t>
      </w:r>
      <w:bookmarkStart w:id="298" w:name="SL32570260"/>
      <w:r w:rsidR="0031067B">
        <w:rPr>
          <w:b/>
        </w:rPr>
        <w:tab/>
      </w:r>
      <w:r>
        <w:rPr>
          <w:b/>
        </w:rPr>
        <w:t>relaţia de acoperire împotriva riscurilor constă doar în instrumente eligibile de acoperire împotriva riscurilor şi elemente eligibile acoperite împotriva riscurilor.</w:t>
      </w:r>
      <w:bookmarkEnd w:id="298"/>
    </w:p>
    <w:p w:rsidR="00AC292A" w:rsidRDefault="00AC292A">
      <w:pPr>
        <w:pStyle w:val="IASBNormalnparaL1"/>
        <w:rPr>
          <w:b/>
        </w:rPr>
      </w:pPr>
      <w:r>
        <w:rPr>
          <w:b/>
        </w:rPr>
        <w:t>(b)</w:t>
      </w:r>
      <w:bookmarkStart w:id="299" w:name="SL32570262"/>
      <w:r w:rsidR="0031067B">
        <w:rPr>
          <w:b/>
        </w:rPr>
        <w:tab/>
      </w:r>
      <w:r>
        <w:rPr>
          <w:b/>
        </w:rPr>
        <w:t xml:space="preserve">la iniţierea relaţiei de acoperire împotriva riscurilor există o desemnare şi o documentaţie oficiale privind relaţia de acoperire, precum şi ale obiectivului și strategiei entităţii de gestionare a riscului pentru realizarea acoperirii. Documentaţia trebuie să cuprindă identificarea instrumentului de acoperire, a elementului acoperit, a naturii riscului acoperit şi a modului în care entitatea va evalua dacă relaţia de acoperire împotriva riscurilor îndeplineşte sau nu dispoziţiile privind eficacitatea acoperirii (inclusiv analiza sa asupra surselor de ineficacitate a acoperirii şi modul în care se determină </w:t>
      </w:r>
      <w:r>
        <w:rPr>
          <w:b/>
          <w:i/>
        </w:rPr>
        <w:t>rata de acoperire</w:t>
      </w:r>
      <w:r>
        <w:rPr>
          <w:b/>
        </w:rPr>
        <w:t>).</w:t>
      </w:r>
      <w:bookmarkEnd w:id="299"/>
    </w:p>
    <w:p w:rsidR="00AC292A" w:rsidRDefault="00AC292A">
      <w:pPr>
        <w:pStyle w:val="IASBNormalnparaL1"/>
        <w:rPr>
          <w:b/>
        </w:rPr>
      </w:pPr>
      <w:r>
        <w:rPr>
          <w:b/>
        </w:rPr>
        <w:t>(c)</w:t>
      </w:r>
      <w:bookmarkStart w:id="300" w:name="SL32570265"/>
      <w:r w:rsidR="0031067B">
        <w:rPr>
          <w:b/>
        </w:rPr>
        <w:tab/>
      </w:r>
      <w:r>
        <w:rPr>
          <w:b/>
        </w:rPr>
        <w:t>relaţia de acoperire împotriva riscurilor îndeplineşte toate dispoziţiile următoare privind eficacitatea acoperirii împotriva riscurilor :</w:t>
      </w:r>
      <w:bookmarkEnd w:id="300"/>
    </w:p>
    <w:p w:rsidR="00AC292A" w:rsidRDefault="00AC292A">
      <w:pPr>
        <w:pStyle w:val="IASBNormalnparaL2"/>
        <w:rPr>
          <w:b/>
        </w:rPr>
      </w:pPr>
      <w:r>
        <w:rPr>
          <w:b/>
        </w:rPr>
        <w:t>(i)</w:t>
      </w:r>
      <w:bookmarkStart w:id="301" w:name="SL32570268"/>
      <w:r w:rsidR="0031067B">
        <w:rPr>
          <w:b/>
        </w:rPr>
        <w:tab/>
      </w:r>
      <w:r>
        <w:rPr>
          <w:b/>
        </w:rPr>
        <w:t>există o relaţie economică între elementul acoperit împotriva riscurilor şi instrumentul de acoperire împotriva riscurilor (a se vedea punctele B6.4.4-B6.4.6);</w:t>
      </w:r>
      <w:bookmarkEnd w:id="301"/>
    </w:p>
    <w:p w:rsidR="00AC292A" w:rsidRDefault="00AC292A">
      <w:pPr>
        <w:pStyle w:val="IASBNormalnparaL2"/>
        <w:rPr>
          <w:b/>
        </w:rPr>
      </w:pPr>
      <w:r>
        <w:rPr>
          <w:b/>
        </w:rPr>
        <w:t>(ii)</w:t>
      </w:r>
      <w:bookmarkStart w:id="302" w:name="SL32570270"/>
      <w:r w:rsidR="0031067B">
        <w:rPr>
          <w:b/>
        </w:rPr>
        <w:tab/>
      </w:r>
      <w:r>
        <w:rPr>
          <w:b/>
        </w:rPr>
        <w:t>efectul riscului de credit nu domină modificările de valoare care rezultă din respectiva relație economică (a se vedea punctele B6.4.7-B6.4.8); și</w:t>
      </w:r>
      <w:bookmarkEnd w:id="302"/>
    </w:p>
    <w:p w:rsidR="00AC292A" w:rsidRDefault="00AC292A">
      <w:pPr>
        <w:pStyle w:val="IASBNormalnparaL2"/>
        <w:rPr>
          <w:b/>
        </w:rPr>
      </w:pPr>
      <w:r>
        <w:rPr>
          <w:b/>
        </w:rPr>
        <w:t>(iii)</w:t>
      </w:r>
      <w:bookmarkStart w:id="303" w:name="SL32570272"/>
      <w:r w:rsidR="0031067B">
        <w:rPr>
          <w:b/>
        </w:rPr>
        <w:tab/>
      </w:r>
      <w:r>
        <w:rPr>
          <w:b/>
        </w:rPr>
        <w:t xml:space="preserve">rata de acoperire din relaţia de acoperire împotriva riscurilor este aceeași cu cea care rezultă din cantitatea din elementul acoperit pe care entitatea o acoperă de fapt și din cantitatea din instrumentul de acoperire folosită de fapt de entitate pentru a acoperi respectiva cantitate din elementul acoperit. Totuși, acea </w:t>
      </w:r>
      <w:r>
        <w:rPr>
          <w:b/>
        </w:rPr>
        <w:lastRenderedPageBreak/>
        <w:t>desemnare nu trebuie să reflecte un dezechilibru între ponderile elementului acoperit și instrumentului de acoperire care ar determina o ineficacitate a acoperirii împotriva riscurilor (indiferent dacă este sau nu recunoscută) ce ar putea genera un rezultat contabil inconsecvent cu obiectivul contabilității de acoperire împotriva riscurilor (a se vedea punctele B6.4.9-B6.4.11).</w:t>
      </w:r>
      <w:bookmarkEnd w:id="303"/>
    </w:p>
    <w:p w:rsidR="00AC292A" w:rsidRDefault="00AC292A">
      <w:pPr>
        <w:pStyle w:val="IASBSectionTitle1NonInd"/>
      </w:pPr>
      <w:bookmarkStart w:id="304" w:name="SL32570274"/>
      <w:r>
        <w:t>6.5 Contabilizarea relaţiilor de acoperire împotriva riscurilor care îndeplinesc condiţiile necesare</w:t>
      </w:r>
      <w:bookmarkEnd w:id="304"/>
    </w:p>
    <w:p w:rsidR="00AC292A" w:rsidRDefault="00AC292A">
      <w:pPr>
        <w:pStyle w:val="IASBNormalnpara"/>
        <w:rPr>
          <w:b/>
        </w:rPr>
      </w:pPr>
      <w:r>
        <w:rPr>
          <w:b/>
        </w:rPr>
        <w:t>6.5.1</w:t>
      </w:r>
      <w:bookmarkStart w:id="305" w:name="SL32570275"/>
      <w:r w:rsidR="0031067B">
        <w:rPr>
          <w:b/>
        </w:rPr>
        <w:tab/>
      </w:r>
      <w:r>
        <w:rPr>
          <w:b/>
        </w:rPr>
        <w:t>O entitate aplică contabilitatea de acoperire împotriva riscurilor pentru relaţiile de acoperire care îndeplinesc criteriile necesare de la punctul 6.4.1 (care includ decizia entității de a desemna o relație de acoperire).</w:t>
      </w:r>
      <w:bookmarkEnd w:id="305"/>
    </w:p>
    <w:p w:rsidR="00AC292A" w:rsidRDefault="00AC292A">
      <w:pPr>
        <w:pStyle w:val="IASBNormalnpara"/>
        <w:rPr>
          <w:b/>
        </w:rPr>
      </w:pPr>
      <w:r>
        <w:rPr>
          <w:b/>
        </w:rPr>
        <w:t>6.5.2</w:t>
      </w:r>
      <w:bookmarkStart w:id="306" w:name="SL32570276"/>
      <w:r w:rsidR="0031067B">
        <w:rPr>
          <w:b/>
        </w:rPr>
        <w:tab/>
      </w:r>
      <w:r>
        <w:rPr>
          <w:b/>
        </w:rPr>
        <w:t>Există trei tipuri de relaţii de acoperire împotriva riscurilor:</w:t>
      </w:r>
      <w:bookmarkEnd w:id="306"/>
    </w:p>
    <w:p w:rsidR="00AC292A" w:rsidRDefault="00AC292A">
      <w:pPr>
        <w:pStyle w:val="IASBNormalnparaL1"/>
        <w:rPr>
          <w:b/>
        </w:rPr>
      </w:pPr>
      <w:r>
        <w:rPr>
          <w:b/>
        </w:rPr>
        <w:t>(a)</w:t>
      </w:r>
      <w:bookmarkStart w:id="307" w:name="SL32570279"/>
      <w:r w:rsidR="0031067B">
        <w:rPr>
          <w:b/>
        </w:rPr>
        <w:tab/>
      </w:r>
      <w:r>
        <w:rPr>
          <w:b/>
        </w:rPr>
        <w:t>acoperirea valorii juste împotriva riscurilor: o acoperire a expunerii la modificările valorii juste a unui activ sau a unei datorii recunoscut(e) ori a unui angajament ferm nerecunoscut sau a unei componente a oricărui astfel de element, care poate fi atribuită unui risc specific şi care ar putea afecta profitul sau pierderea.</w:t>
      </w:r>
      <w:bookmarkEnd w:id="307"/>
    </w:p>
    <w:p w:rsidR="00AC292A" w:rsidRDefault="00AC292A">
      <w:pPr>
        <w:pStyle w:val="IASBNormalnparaL1"/>
        <w:rPr>
          <w:b/>
        </w:rPr>
      </w:pPr>
      <w:r>
        <w:rPr>
          <w:b/>
        </w:rPr>
        <w:t>(b)</w:t>
      </w:r>
      <w:bookmarkStart w:id="308" w:name="SL32570281"/>
      <w:r w:rsidR="0031067B">
        <w:rPr>
          <w:b/>
        </w:rPr>
        <w:tab/>
      </w:r>
      <w:r>
        <w:rPr>
          <w:b/>
        </w:rPr>
        <w:t>acoperirea fluxurilor de trezorerie împotriva riscurilor: o acoperire a expunerii la variaţia fluxurilor de trezorerie care poate fi atribuită unui risc specific asociat cu o componentă sau cu un activ complet sau cu o datorie completă recunoscut(ă) (cum ar fi plăţile totale sau parțiale de dobândă aferente unei datorii cu rată variabilă) sau asociat cu o tranzacţie prognozată foarte probabilă şi care ar putea afecta profitul sau pierderea.</w:t>
      </w:r>
      <w:bookmarkEnd w:id="308"/>
    </w:p>
    <w:p w:rsidR="00AC292A" w:rsidRDefault="00AC292A">
      <w:pPr>
        <w:pStyle w:val="IASBNormalnparaL1"/>
        <w:rPr>
          <w:b/>
        </w:rPr>
      </w:pPr>
      <w:r>
        <w:rPr>
          <w:b/>
        </w:rPr>
        <w:t>(c)</w:t>
      </w:r>
      <w:bookmarkStart w:id="309" w:name="SL32570283"/>
      <w:r w:rsidR="0031067B">
        <w:rPr>
          <w:b/>
        </w:rPr>
        <w:tab/>
      </w:r>
      <w:r>
        <w:rPr>
          <w:b/>
        </w:rPr>
        <w:t>acoperirea împotriva riscurilor a unei investiţii nete într-o operaţiune din străinătate conform definiţiei din IAS 21.</w:t>
      </w:r>
      <w:bookmarkEnd w:id="309"/>
    </w:p>
    <w:p w:rsidR="00AC292A" w:rsidRDefault="00AC292A">
      <w:pPr>
        <w:pStyle w:val="IASBNormalnpara"/>
      </w:pPr>
      <w:r>
        <w:t>6.5.3</w:t>
      </w:r>
      <w:r>
        <w:tab/>
      </w:r>
      <w:bookmarkStart w:id="310" w:name="SL32570284"/>
      <w:r>
        <w:t>Dacă elementul acoperit împotriva riscurilor este un instrument de capitaluri proprii pentru care o entitate a ales să prezinte modificările valorii juste în alte elemente ale rezultatului global în conformitate cu punctul 5.7.5, atunci expunerea acoperită la care se referă punctul 6.5.2 litera (a) trebuie să fie una care ar putea afecta alte elemente ale rezultatului global. În acest caz și doar în acest caz, ineficacitatea recunoscută a acoperirii împotriva riscurilor este prezentată în alte elemente ale rezultatului global.</w:t>
      </w:r>
      <w:bookmarkEnd w:id="310"/>
    </w:p>
    <w:p w:rsidR="00AC292A" w:rsidRDefault="00AC292A">
      <w:pPr>
        <w:pStyle w:val="IASBNormalnpara"/>
      </w:pPr>
      <w:r>
        <w:t>6.5.4</w:t>
      </w:r>
      <w:r>
        <w:tab/>
      </w:r>
      <w:bookmarkStart w:id="311" w:name="SL32570285"/>
      <w:r>
        <w:t>O acoperire a riscului valutar aferent unui angajament ferm poate fi contabilizată drept o acoperire a valorii juste împotriva riscurilor sau o acoperire a fluxurilor de trezorerie împotriva riscurilor.</w:t>
      </w:r>
      <w:bookmarkEnd w:id="311"/>
    </w:p>
    <w:p w:rsidR="00AC292A" w:rsidRDefault="00AC292A">
      <w:pPr>
        <w:pStyle w:val="IASBNormalnpara"/>
        <w:rPr>
          <w:b/>
        </w:rPr>
      </w:pPr>
      <w:r>
        <w:rPr>
          <w:b/>
        </w:rPr>
        <w:t>6.5.5</w:t>
      </w:r>
      <w:bookmarkStart w:id="312" w:name="SL32570286"/>
      <w:r w:rsidR="0031067B">
        <w:rPr>
          <w:b/>
        </w:rPr>
        <w:tab/>
      </w:r>
      <w:r>
        <w:rPr>
          <w:b/>
        </w:rPr>
        <w:t>Dacă o relație de acoperire împotriva riscurilor nu mai îndeplinește dispoziția privind eficacitatea acoperirii aferentă ratei de acoperire (a se vedea punctul 6.4.1 litera (c) subpunctul (iii)), dar obiectivul de gestionare a riscului pentru acea relaţie desemnată de acoperire împotriva riscurilor rămâne același, o entitate trebuie să ajusteze rata de acoperire a relației de acoperire astfel încât să îndeplinească din nou criteriile necesare (acest lucru este numit în prezentul standard „reechilibrare” – a se vedea punctele B6.5.7-B6.5.21).</w:t>
      </w:r>
      <w:bookmarkEnd w:id="312"/>
    </w:p>
    <w:p w:rsidR="00AC292A" w:rsidRDefault="00AC292A">
      <w:pPr>
        <w:pStyle w:val="IASBNormalnpara"/>
        <w:rPr>
          <w:b/>
        </w:rPr>
      </w:pPr>
      <w:r>
        <w:rPr>
          <w:b/>
        </w:rPr>
        <w:t>6.5.6</w:t>
      </w:r>
      <w:bookmarkStart w:id="313" w:name="SL32570287"/>
      <w:r w:rsidR="0031067B">
        <w:rPr>
          <w:b/>
        </w:rPr>
        <w:tab/>
      </w:r>
      <w:r>
        <w:rPr>
          <w:b/>
        </w:rPr>
        <w:t>O entitate trebuie să întrerupă prospectiv contabilitatea de acoperire împotriva riscurilor doar atunci când relaţia de acoperire împotriva riscurilor (sau o parte a unei relații de acoperire) nu mai îndeplinește criteriile necesare (după ce se ține cont de orice reechilibrare a relației de acoperire, dacă este cazul). Sunt incluse cazurile în care instrumentul de acoperire împotriva riscurilor expiră sau este vândut, finalizat ori exercitat. În acest sens, înlocuirea sau convertirea unui instrument de acoperire împotriva riscurilor într-un alt instrument de acoperire împotriva riscurilor nu constituie o expirare sau o reziliere dacă o astfel de înlocuire sau convertire face parte din și este consecventă cu obiectivul documentat de gestionare a riscului al entităţii. Suplimentar, în acest sens nu există o expirare sau încetare a instrumentului acoperit dacă:</w:t>
      </w:r>
      <w:bookmarkEnd w:id="313"/>
    </w:p>
    <w:p w:rsidR="00AC292A" w:rsidRDefault="00AC292A">
      <w:pPr>
        <w:pStyle w:val="IASBNormalnparaL1"/>
        <w:rPr>
          <w:b/>
        </w:rPr>
      </w:pPr>
      <w:r>
        <w:rPr>
          <w:b/>
        </w:rPr>
        <w:t>(a)</w:t>
      </w:r>
      <w:bookmarkStart w:id="314" w:name="SL32570290"/>
      <w:r w:rsidR="0031067B">
        <w:rPr>
          <w:b/>
        </w:rPr>
        <w:tab/>
      </w:r>
      <w:r>
        <w:rPr>
          <w:b/>
        </w:rPr>
        <w:t>drept consecinţă a legilor sau reglementărilor ori a introducerii de legi sau reglementări, părţile instrumentului de acoperire sunt de acord ca unul sau mai mulţi parteneri de compensare să înlocuiască partenerul iniţial pentru a deveni noul partener al fiecăreia dintre părţi. În acest scop, un partener de compensare este un partener central (uneori numit „organizaţie de compensare” sau „agenţie de compensare”) sau o entitate sau entități, de exemplu, un membru de compensare al unei organizaţii de compensare sau un client al unui membru de compensare al unei organizaţii de compensare care acţionează în calitate de partener pentru a compensa printr-un partener central. Cu toate acestea, atunci când părţile instrumentului de acoperire împotriva riscurilor înlocuiesc partenerii iniţiali cu alţi parteneri, dispoziția de la acest subpunct este îndeplinită doar în cazul în care fiecare dintre acele părţi efectuează o compensare cu acelaşi partener central.</w:t>
      </w:r>
      <w:bookmarkEnd w:id="314"/>
    </w:p>
    <w:p w:rsidR="00AC292A" w:rsidRDefault="00AC292A">
      <w:pPr>
        <w:pStyle w:val="IASBNormalnparaL1"/>
        <w:rPr>
          <w:b/>
        </w:rPr>
      </w:pPr>
      <w:r>
        <w:rPr>
          <w:b/>
        </w:rPr>
        <w:lastRenderedPageBreak/>
        <w:t>(b)</w:t>
      </w:r>
      <w:bookmarkStart w:id="315" w:name="SL32570292"/>
      <w:r w:rsidR="0031067B">
        <w:rPr>
          <w:b/>
        </w:rPr>
        <w:tab/>
      </w:r>
      <w:r>
        <w:rPr>
          <w:b/>
        </w:rPr>
        <w:t>în cazul în care există alte modificări la instrumentul de acoperire împotriva riscurilor, acestea sunt limitate la cele necesare pentru a efectua o astfel de înlocuire a partenerului. Astfel de modificări sunt limitate la cele care sunt consecvente cu termenele preconizate dacă instrumentul de acoperire împotriva riscurilor ar fi fost iniţial compensat cu partenerul de compensare. Aceste modificări includ modificările în dispoziţiile privind garanțiile reale, drepturile de a compensa soldurile de creanţe şi datorii şi taxele percepute.</w:t>
      </w:r>
      <w:bookmarkEnd w:id="315"/>
    </w:p>
    <w:p w:rsidR="00AC292A" w:rsidRDefault="00AC292A">
      <w:pPr>
        <w:pStyle w:val="IASBNormalnparaP"/>
        <w:rPr>
          <w:b/>
        </w:rPr>
      </w:pPr>
      <w:bookmarkStart w:id="316" w:name="SL32570293"/>
      <w:r>
        <w:rPr>
          <w:b/>
        </w:rPr>
        <w:t>Întreruperea contabilității de acoperire împotriva riscurilor poate să afecteze o relaţie de acoperire în întregime sau doar o parte a acesteia (caz în care contabilitatea de acoperire împotriva riscurilor continuă pentru partea rămasă din relaţia de acoperire).</w:t>
      </w:r>
      <w:bookmarkEnd w:id="316"/>
    </w:p>
    <w:p w:rsidR="00AC292A" w:rsidRDefault="00AC292A">
      <w:pPr>
        <w:pStyle w:val="IASBNormalnpara"/>
      </w:pPr>
      <w:r>
        <w:t>6.5.7</w:t>
      </w:r>
      <w:r>
        <w:tab/>
      </w:r>
      <w:bookmarkStart w:id="317" w:name="SL32570294"/>
      <w:r>
        <w:t>O entitate trebuie să aplice:</w:t>
      </w:r>
      <w:bookmarkEnd w:id="317"/>
    </w:p>
    <w:p w:rsidR="00AC292A" w:rsidRDefault="00AC292A">
      <w:pPr>
        <w:pStyle w:val="IASBNormalnparaL1"/>
      </w:pPr>
      <w:r>
        <w:t>(a)</w:t>
      </w:r>
      <w:r>
        <w:tab/>
      </w:r>
      <w:bookmarkStart w:id="318" w:name="SL32570297"/>
      <w:r>
        <w:t>punctul 6.5.10 atunci când întrerupe contabilitatea de acoperire împotriva riscurilor pentru o acoperire a valorii juste pentru care elementul acoperit este un instrument financiar (sau o componentă a acestuia) evaluat la costul amortizat; și</w:t>
      </w:r>
      <w:bookmarkEnd w:id="318"/>
    </w:p>
    <w:p w:rsidR="00AC292A" w:rsidRDefault="00AC292A">
      <w:pPr>
        <w:pStyle w:val="IASBNormalnparaL1"/>
      </w:pPr>
      <w:r>
        <w:t>(b)</w:t>
      </w:r>
      <w:r>
        <w:tab/>
      </w:r>
      <w:bookmarkStart w:id="319" w:name="SL32570299"/>
      <w:r>
        <w:t>punctul 6.5.12 atunci când întrerupe contabilitatea de acoperire împotriva riscurilor pentru acoperiri ale fluxurilor de trezorerie împotriva riscurilor.</w:t>
      </w:r>
      <w:bookmarkEnd w:id="319"/>
    </w:p>
    <w:p w:rsidR="00AC292A" w:rsidRDefault="00AC292A">
      <w:pPr>
        <w:pStyle w:val="IASBSectionTitle2Ind"/>
      </w:pPr>
      <w:bookmarkStart w:id="320" w:name="SL32570301"/>
      <w:r>
        <w:t>Acoperiri ale valorii juste împotriva riscurilor</w:t>
      </w:r>
      <w:bookmarkEnd w:id="320"/>
    </w:p>
    <w:p w:rsidR="00AC292A" w:rsidRDefault="00AC292A">
      <w:pPr>
        <w:pStyle w:val="IASBNormalnpara"/>
        <w:rPr>
          <w:b/>
        </w:rPr>
      </w:pPr>
      <w:r>
        <w:rPr>
          <w:b/>
        </w:rPr>
        <w:t>6.5.8</w:t>
      </w:r>
      <w:bookmarkStart w:id="321" w:name="SL32570302"/>
      <w:r w:rsidR="0031067B">
        <w:rPr>
          <w:b/>
        </w:rPr>
        <w:tab/>
      </w:r>
      <w:r>
        <w:rPr>
          <w:b/>
        </w:rPr>
        <w:t>Atât timp cât o acoperire a valorii juste împotriva riscurilor îndeplineşte criteriile necesare prevăzute la punctul 6.4.1, relaţia de acoperire împotriva riscurilor trebuie contabilizată după cum urmează:</w:t>
      </w:r>
      <w:bookmarkEnd w:id="321"/>
    </w:p>
    <w:p w:rsidR="00AC292A" w:rsidRDefault="00AC292A">
      <w:pPr>
        <w:pStyle w:val="IASBNormalnparaL1"/>
        <w:rPr>
          <w:b/>
        </w:rPr>
      </w:pPr>
      <w:r>
        <w:rPr>
          <w:b/>
        </w:rPr>
        <w:t>(a)</w:t>
      </w:r>
      <w:bookmarkStart w:id="322" w:name="SL32570305"/>
      <w:r w:rsidR="0031067B">
        <w:rPr>
          <w:b/>
        </w:rPr>
        <w:tab/>
      </w:r>
      <w:r>
        <w:rPr>
          <w:b/>
        </w:rPr>
        <w:t>pierderea sau câştigul aferent(ă) instrumentului de acoperire va fi recunoscut(ă) în profit sau pierdere (sau în alte elemente ale rezultatului global, dacă instrumentul de acoperire împotriva riscurilor acoperă un instrument de capitaluri proprii pentru care o entitate a ales să prezinte modificările valorii juste în alte elemente ale rezultatului global în conformitate cu punctul 5.7.5).</w:t>
      </w:r>
      <w:bookmarkEnd w:id="322"/>
    </w:p>
    <w:p w:rsidR="00AC292A" w:rsidRDefault="00AC292A">
      <w:pPr>
        <w:pStyle w:val="IASBNormalnparaL1"/>
        <w:rPr>
          <w:b/>
        </w:rPr>
      </w:pPr>
      <w:r>
        <w:rPr>
          <w:b/>
        </w:rPr>
        <w:t>(b)</w:t>
      </w:r>
      <w:bookmarkStart w:id="323" w:name="SL32570307"/>
      <w:r w:rsidR="0031067B">
        <w:rPr>
          <w:b/>
        </w:rPr>
        <w:tab/>
      </w:r>
      <w:r>
        <w:rPr>
          <w:b/>
        </w:rPr>
        <w:t>câştigul sau pierderea din acoperire aferent(ă) elementului acoperit împotriva riscurilor trebuie să ajusteze valoarea contabilă a elementului acoperit (dacă se aplică) şi trebuie recunoscut(ă) în profit sau pierdere. Dacă elementul acoperit este un activ financiar (sau o componentă a acestuia) care este evaluat la valoarea justă prin alte elemente ale rezultatului global în conformitate cu punctul 4.1.2A, câştigul sau pierderea din acoperirea împotriva riscurilor aferent(ă) elementului acoperit trebuie recunoscut(ă) în profit sau pierdere. Totuși, dacă elementul acoperit împotriva riscurilor este un instrument de capitaluri proprii pentru care o entitate a ales să prezinte modificările valorii juste în alte elemente ale rezultatului global în conformitate cu punctul 5.7.5, atunci acele valori trebuie să rămână în alte elemente ale rezultatului global. Atunci când un element acoperit împotriva riscurilor este un angajament ferm nerecunoscut (sau o componentă a acestuia), modificarea cumulată în valoarea justă a elementului acoperit ulterioară desemnării acestuia este recunoscută drept activ sau datorie, recunoscându-se un câștig corespunzător sau o pierdere corespunzătoare în profit sau pierdere.</w:t>
      </w:r>
      <w:bookmarkEnd w:id="323"/>
    </w:p>
    <w:p w:rsidR="00AC292A" w:rsidRDefault="00AC292A">
      <w:pPr>
        <w:pStyle w:val="IASBNormalnpara"/>
      </w:pPr>
      <w:r>
        <w:t>6.5.9</w:t>
      </w:r>
      <w:r>
        <w:tab/>
      </w:r>
      <w:bookmarkStart w:id="324" w:name="SL32570308"/>
      <w:r>
        <w:t>Atunci când un element acoperit într-o acoperire a valorii juste împotriva riscurilor este un angajament ferm (sau o componentă a acestuia) pentru dobândirea unui activ sau asumarea unei datorii, valoarea contabilă iniţială a activului sau a datoriei care rezultă din faptul că entitatea şi-a onorat angajamentul ferm este ajustată pentru a include şi modificarea cumulată a valorii juste a elementului acoperit care a fost recunoscut în situaţia poziţiei financiare.</w:t>
      </w:r>
      <w:bookmarkEnd w:id="324"/>
    </w:p>
    <w:p w:rsidR="00AC292A" w:rsidRDefault="00AC292A">
      <w:pPr>
        <w:pStyle w:val="IASBNormalnpara"/>
      </w:pPr>
      <w:r>
        <w:t>6.5.10</w:t>
      </w:r>
      <w:r>
        <w:tab/>
      </w:r>
      <w:bookmarkStart w:id="325" w:name="SL32570309"/>
      <w:r>
        <w:t>Orice ajustare care provine de la punctul 6.5.8 litera (b) trebuie amortizată în profit sau pierdere dacă elementul acoperit împotriva riscurilor este un instrument financiar (sau o componentă a acestuia) evaluat la costul amortizat. Amortizarea poate începe imediat ce există o ajustare şi nu trebuie să înceapă mai târziu de data la care elementul acoperit împotriva riscurilor încetează să fie ajustat pentru câştigurile sau pierderile din acoperire. Amortizarea este bazată pe o rată a dobânzii efective recalculată la data la care începe amortizarea. În cazul unui activ financiar (sau al unei componente a acestuia) care este un element acoperit împotriva riscurilor şi care este evaluat la valoarea justă prin alte elemente ale rezultatului global în conformitate cu punctul 4.1.2A, amortizarea se aplică în aceeaşi manieră, însă valorii care reprezintă câştigul sau pierderea cumulat(ă) recunoscut(ă) anterior în conformitate cu punctul 6.5.8 litera (b) în schimbul ajustării valorii contabile.</w:t>
      </w:r>
      <w:bookmarkEnd w:id="325"/>
    </w:p>
    <w:p w:rsidR="00AC292A" w:rsidRDefault="00AC292A">
      <w:pPr>
        <w:pStyle w:val="IASBSectionTitle2Ind"/>
      </w:pPr>
      <w:bookmarkStart w:id="326" w:name="SL32570312"/>
      <w:r>
        <w:lastRenderedPageBreak/>
        <w:t>Acoperiri ale fluxurilor de trezorerie împotriva riscurilor</w:t>
      </w:r>
      <w:bookmarkEnd w:id="326"/>
    </w:p>
    <w:p w:rsidR="00AC292A" w:rsidRDefault="00AC292A">
      <w:pPr>
        <w:pStyle w:val="IASBNormalnpara"/>
        <w:rPr>
          <w:b/>
        </w:rPr>
      </w:pPr>
      <w:r>
        <w:rPr>
          <w:b/>
        </w:rPr>
        <w:t>6.5.11</w:t>
      </w:r>
      <w:r>
        <w:tab/>
      </w:r>
      <w:bookmarkStart w:id="327" w:name="SL32570313"/>
      <w:r>
        <w:rPr>
          <w:b/>
        </w:rPr>
        <w:t>Atât timp cât o acoperire a fluxurilor de trezorerie împotriva riscurilor îndeplineşte criteriile necesare prevăzute la punctul 6.4.1, relaţia de acoperire împotriva riscurilor trebuie contabilizată după cum urmează:</w:t>
      </w:r>
      <w:bookmarkEnd w:id="327"/>
    </w:p>
    <w:p w:rsidR="00AC292A" w:rsidRDefault="00AC292A">
      <w:pPr>
        <w:pStyle w:val="IASBNormalnparaL1"/>
        <w:rPr>
          <w:b/>
        </w:rPr>
      </w:pPr>
      <w:r>
        <w:rPr>
          <w:b/>
        </w:rPr>
        <w:t>(a)</w:t>
      </w:r>
      <w:bookmarkStart w:id="328" w:name="SL32570316"/>
      <w:r w:rsidR="0031067B">
        <w:rPr>
          <w:b/>
        </w:rPr>
        <w:tab/>
      </w:r>
      <w:r>
        <w:rPr>
          <w:b/>
        </w:rPr>
        <w:t>componenta separată a capitalurilor proprii asociată elementului acoperit (rezerva aferentă acoperirii fluxurilor de trezorerie împotriva riscurilor) este ajustată la cea mai mică valoare dintre următoarele (în valori absolute):</w:t>
      </w:r>
      <w:bookmarkEnd w:id="328"/>
    </w:p>
    <w:p w:rsidR="00AC292A" w:rsidRDefault="00AC292A">
      <w:pPr>
        <w:pStyle w:val="IASBNormalnparaL2"/>
        <w:rPr>
          <w:b/>
        </w:rPr>
      </w:pPr>
      <w:r>
        <w:rPr>
          <w:b/>
        </w:rPr>
        <w:t>(i)</w:t>
      </w:r>
      <w:bookmarkStart w:id="329" w:name="SL32570319"/>
      <w:r w:rsidR="0031067B">
        <w:rPr>
          <w:b/>
        </w:rPr>
        <w:tab/>
      </w:r>
      <w:r>
        <w:rPr>
          <w:b/>
        </w:rPr>
        <w:t>câştigul cumulat sau pierderea cumulată aferent(ă) instrumentului de acoperire împotriva riscurilor de la începutul acoperirii; și</w:t>
      </w:r>
      <w:bookmarkEnd w:id="329"/>
    </w:p>
    <w:p w:rsidR="00AC292A" w:rsidRDefault="00AC292A">
      <w:pPr>
        <w:pStyle w:val="IASBNormalnparaL2"/>
        <w:rPr>
          <w:b/>
        </w:rPr>
      </w:pPr>
      <w:r>
        <w:rPr>
          <w:b/>
        </w:rPr>
        <w:t>(ii)</w:t>
      </w:r>
      <w:bookmarkStart w:id="330" w:name="SL32570321"/>
      <w:r w:rsidR="0031067B">
        <w:rPr>
          <w:b/>
        </w:rPr>
        <w:tab/>
      </w:r>
      <w:r>
        <w:rPr>
          <w:b/>
        </w:rPr>
        <w:t>modificarea cumulată a valorii juste (valorii actualizate) a elementului acoperit împotriva riscurilor (adică valoarea actualizată a modificării cumulate a fluxurilor de trezorerie viitoare preconizate acoperite) de la începutul acoperirii.</w:t>
      </w:r>
      <w:bookmarkEnd w:id="330"/>
    </w:p>
    <w:p w:rsidR="00AC292A" w:rsidRDefault="00AC292A">
      <w:pPr>
        <w:pStyle w:val="IASBNormalnparaL1"/>
        <w:rPr>
          <w:b/>
        </w:rPr>
      </w:pPr>
      <w:r>
        <w:rPr>
          <w:b/>
        </w:rPr>
        <w:t>(b)</w:t>
      </w:r>
      <w:bookmarkStart w:id="331" w:name="SL32570323"/>
      <w:r w:rsidR="0031067B">
        <w:rPr>
          <w:b/>
        </w:rPr>
        <w:tab/>
      </w:r>
      <w:r>
        <w:rPr>
          <w:b/>
        </w:rPr>
        <w:t>partea din câştigul sau pierderea aferent(ă) instrumentului de acoperire împotriva riscurilor care este determinată a fi o acoperire eficientă împotriva riscurilor (adică partea care este compensată prin modificarea rezervei aferente acoperirii fluxurilor de trezorerie împotriva riscurilor calculată în conformitate cu litera (a)) trebuie recunoscută în alte elemente ale rezultatului global.</w:t>
      </w:r>
      <w:bookmarkEnd w:id="331"/>
    </w:p>
    <w:p w:rsidR="00AC292A" w:rsidRDefault="00AC292A">
      <w:pPr>
        <w:pStyle w:val="IASBNormalnparaL1"/>
        <w:rPr>
          <w:b/>
        </w:rPr>
      </w:pPr>
      <w:r>
        <w:rPr>
          <w:b/>
        </w:rPr>
        <w:t>(c)</w:t>
      </w:r>
      <w:bookmarkStart w:id="332" w:name="SL32570325"/>
      <w:r w:rsidR="0031067B">
        <w:rPr>
          <w:b/>
        </w:rPr>
        <w:tab/>
      </w:r>
      <w:r>
        <w:rPr>
          <w:b/>
        </w:rPr>
        <w:t>orice câştig sau pierdere aferent(ă) instrumentului de acoperire împotriva riscurilor care rămâne (sau orice câştig sau pierdere necesar(ă) pentru a echilibra modificarea rezervei aferente acoperirii fluxurilor de trezorerie împotriva riscurilor calculată în conformitate cu litera (a)) este o ineficacitate a acoperirii împotriva riscurilor care trebuie recunoscută în profit sau pierdere.</w:t>
      </w:r>
      <w:bookmarkEnd w:id="332"/>
    </w:p>
    <w:p w:rsidR="00AC292A" w:rsidRDefault="00AC292A">
      <w:pPr>
        <w:pStyle w:val="IASBNormalnparaL1"/>
        <w:rPr>
          <w:b/>
        </w:rPr>
      </w:pPr>
      <w:r>
        <w:rPr>
          <w:b/>
        </w:rPr>
        <w:t>(d)</w:t>
      </w:r>
      <w:bookmarkStart w:id="333" w:name="SL32570327"/>
      <w:r w:rsidR="0031067B">
        <w:rPr>
          <w:b/>
        </w:rPr>
        <w:tab/>
      </w:r>
      <w:r>
        <w:rPr>
          <w:b/>
        </w:rPr>
        <w:t>valoarea care a fost acumulată în rezerva aferentă acoperirii fluxurilor de trezorerie împotriva riscurilor în conformitate cu litera (a) trebuie contabilizată după cum urmează:</w:t>
      </w:r>
      <w:bookmarkEnd w:id="333"/>
    </w:p>
    <w:p w:rsidR="00AC292A" w:rsidRDefault="00AC292A">
      <w:pPr>
        <w:pStyle w:val="IASBNormalnparaL2"/>
        <w:rPr>
          <w:b/>
        </w:rPr>
      </w:pPr>
      <w:r>
        <w:rPr>
          <w:b/>
        </w:rPr>
        <w:t>(i)</w:t>
      </w:r>
      <w:bookmarkStart w:id="334" w:name="SL32570330"/>
      <w:r w:rsidR="0031067B">
        <w:rPr>
          <w:b/>
        </w:rPr>
        <w:tab/>
      </w:r>
      <w:r>
        <w:rPr>
          <w:b/>
        </w:rPr>
        <w:t>dacă o tranzacţie prognozată acoperită conduce ulterior la recunoaşterea unui activ nefinanciar sau a unei datorii nefinanciare ori dacă o tranzacţie prognozată acoperită pentru un activ nefinanciar sau o datorie nefinanciară devine un angajament ferm pentru care se aplică contabilitatea de acoperire a valorii juste împotriva riscurilor, entitatea trebuie să elimine acea valoare din rezerva aferentă acoperirii fluxurilor de trezorerie și să o includă direct în costul inițial sau într-o altă valoare contabilă a activului sau datoriei. Aceasta nu reprezintă o ajustare din reclasificare (a se vedea IAS 1) și, prin urmare, nu afectează alte elemente ale rezultatului global.</w:t>
      </w:r>
      <w:bookmarkEnd w:id="334"/>
    </w:p>
    <w:p w:rsidR="00AC292A" w:rsidRDefault="00AC292A">
      <w:pPr>
        <w:pStyle w:val="IASBNormalnparaL2"/>
        <w:rPr>
          <w:b/>
        </w:rPr>
      </w:pPr>
      <w:r>
        <w:rPr>
          <w:b/>
        </w:rPr>
        <w:t>(ii)</w:t>
      </w:r>
      <w:bookmarkStart w:id="335" w:name="SL32570333"/>
      <w:r w:rsidR="0031067B">
        <w:rPr>
          <w:b/>
        </w:rPr>
        <w:tab/>
      </w:r>
      <w:r>
        <w:rPr>
          <w:b/>
        </w:rPr>
        <w:t>pentru alte acoperiri ale fluxurilor de trezorerie împotriva riscurilor decât cele prevăzute la litera (i), acea valoare trebuie reclasificată din rezerva aferentă acoperirii fluxurilor de trezorerie în profit sau pierdere drept ajustare din reclasificare (a se vedea IAS 1) în aceeași perioadă sau în aceleași perioade în care fluxurile de trezorerie viitoare preconizate acoperite afectează profitul sau pierderea (de exemplu, în perioadele în care este recunoscut(ă) venitul din dobândă sau cheltuiala cu dobânda sau atunci când are loc o vânzare prognozată).</w:t>
      </w:r>
      <w:bookmarkEnd w:id="335"/>
    </w:p>
    <w:p w:rsidR="00AC292A" w:rsidRDefault="00AC292A">
      <w:pPr>
        <w:pStyle w:val="IASBNormalnparaL2"/>
        <w:rPr>
          <w:b/>
        </w:rPr>
      </w:pPr>
      <w:r>
        <w:rPr>
          <w:b/>
        </w:rPr>
        <w:t>(iii)</w:t>
      </w:r>
      <w:bookmarkStart w:id="336" w:name="SL32570335"/>
      <w:r w:rsidR="0031067B">
        <w:rPr>
          <w:b/>
        </w:rPr>
        <w:tab/>
      </w:r>
      <w:r>
        <w:rPr>
          <w:b/>
        </w:rPr>
        <w:t>totuși, dacă acea valoare reprezintă o pierdere, iar entitatea preconizează că nu va fi recuperată toată pierderea sau o parte a acesteia într-una sau mai multe perioade viitoare, aceasta trebuie să reclasifice imediat valoarea care nu se preconizează să fie recuperată în profit sau pierdere drept ajustare din reclasificare (a se vedea IAS 1).</w:t>
      </w:r>
      <w:bookmarkEnd w:id="336"/>
    </w:p>
    <w:p w:rsidR="00AC292A" w:rsidRDefault="00AC292A">
      <w:pPr>
        <w:pStyle w:val="IASBNormalnpara"/>
      </w:pPr>
      <w:r>
        <w:t>6.5.12</w:t>
      </w:r>
      <w:r>
        <w:tab/>
      </w:r>
      <w:bookmarkStart w:id="337" w:name="SL32570336"/>
      <w:r>
        <w:t>Atunci când o entitate întrerupe contabilitatea de acoperire împotriva riscurilor pentru o acoperire a fluxurilor de trezorerie împotriva riscurilor (a se vedea punctele 6.5.6 și 6.5.7 litera (b)), ea trebuie să contabilizeze valoarea care a fost acumulată în rezerva aferentă acoperirii fluxurilor de trezorerie împotriva riscurilor în conformitate cu punctul 6.5.11 litera (a), după cum urmează:</w:t>
      </w:r>
      <w:bookmarkEnd w:id="337"/>
    </w:p>
    <w:p w:rsidR="00AC292A" w:rsidRDefault="00AC292A">
      <w:pPr>
        <w:pStyle w:val="IASBNormalnparaL1"/>
      </w:pPr>
      <w:r>
        <w:t>(a)</w:t>
      </w:r>
      <w:r>
        <w:tab/>
      </w:r>
      <w:bookmarkStart w:id="338" w:name="SL32570339"/>
      <w:r>
        <w:t>dacă se preconizează în continuare să apară fluxurile de trezorerie viitoare acoperite, acea valoare trebuie să rămână în rezerva aferentă acoperirii fluxurilor de trezorerie împotriva riscurilor până când apar fluxurile de trezorerie viitoare sau până la momentul în care se aplică punctul 6.5.11 litera (d) subpunctul (iii). Atunci când apar fluxurile de trezorerie viitoare, se aplică punctul 6.5.11 litera (d).</w:t>
      </w:r>
      <w:bookmarkEnd w:id="338"/>
    </w:p>
    <w:p w:rsidR="00AC292A" w:rsidRDefault="00AC292A">
      <w:pPr>
        <w:pStyle w:val="IASBNormalnparaL1"/>
      </w:pPr>
      <w:r>
        <w:t>(b)</w:t>
      </w:r>
      <w:r>
        <w:tab/>
      </w:r>
      <w:bookmarkStart w:id="339" w:name="SL32570341"/>
      <w:r>
        <w:t xml:space="preserve">dacă nu se mai preconizează să apară fluxurile de trezorerie viitoare acoperite, acea valoare trebuie reclasificată imediat din rezerva aferentă acoperirii fluxurilor de trezorerie împotriva </w:t>
      </w:r>
      <w:r>
        <w:lastRenderedPageBreak/>
        <w:t>riscurilor în profit sau pierdere drept ajustare din reclasificare (a se vedea IAS 1). Un flux de trezorerie viitor acoperit împotriva riscurilor care nu mai este foarte probabil să apară poate fi în continuare preconizat să apară.</w:t>
      </w:r>
      <w:bookmarkEnd w:id="339"/>
    </w:p>
    <w:p w:rsidR="00AC292A" w:rsidRDefault="00AC292A">
      <w:pPr>
        <w:pStyle w:val="IASBSectionTitle2Ind"/>
      </w:pPr>
      <w:bookmarkStart w:id="340" w:name="SL32570343"/>
      <w:r>
        <w:t>Acoperirea împotriva riscurilor a unei investiţii nete într-o operaţiune din străinătate</w:t>
      </w:r>
      <w:bookmarkEnd w:id="340"/>
    </w:p>
    <w:p w:rsidR="00AC292A" w:rsidRDefault="00AC292A">
      <w:pPr>
        <w:pStyle w:val="IASBNormalnpara"/>
        <w:rPr>
          <w:b/>
        </w:rPr>
      </w:pPr>
      <w:r>
        <w:rPr>
          <w:b/>
        </w:rPr>
        <w:t>6.5.13</w:t>
      </w:r>
      <w:r>
        <w:tab/>
      </w:r>
      <w:bookmarkStart w:id="341" w:name="SL32570344"/>
      <w:r>
        <w:rPr>
          <w:b/>
        </w:rPr>
        <w:t xml:space="preserve">Acoperirile împotriva riscurilor ale unei investiţii nete într-o operaţiune din străinătate, inclusiv o acoperire împotriva riscurilor a unui element monetar care este contabilizat ca parte a unei investiţii nete (a se vedea IAS 21), trebuie contabilizate similar acoperirilor fluxurilor de trezorerie împotriva riscurilor: </w:t>
      </w:r>
      <w:bookmarkEnd w:id="341"/>
    </w:p>
    <w:p w:rsidR="00AC292A" w:rsidRDefault="00AC292A">
      <w:pPr>
        <w:pStyle w:val="IASBNormalnparaL1"/>
        <w:rPr>
          <w:b/>
        </w:rPr>
      </w:pPr>
      <w:r>
        <w:rPr>
          <w:b/>
        </w:rPr>
        <w:t>(a)</w:t>
      </w:r>
      <w:bookmarkStart w:id="342" w:name="SL32570347"/>
      <w:r>
        <w:rPr>
          <w:b/>
        </w:rPr>
        <w:t>partea din câştigul sau pierderea aferent(ă) instrumentului de acoperire împotriva riscurilor care este determinată a fi o acoperire eficientă împotriva riscurilor trebuie recunoscută în alte elemente ale rezultatului global (a se vedea punctul 6.5.11); și</w:t>
      </w:r>
      <w:bookmarkEnd w:id="342"/>
    </w:p>
    <w:p w:rsidR="00AC292A" w:rsidRDefault="00AC292A">
      <w:pPr>
        <w:pStyle w:val="IASBNormalnparaL1"/>
        <w:rPr>
          <w:b/>
        </w:rPr>
      </w:pPr>
      <w:r>
        <w:rPr>
          <w:b/>
        </w:rPr>
        <w:t>(b)</w:t>
      </w:r>
      <w:bookmarkStart w:id="343" w:name="SL32570349"/>
      <w:r>
        <w:rPr>
          <w:b/>
        </w:rPr>
        <w:t>partea ineficientă trebuie recunoscută în profit sau pierdere.</w:t>
      </w:r>
      <w:bookmarkEnd w:id="343"/>
    </w:p>
    <w:p w:rsidR="00AC292A" w:rsidRDefault="00AC292A">
      <w:pPr>
        <w:pStyle w:val="IASBNormalnpara"/>
        <w:rPr>
          <w:b/>
        </w:rPr>
      </w:pPr>
      <w:r>
        <w:rPr>
          <w:b/>
        </w:rPr>
        <w:t>6.5.14</w:t>
      </w:r>
      <w:r>
        <w:tab/>
      </w:r>
      <w:bookmarkStart w:id="344" w:name="SL32570350"/>
      <w:r>
        <w:rPr>
          <w:b/>
        </w:rPr>
        <w:t>Câştigul sau pierderea cumulat(ă) aferent(ă) instrumentului de acoperire împotriva riscurilor în legătură cu partea eficientă a acoperirii care a fost acumulată în rezerva de conversie valutară trebuie reclasificat(ă) de la capitaluri proprii în profit sau pierdere ca o ajustare din reclasificare (a se vedea IAS 1) în conformitate cu punctele 48-49 din IAS 21 privind cedarea sau cedarea parţială a operaţiunii din străinătate.</w:t>
      </w:r>
      <w:bookmarkEnd w:id="344"/>
    </w:p>
    <w:p w:rsidR="00AC292A" w:rsidRDefault="00AC292A">
      <w:pPr>
        <w:pStyle w:val="IASBSectionTitle2Ind"/>
      </w:pPr>
      <w:bookmarkStart w:id="345" w:name="SL32570352"/>
      <w:r>
        <w:t>Contabilizarea valorii-timp a opțiunilor</w:t>
      </w:r>
      <w:bookmarkEnd w:id="345"/>
    </w:p>
    <w:p w:rsidR="00AC292A" w:rsidRDefault="00AC292A">
      <w:pPr>
        <w:pStyle w:val="IASBNormalnpara"/>
      </w:pPr>
      <w:r>
        <w:t>6.5.15</w:t>
      </w:r>
      <w:r>
        <w:tab/>
      </w:r>
      <w:bookmarkStart w:id="346" w:name="SL32570353"/>
      <w:r>
        <w:t>Atunci când o entitate separă valoarea intrinsecă de valoarea-timp dintr-un contract pe opţiuni și desemnează drept instrument de acoperire împotriva riscurilor doar modificarea valorii intrinsece a opțiunii (a se vedea punctul 6.2.4 litera (a)), aceasta va contabiliza valoarea-timp a opțiunii după cum urmează (a se vedea punctele B6.5.29-B6.5.33):</w:t>
      </w:r>
      <w:bookmarkEnd w:id="346"/>
    </w:p>
    <w:p w:rsidR="00AC292A" w:rsidRDefault="00AC292A">
      <w:pPr>
        <w:pStyle w:val="IASBNormalnparaL1"/>
      </w:pPr>
      <w:r>
        <w:t>(a)</w:t>
      </w:r>
      <w:r>
        <w:tab/>
      </w:r>
      <w:bookmarkStart w:id="347" w:name="SL32570356"/>
      <w:r>
        <w:t>o entitate trebuie să facă o distincție privind valoarea-timp a opțiunilor după tipul de element acoperit împotriva riscurilor pe care îl acoperă opțiunea (a se vedea punctul B6.5.29):</w:t>
      </w:r>
      <w:bookmarkEnd w:id="347"/>
    </w:p>
    <w:p w:rsidR="00AC292A" w:rsidRDefault="00AC292A">
      <w:pPr>
        <w:pStyle w:val="IASBNormalnparaL2"/>
      </w:pPr>
      <w:r>
        <w:t>(i)</w:t>
      </w:r>
      <w:r>
        <w:tab/>
      </w:r>
      <w:bookmarkStart w:id="348" w:name="SL32570359"/>
      <w:r>
        <w:t>un element acoperit împotriva riscurilor aferent unei tranzacţii; sau</w:t>
      </w:r>
      <w:bookmarkEnd w:id="348"/>
    </w:p>
    <w:p w:rsidR="00AC292A" w:rsidRDefault="00AC292A">
      <w:pPr>
        <w:pStyle w:val="IASBNormalnparaL2"/>
      </w:pPr>
      <w:r>
        <w:t>(ii)</w:t>
      </w:r>
      <w:r>
        <w:tab/>
      </w:r>
      <w:bookmarkStart w:id="349" w:name="SL32570361"/>
      <w:r>
        <w:t>un element acoperit împotriva riscurilor aferent unei perioade de timp;</w:t>
      </w:r>
      <w:bookmarkEnd w:id="349"/>
    </w:p>
    <w:p w:rsidR="00AC292A" w:rsidRDefault="00AC292A">
      <w:pPr>
        <w:pStyle w:val="IASBNormalnparaL1"/>
      </w:pPr>
      <w:r>
        <w:t>(b)</w:t>
      </w:r>
      <w:r>
        <w:tab/>
      </w:r>
      <w:bookmarkStart w:id="350" w:name="SL32570363"/>
      <w:r>
        <w:t>modificarea valorii juste a valorii-timp a unei opţiuni care acoperă un element acoperit împotriva riscurilor aferent unei tranzacţii trebuie recunoscută în alte elemente ale rezultatului global în măsura în care este aferentă elementului acoperit împotriva riscurilor și trebuie acumulată într-o componentă separată a capitalurilor proprii. Modificarea cumulativă a valorii juste care provine din valoarea-timp a opțiunii care a fost acumulată într-o componentă separată a capitalurilor proprii („valoarea”) trebuie contabilizată după cum urmează:</w:t>
      </w:r>
      <w:bookmarkEnd w:id="350"/>
    </w:p>
    <w:p w:rsidR="00AC292A" w:rsidRDefault="00AC292A">
      <w:pPr>
        <w:pStyle w:val="IASBNormalnparaL2"/>
      </w:pPr>
      <w:r>
        <w:t>(i)</w:t>
      </w:r>
      <w:r>
        <w:tab/>
      </w:r>
      <w:bookmarkStart w:id="351" w:name="SL32570366"/>
      <w:r>
        <w:t>în cazul în care elementul acoperit împotriva riscurilor conduce ulterior la recunoaşterea unui activ nefinanciar sau a unei datorii nefinanciare ori a unui angajament ferm pentru un activ nefinanciar sau o datorie nefinanciară pentru care se aplică contabilitatea de acoperire a valorii juste împotriva riscurilor, entitatea trebuie să elimine valoarea din componenta separată a capitalurilor proprii și să o includă direct în costul inițial sau în altă valoare contabilă a activului sau datoriei. Aceasta nu reprezintă o ajustare din reclasificare (a se vedea IAS 1) și, prin urmare, nu afectează alte elemente ale rezultatului global.</w:t>
      </w:r>
      <w:bookmarkEnd w:id="351"/>
    </w:p>
    <w:p w:rsidR="00AC292A" w:rsidRDefault="00AC292A">
      <w:pPr>
        <w:pStyle w:val="IASBNormalnparaL2"/>
      </w:pPr>
      <w:r>
        <w:t>(ii)</w:t>
      </w:r>
      <w:r>
        <w:tab/>
      </w:r>
      <w:bookmarkStart w:id="352" w:name="SL32570368"/>
      <w:r>
        <w:t>în cazul altor relaţii de acoperire împotriva riscurilor decât cele prevăzute la subpunctul (i), valoarea trebuie reclasificată din componenta separată a capitalurilor proprii în profit sau pierdere drept ajustare din reclasificare (a se vedea IAS 1) în aceeași perioadă sau aceleași perioade pe parcursul cărora fluxurile de trezorerie viitoare preconizate acoperite afectează profitul sau pierderea (de exemplu, atunci când are loc o vânzare prognozată).</w:t>
      </w:r>
      <w:bookmarkEnd w:id="352"/>
    </w:p>
    <w:p w:rsidR="00AC292A" w:rsidRDefault="00AC292A">
      <w:pPr>
        <w:pStyle w:val="IASBNormalnparaL2"/>
      </w:pPr>
      <w:r>
        <w:t>(iii)</w:t>
      </w:r>
      <w:r>
        <w:tab/>
      </w:r>
      <w:bookmarkStart w:id="353" w:name="SL32570370"/>
      <w:r>
        <w:t>totuși, dacă nu se preconizează să fie recuperată întreaga valoare sau o parte a acesteia într-una sau mai multe perioade viitoare, atunci valoarea care nu se preconizează să fie recuperată trebuie reclasificată imediat în profit sau pierdere drept ajustare din reclasificare (a se vedea IAS 1).</w:t>
      </w:r>
      <w:bookmarkEnd w:id="353"/>
    </w:p>
    <w:p w:rsidR="00AC292A" w:rsidRDefault="00AC292A">
      <w:pPr>
        <w:pStyle w:val="IASBNormalnparaL1"/>
      </w:pPr>
      <w:r>
        <w:lastRenderedPageBreak/>
        <w:t>(c)</w:t>
      </w:r>
      <w:r>
        <w:tab/>
      </w:r>
      <w:bookmarkStart w:id="354" w:name="SL32570372"/>
      <w:r>
        <w:t>modificarea valorii juste a valorii-timp a unei opţiuni care acoperă un element acoperit împotriva riscurilor aferent unei perioade de timp trebuie recunoscută în alte elemente ale rezultatului global în măsura în care este aferentă elementului acoperit împotriva riscurilor și trebuie acumulată într-o componentă separată a capitalurilor proprii. Valoarea-timp la data la care opțiunea este desemnată drept instrument de acoperire împotriva riscurilor, în măsura în care se referă la acel element acoperit, trebuie amortizată pe o bază sistematică și rațională pe perioada în care ajustarea de acoperire pentru valoarea intrinsecă a opțiunii ar putea afecta profitul sau pierderea (sau alte elemente ale rezultatului global, în cazul în care elementul acoperit este un instrument de capitaluri proprii pentru care o entitate a ales să prezinte modificările valorii juste în alte elemente ale rezultatului global în conformitate cu punctul 5.7.5). Prin urmare, în fiecare perioadă de raportare, valoarea amortizată trebuie reclasificată din componenta separată a capitalurilor proprii în profit sau pierdere drept ajustare din reclasificare (a se vedea IAS 1). Totuși, în cazul în care contabilitatea de acoperire este întreruptă pentru relaţia de acoperire împotriva riscurilor care include modificarea valorii intrinsece a opțiunii drept instrument de acoperire, valoarea netă (adică inclusiv amortizarea cumulativă) care a fost acumulată în componenta separată a capitalurilor proprii trebuie reclasificată imediat în profit sau pierdere drept ajustare din reclasificare (a se vedea IAS 1).</w:t>
      </w:r>
      <w:bookmarkEnd w:id="354"/>
    </w:p>
    <w:p w:rsidR="00AC292A" w:rsidRDefault="00AC292A">
      <w:pPr>
        <w:pStyle w:val="IASBSectionTitle2Ind"/>
      </w:pPr>
      <w:bookmarkStart w:id="355" w:name="SL32570374"/>
      <w:r>
        <w:t>Contabilizarea unui element forward din contractele forward și marjele cu bază valutară ale instrumentelor financiare</w:t>
      </w:r>
      <w:bookmarkEnd w:id="355"/>
    </w:p>
    <w:p w:rsidR="00AC292A" w:rsidRDefault="00AC292A">
      <w:pPr>
        <w:pStyle w:val="IASBNormalnpara"/>
      </w:pPr>
      <w:r>
        <w:t>6.5.16</w:t>
      </w:r>
      <w:r>
        <w:tab/>
      </w:r>
      <w:bookmarkStart w:id="356" w:name="SL32570375"/>
      <w:r>
        <w:t>Atunci când o entitate separă elementul forward de elementul la vedere dintr-un contract forward și desemnează ca instrument de acoperire împotriva riscurilor doar modificarea valorii elementului la vedere din contractul forward sau când o entitate separă marja cu bază valutară de un instrument financiar și o exclude din desemnarea acelui instrument financiar drept instrument de acoperire (a se vedea punctul 6.2.4 litera (b)), entitatea poate aplica punctul 6.5.15 pentru elementul forward din contractul forward sau pentru marja cu bază valutară în același mod în care se aplică pentru valoarea-timp a unei opțiuni. În acest caz, entitatea va aplica îndrumările de aplicare de la punctele B6.5.34-B6.5.39.</w:t>
      </w:r>
      <w:bookmarkEnd w:id="356"/>
    </w:p>
    <w:p w:rsidR="00AC292A" w:rsidRDefault="00AC292A">
      <w:pPr>
        <w:pStyle w:val="IASBSectionTitle1NonInd"/>
      </w:pPr>
      <w:bookmarkStart w:id="357" w:name="SL32570377"/>
      <w:r>
        <w:t>6.6 Acoperiri ale unui grup de elemente împotriva riscurilor</w:t>
      </w:r>
      <w:bookmarkEnd w:id="357"/>
    </w:p>
    <w:p w:rsidR="00AC292A" w:rsidRDefault="00AC292A">
      <w:pPr>
        <w:pStyle w:val="IASBSectionTitle2Ind"/>
      </w:pPr>
      <w:bookmarkStart w:id="358" w:name="SL32570379"/>
      <w:r>
        <w:t>Eligibilitatea unui grup de elemente de a fi elementul acoperit împotriva riscurilor</w:t>
      </w:r>
      <w:bookmarkEnd w:id="358"/>
    </w:p>
    <w:p w:rsidR="00AC292A" w:rsidRDefault="00AC292A">
      <w:pPr>
        <w:pStyle w:val="IASBNormalnpara"/>
        <w:rPr>
          <w:b/>
        </w:rPr>
      </w:pPr>
      <w:r>
        <w:rPr>
          <w:b/>
        </w:rPr>
        <w:t>6.6.1</w:t>
      </w:r>
      <w:bookmarkStart w:id="359" w:name="SL32570380"/>
      <w:r w:rsidR="0031067B">
        <w:rPr>
          <w:b/>
        </w:rPr>
        <w:tab/>
      </w:r>
      <w:r>
        <w:rPr>
          <w:b/>
        </w:rPr>
        <w:t>Un grup de elemente (inclusiv un grup de elemente care constituie o poziţie netă; a se vedea punctele B6.6.1-B6.6.8) este un element acoperit eligibil doar dacă:</w:t>
      </w:r>
      <w:bookmarkEnd w:id="359"/>
    </w:p>
    <w:p w:rsidR="00AC292A" w:rsidRDefault="00AC292A">
      <w:pPr>
        <w:pStyle w:val="IASBNormalnparaL1"/>
        <w:rPr>
          <w:b/>
        </w:rPr>
      </w:pPr>
      <w:r>
        <w:rPr>
          <w:b/>
        </w:rPr>
        <w:t>(a)</w:t>
      </w:r>
      <w:bookmarkStart w:id="360" w:name="SL32570383"/>
      <w:r w:rsidR="0031067B">
        <w:rPr>
          <w:b/>
        </w:rPr>
        <w:tab/>
      </w:r>
      <w:r>
        <w:rPr>
          <w:b/>
        </w:rPr>
        <w:t>este format din elemente (inclusiv componente ale unor elemente) care sunt eligibile, individual, ca elemente acoperite împotriva riscurilor;</w:t>
      </w:r>
      <w:bookmarkEnd w:id="360"/>
    </w:p>
    <w:p w:rsidR="00AC292A" w:rsidRDefault="00AC292A">
      <w:pPr>
        <w:pStyle w:val="IASBNormalnparaL1"/>
        <w:rPr>
          <w:b/>
        </w:rPr>
      </w:pPr>
      <w:r>
        <w:rPr>
          <w:b/>
        </w:rPr>
        <w:t>(b)</w:t>
      </w:r>
      <w:bookmarkStart w:id="361" w:name="SL32570385"/>
      <w:r w:rsidR="0031067B">
        <w:rPr>
          <w:b/>
        </w:rPr>
        <w:tab/>
      </w:r>
      <w:r>
        <w:rPr>
          <w:b/>
        </w:rPr>
        <w:t>elementele din grup sunt gestionate împreună ca un grup în sensul gestionării riscului; și</w:t>
      </w:r>
      <w:bookmarkEnd w:id="361"/>
    </w:p>
    <w:p w:rsidR="00AC292A" w:rsidRDefault="00AC292A">
      <w:pPr>
        <w:pStyle w:val="IASBNormalnparaL1"/>
        <w:rPr>
          <w:b/>
        </w:rPr>
      </w:pPr>
      <w:r>
        <w:rPr>
          <w:b/>
        </w:rPr>
        <w:t>(c)</w:t>
      </w:r>
      <w:bookmarkStart w:id="362" w:name="SL32570387"/>
      <w:r w:rsidR="0031067B">
        <w:rPr>
          <w:b/>
        </w:rPr>
        <w:tab/>
      </w:r>
      <w:r>
        <w:rPr>
          <w:b/>
        </w:rPr>
        <w:t>în cazul unei acoperiri a fluxurilor de trezorerie împotriva riscurilor pentru un grup de elemente ale căror variabilități ale fluxurilor de trezorerie nu se preconizează să fie aproximativ proporţionale cu variabilitatea totală a fluxurilor de trezorerie ale grupului astfel încât să apară poziții de compensare a riscurilor:</w:t>
      </w:r>
      <w:bookmarkEnd w:id="362"/>
    </w:p>
    <w:p w:rsidR="00AC292A" w:rsidRDefault="00AC292A">
      <w:pPr>
        <w:pStyle w:val="IASBNormalnparaL2"/>
        <w:rPr>
          <w:b/>
        </w:rPr>
      </w:pPr>
      <w:r>
        <w:rPr>
          <w:b/>
        </w:rPr>
        <w:t>(i)</w:t>
      </w:r>
      <w:bookmarkStart w:id="363" w:name="SL32570390"/>
      <w:r w:rsidR="0031067B">
        <w:rPr>
          <w:b/>
        </w:rPr>
        <w:tab/>
      </w:r>
      <w:r>
        <w:rPr>
          <w:b/>
        </w:rPr>
        <w:t>aceasta este o acoperire împotriva riscului valutar; și</w:t>
      </w:r>
      <w:bookmarkEnd w:id="363"/>
    </w:p>
    <w:p w:rsidR="00AC292A" w:rsidRDefault="00AC292A">
      <w:pPr>
        <w:pStyle w:val="IASBNormalnparaL2"/>
        <w:rPr>
          <w:b/>
        </w:rPr>
      </w:pPr>
      <w:r>
        <w:rPr>
          <w:b/>
        </w:rPr>
        <w:t>(ii)</w:t>
      </w:r>
      <w:bookmarkStart w:id="364" w:name="SL32570392"/>
      <w:r w:rsidR="0031067B">
        <w:rPr>
          <w:b/>
        </w:rPr>
        <w:tab/>
      </w:r>
      <w:r>
        <w:rPr>
          <w:b/>
        </w:rPr>
        <w:t>desemnarea acelei poziții nete specifică perioada de raportare în care se preconizează că tranzacţiile prognozate vor afecta profitul sau pierderea, precum și natura și volumul acestora (a se vedea punctele B6.6.7–B6.6.8).</w:t>
      </w:r>
      <w:bookmarkEnd w:id="364"/>
    </w:p>
    <w:p w:rsidR="00AC292A" w:rsidRDefault="00AC292A">
      <w:pPr>
        <w:pStyle w:val="IASBSectionTitle2Ind"/>
      </w:pPr>
      <w:bookmarkStart w:id="365" w:name="SL32570394"/>
      <w:r>
        <w:t>Desemnarea unei componente a unei valori nominale</w:t>
      </w:r>
      <w:bookmarkEnd w:id="365"/>
    </w:p>
    <w:p w:rsidR="00AC292A" w:rsidRDefault="00AC292A">
      <w:pPr>
        <w:pStyle w:val="IASBNormalnpara"/>
      </w:pPr>
      <w:r>
        <w:t>6.6.2</w:t>
      </w:r>
      <w:r>
        <w:tab/>
      </w:r>
      <w:bookmarkStart w:id="366" w:name="SL32570395"/>
      <w:r>
        <w:t>O componentă care este o parte dintr-un grup de elemente eligibil este un element acoperit eligibil cu condiția ca desemnarea să fie consecventă cu obiectivul entității de gestionare a riscului.</w:t>
      </w:r>
      <w:bookmarkEnd w:id="366"/>
    </w:p>
    <w:p w:rsidR="00AC292A" w:rsidRDefault="00AC292A">
      <w:pPr>
        <w:pStyle w:val="IASBNormalnpara"/>
      </w:pPr>
      <w:r>
        <w:t>6.6.3</w:t>
      </w:r>
      <w:r>
        <w:tab/>
      </w:r>
      <w:bookmarkStart w:id="367" w:name="SL32570396"/>
      <w:r>
        <w:t>O componentă-strat a unui grup total de elemente (de exemplu, stratul inferior) este eligibilă pentru contabilitatea de acoperire împotriva riscurilor doar dacă:</w:t>
      </w:r>
      <w:bookmarkEnd w:id="367"/>
    </w:p>
    <w:p w:rsidR="00AC292A" w:rsidRDefault="00AC292A">
      <w:pPr>
        <w:pStyle w:val="IASBNormalnparaL1"/>
      </w:pPr>
      <w:r>
        <w:t>(a)</w:t>
      </w:r>
      <w:r>
        <w:tab/>
      </w:r>
      <w:bookmarkStart w:id="368" w:name="SL32570399"/>
      <w:r>
        <w:t>este identificabilă în mod distinct și poate fi evaluată în mod fiabil;</w:t>
      </w:r>
      <w:bookmarkEnd w:id="368"/>
    </w:p>
    <w:p w:rsidR="00AC292A" w:rsidRDefault="00AC292A">
      <w:pPr>
        <w:pStyle w:val="IASBNormalnparaL1"/>
      </w:pPr>
      <w:r>
        <w:lastRenderedPageBreak/>
        <w:t>(b)</w:t>
      </w:r>
      <w:r>
        <w:tab/>
      </w:r>
      <w:bookmarkStart w:id="369" w:name="SL32570401"/>
      <w:r>
        <w:t>obiectivul de gestionare a riscului este de a acoperi o componentă-strat;</w:t>
      </w:r>
      <w:bookmarkEnd w:id="369"/>
    </w:p>
    <w:p w:rsidR="00AC292A" w:rsidRDefault="00AC292A">
      <w:pPr>
        <w:pStyle w:val="IASBNormalnparaL1"/>
      </w:pPr>
      <w:r>
        <w:t>(c)</w:t>
      </w:r>
      <w:r>
        <w:tab/>
      </w:r>
      <w:bookmarkStart w:id="370" w:name="SL32570403"/>
      <w:r>
        <w:t>elementele din grupul total din care este identificat stratul sunt expuse la același risc acoperit (astfel încât evaluarea stratului acoperit împotriva riscurilor nu este afectată semnificativ de elementele specifice din grupul total care fac parte din stratul acoperit);</w:t>
      </w:r>
      <w:bookmarkEnd w:id="370"/>
    </w:p>
    <w:p w:rsidR="00AC292A" w:rsidRDefault="00AC292A">
      <w:pPr>
        <w:pStyle w:val="IASBNormalnparaL1"/>
      </w:pPr>
      <w:r>
        <w:t>(d)</w:t>
      </w:r>
      <w:r>
        <w:tab/>
      </w:r>
      <w:bookmarkStart w:id="371" w:name="SL32570405"/>
      <w:r>
        <w:t>pentru o acoperire a unor elemente existente (de exemplu, un angajament ferm nerecunoscut sau un activ recunoscut), o entitate poate identifica și urmări grupul total de elemente din care este definit stratul acoperit (astfel încât entitatea să fie capabilă să se conformeze cu dispoziţiile privind contabilizarea relaţiilor de acoperire împotriva riscurilor); și</w:t>
      </w:r>
      <w:bookmarkEnd w:id="371"/>
    </w:p>
    <w:p w:rsidR="00AC292A" w:rsidRDefault="00AC292A">
      <w:pPr>
        <w:pStyle w:val="IASBNormalnparaL1"/>
      </w:pPr>
      <w:r>
        <w:t>(e)</w:t>
      </w:r>
      <w:r>
        <w:tab/>
      </w:r>
      <w:bookmarkStart w:id="372" w:name="SL32570407"/>
      <w:r>
        <w:t>orice elemente din grup care conțin opțiuni de plată în avans îndeplinesc dispoziţiile privind componentele de unei valori nominale (a se vedea punctul B6.3.20).</w:t>
      </w:r>
      <w:bookmarkEnd w:id="372"/>
    </w:p>
    <w:p w:rsidR="00AC292A" w:rsidRDefault="00AC292A">
      <w:pPr>
        <w:pStyle w:val="IASBSectionTitle2Ind"/>
      </w:pPr>
      <w:bookmarkStart w:id="373" w:name="SL32570409"/>
      <w:r>
        <w:t>Prezentare</w:t>
      </w:r>
      <w:bookmarkEnd w:id="373"/>
    </w:p>
    <w:p w:rsidR="00AC292A" w:rsidRDefault="00AC292A">
      <w:pPr>
        <w:pStyle w:val="IASBNormalnpara"/>
      </w:pPr>
      <w:r>
        <w:t>6.6.4</w:t>
      </w:r>
      <w:r>
        <w:tab/>
      </w:r>
      <w:bookmarkStart w:id="374" w:name="SL32570410"/>
      <w:r>
        <w:t>Pentru o acoperire a unui grup de elemente cu poziții de compensare a riscurilor (adică într-o acoperire a unei poziții nete) al cărei risc acoperit afectează diverse elemente-rând din situația profitului sau pierderii și altor elemente ale rezultatului global, orice câştiguri sau pierderi din acoperire din respectiva situație trebuie prezentate într-un rând separat de cele afectate de elementele acoperite. Prin urmare, în acea situație rămâne neafectată valoarea din elementul-rând care este aferentă elementului acoperit în sine (de exemplu, venituri sau costul vânzării).</w:t>
      </w:r>
      <w:bookmarkEnd w:id="374"/>
    </w:p>
    <w:p w:rsidR="00AC292A" w:rsidRDefault="00AC292A">
      <w:pPr>
        <w:pStyle w:val="IASBNormalnpara"/>
      </w:pPr>
      <w:r>
        <w:t>6.6.5</w:t>
      </w:r>
      <w:r>
        <w:tab/>
      </w:r>
      <w:bookmarkStart w:id="375" w:name="SL32570411"/>
      <w:r>
        <w:t>Pentru activele și datoriile care sunt acoperite împreună ca un grup într-o acoperire a valorii juste împotriva riscurilor, câştigul sau pierderea din situaţia poziţiei financiare aferentă activelor sau datoriilor individuale trebuie recunoscut(ă) ca o ajustare a valorii contabile a elementelor individuale respective din care este format grupul în conformitate cu punctul 6.5.8 litera (b).</w:t>
      </w:r>
      <w:bookmarkEnd w:id="375"/>
    </w:p>
    <w:p w:rsidR="00AC292A" w:rsidRDefault="00AC292A">
      <w:pPr>
        <w:pStyle w:val="IASBSectionTitle2Ind"/>
      </w:pPr>
      <w:bookmarkStart w:id="376" w:name="SL32570413"/>
      <w:r>
        <w:t>Poziții nete cu valoarea zero</w:t>
      </w:r>
      <w:bookmarkEnd w:id="376"/>
    </w:p>
    <w:p w:rsidR="00AC292A" w:rsidRDefault="00AC292A">
      <w:pPr>
        <w:pStyle w:val="IASBNormalnpara"/>
      </w:pPr>
      <w:r>
        <w:t>6.6.6</w:t>
      </w:r>
      <w:r>
        <w:tab/>
      </w:r>
      <w:bookmarkStart w:id="377" w:name="SL32570414"/>
      <w:r>
        <w:t>Atunci când un element acoperit împotriva riscurilor este un grup care reprezintă o poziție netă cu valoarea zero (adică elementele acoperite compensează între ele complet riscul gestionat la nivel de grup), unei entități îi este permis să îl desemneze într-o relaţie de acoperire împotriva riscurilor care nu include un instrument de acoperire, cu condiția ca:</w:t>
      </w:r>
      <w:bookmarkEnd w:id="377"/>
    </w:p>
    <w:p w:rsidR="00AC292A" w:rsidRDefault="00AC292A">
      <w:pPr>
        <w:pStyle w:val="IASBNormalnparaL1"/>
      </w:pPr>
      <w:r>
        <w:t>(a)</w:t>
      </w:r>
      <w:r>
        <w:tab/>
      </w:r>
      <w:bookmarkStart w:id="378" w:name="SL32570417"/>
      <w:r>
        <w:t>acoperirea împotriva riscurilor să facă parte dintr-o strategie de acoperire succesivă a riscului net, în care entitatea acoperă în mod obișnuit noi poziții de același tip odată cu trecerea timpului (de exemplu, atunci când tranzacțiile intră în orizontul temporal pentru care entitatea efectuează acoperirea împotriva riscurilor);</w:t>
      </w:r>
      <w:bookmarkEnd w:id="378"/>
    </w:p>
    <w:p w:rsidR="00AC292A" w:rsidRDefault="00AC292A">
      <w:pPr>
        <w:pStyle w:val="IASBNormalnparaL1"/>
      </w:pPr>
      <w:r>
        <w:t>(b)</w:t>
      </w:r>
      <w:r>
        <w:tab/>
      </w:r>
      <w:bookmarkStart w:id="379" w:name="SL32570419"/>
      <w:r>
        <w:t>poziția netă acoperită să se modifice din punctul de vedere al mărimii pe parcursul duratei de viață a strategiei de acoperire succesivă a riscului net, iar entitatea să folosească instrumente de acoperire eligibile pentru a acoperi riscul net (adică atunci când poziția netă nu este zero);</w:t>
      </w:r>
      <w:bookmarkEnd w:id="379"/>
    </w:p>
    <w:p w:rsidR="00AC292A" w:rsidRDefault="00AC292A">
      <w:pPr>
        <w:pStyle w:val="IASBNormalnparaL1"/>
      </w:pPr>
      <w:r>
        <w:t>(c)</w:t>
      </w:r>
      <w:r>
        <w:tab/>
      </w:r>
      <w:bookmarkStart w:id="380" w:name="SL32570421"/>
      <w:r>
        <w:t>contabilitatea de acoperire împotriva riscurilor să fie aplicată în mod normal pentru astfel de poziţii nete atunci când poziţia netă nu este zero și este acoperită cu instrumente de acoperire eligibile; și</w:t>
      </w:r>
      <w:bookmarkEnd w:id="380"/>
    </w:p>
    <w:p w:rsidR="00AC292A" w:rsidRDefault="00AC292A">
      <w:pPr>
        <w:pStyle w:val="IASBNormalnparaL1"/>
      </w:pPr>
      <w:r>
        <w:t>(d)</w:t>
      </w:r>
      <w:r>
        <w:tab/>
      </w:r>
      <w:bookmarkStart w:id="381" w:name="SL32570423"/>
      <w:r>
        <w:t>neaplicarea contabilității de acoperire împotriva riscurilor pentru poziția netă cu valoarea zero să creeze rezultate contabile inconsecvente, deoarece contabilitatea nu recunoaște pozițiile de risc compensatoare care ar fi altfel recunoscute într-o acoperire a poziţiei nete.</w:t>
      </w:r>
      <w:bookmarkEnd w:id="381"/>
    </w:p>
    <w:p w:rsidR="00AC292A" w:rsidRDefault="00AC292A">
      <w:pPr>
        <w:pStyle w:val="IASBSectionTitle1NonInd"/>
      </w:pPr>
      <w:bookmarkStart w:id="382" w:name="SL32570425"/>
      <w:r>
        <w:t>6.7 Opţiunea de a desemna o expunere la riscul de credit drept evaluată la valoarea justă prin profit sau pierdere</w:t>
      </w:r>
      <w:bookmarkEnd w:id="382"/>
    </w:p>
    <w:p w:rsidR="00AC292A" w:rsidRDefault="00AC292A">
      <w:pPr>
        <w:pStyle w:val="IASBSectionTitle2Ind"/>
      </w:pPr>
      <w:bookmarkStart w:id="383" w:name="SL32570427"/>
      <w:r>
        <w:t>Eligibilitatea expunerilor la riscul de credit de a fi desemnate la valoarea justă prin profit sau pierdere</w:t>
      </w:r>
      <w:bookmarkEnd w:id="383"/>
    </w:p>
    <w:p w:rsidR="00AC292A" w:rsidRDefault="00AC292A">
      <w:pPr>
        <w:pStyle w:val="IASBNormalnpara"/>
        <w:rPr>
          <w:b/>
        </w:rPr>
      </w:pPr>
      <w:r>
        <w:rPr>
          <w:b/>
        </w:rPr>
        <w:t>6.7.1</w:t>
      </w:r>
      <w:bookmarkStart w:id="384" w:name="SL32570428"/>
      <w:r w:rsidR="0031067B">
        <w:rPr>
          <w:b/>
        </w:rPr>
        <w:tab/>
      </w:r>
      <w:r>
        <w:rPr>
          <w:b/>
        </w:rPr>
        <w:t xml:space="preserve">Dacă o entitate utilizează un instrument derivat de credit care este evaluat la valoarea justă prin profit sau pierdere pentru a gestiona riscul de credit al întregului instrument financiar sau al unei părți a acestuia (expunerea la riscul de credit), atunci aceasta poate desemna acel instrument </w:t>
      </w:r>
      <w:r>
        <w:rPr>
          <w:b/>
        </w:rPr>
        <w:lastRenderedPageBreak/>
        <w:t>financiar, în măsura în care este gestionat astfel (adică în întregime sau parțial), drept evaluat la valoarea justă prin profit sau pierdere dacă:</w:t>
      </w:r>
      <w:bookmarkEnd w:id="384"/>
    </w:p>
    <w:p w:rsidR="00AC292A" w:rsidRDefault="00AC292A">
      <w:pPr>
        <w:pStyle w:val="IASBNormalnparaL1"/>
        <w:rPr>
          <w:b/>
        </w:rPr>
      </w:pPr>
      <w:r>
        <w:rPr>
          <w:b/>
        </w:rPr>
        <w:t>(a)</w:t>
      </w:r>
      <w:bookmarkStart w:id="385" w:name="SL32570431"/>
      <w:r w:rsidR="0031067B">
        <w:rPr>
          <w:b/>
        </w:rPr>
        <w:tab/>
      </w:r>
      <w:r>
        <w:rPr>
          <w:b/>
        </w:rPr>
        <w:t>numele expunerii la riscul de credit (de exemplu, debitorul sau deţinătorul unui angajament de creditare) corespunde entității de referință a instrumentului derivat de credit („corelarea numelui”); și</w:t>
      </w:r>
      <w:bookmarkEnd w:id="385"/>
    </w:p>
    <w:p w:rsidR="00AC292A" w:rsidRDefault="00AC292A">
      <w:pPr>
        <w:pStyle w:val="IASBNormalnparaL1"/>
        <w:rPr>
          <w:b/>
        </w:rPr>
      </w:pPr>
      <w:r>
        <w:rPr>
          <w:b/>
        </w:rPr>
        <w:t>(b)</w:t>
      </w:r>
      <w:bookmarkStart w:id="386" w:name="SL32570433"/>
      <w:r w:rsidR="0031067B">
        <w:rPr>
          <w:b/>
        </w:rPr>
        <w:tab/>
      </w:r>
      <w:r>
        <w:rPr>
          <w:b/>
        </w:rPr>
        <w:t>vechimea instrumentului financiar corespunde vechimii instrumentelor care pot fi furnizate conform instrumentului derivat de credit.</w:t>
      </w:r>
      <w:bookmarkEnd w:id="386"/>
    </w:p>
    <w:p w:rsidR="00AC292A" w:rsidRDefault="00AC292A">
      <w:pPr>
        <w:pStyle w:val="IASBNormalnparaP"/>
        <w:rPr>
          <w:b/>
        </w:rPr>
      </w:pPr>
      <w:bookmarkStart w:id="387" w:name="SL32570434"/>
      <w:r>
        <w:rPr>
          <w:b/>
        </w:rPr>
        <w:t>O entitate poate să realizeze această desemnare indiferent dacă instrumentul financiar gestionat pentru riscul de credit intră sau nu sub incidența prezentului standard (de exemplu, o entitate poate să desemneze angajamentele de creditare care nu intră sub incidența prezentului standard). Entitatea poate să desemneze acel instrument financiar la recunoaşterea iniţială, ulterior acesteia sau atunci când este nerecunoscut. Entitatea trebuie să documenteze concomitent acea desemnare.</w:t>
      </w:r>
      <w:bookmarkEnd w:id="387"/>
    </w:p>
    <w:p w:rsidR="00AC292A" w:rsidRDefault="00AC292A">
      <w:pPr>
        <w:pStyle w:val="IASBSectionTitle2Ind"/>
      </w:pPr>
      <w:bookmarkStart w:id="388" w:name="SL32570436"/>
      <w:r>
        <w:t>Contabilizarea expunerilor la riscul de credit desemnate la valoarea justă prin profit sau pierdere</w:t>
      </w:r>
      <w:bookmarkEnd w:id="388"/>
    </w:p>
    <w:p w:rsidR="00AC292A" w:rsidRDefault="00AC292A">
      <w:pPr>
        <w:pStyle w:val="IASBNormalnpara"/>
      </w:pPr>
      <w:r>
        <w:t>6.7.2</w:t>
      </w:r>
      <w:r>
        <w:tab/>
      </w:r>
      <w:bookmarkStart w:id="389" w:name="SL32570437"/>
      <w:r>
        <w:t>Dacă un instrument financiar este desemnat în conformitate cu punctul 6.7.1 drept evaluat la valoarea justă prin profit sau pierdere după recunoaşterea sa iniţială sau dacă anterior nu era recunoscut, diferența la momentul desemnării dintre valoarea contabilă, dacă aceasta există, și valoarea justă trebuie recunoscută imediat în profit sau pierdere. Pentru activele financiare evaluate la valoarea justă prin alte elemente ale rezultatului global în conformitate cu punctul 4.1.2A, câştigul sau pierderea cumulat(ă) recunoscut(ă) anterior în alte elemente ale rezultatului global trebuie imediat reclasificat(ă) din capitalurile proprii în profit sau pierdere drept o ajustare din reclasificare (a se vedea IAS 1).</w:t>
      </w:r>
      <w:bookmarkEnd w:id="389"/>
    </w:p>
    <w:p w:rsidR="00AC292A" w:rsidRDefault="00AC292A">
      <w:pPr>
        <w:pStyle w:val="IASBNormalnpara"/>
      </w:pPr>
      <w:r>
        <w:t>6.7.3</w:t>
      </w:r>
      <w:r>
        <w:tab/>
      </w:r>
      <w:bookmarkStart w:id="390" w:name="SL32570438"/>
      <w:r>
        <w:t>O entitate trebuie să întrerupă evaluarea instrumentului financiar care a creat riscul de credit, sau a unei părți din acel instrument financiar, la valoarea justă prin profit sau pierdere dacă:</w:t>
      </w:r>
      <w:bookmarkEnd w:id="390"/>
    </w:p>
    <w:p w:rsidR="00AC292A" w:rsidRDefault="00AC292A">
      <w:pPr>
        <w:pStyle w:val="IASBNormalnparaL1"/>
      </w:pPr>
      <w:r>
        <w:t>(a)</w:t>
      </w:r>
      <w:r>
        <w:tab/>
      </w:r>
      <w:bookmarkStart w:id="391" w:name="SL32570441"/>
      <w:r>
        <w:t>criteriile necesare de la punctul 6.7.1 nu mai sunt îndeplinite, de exemplu:</w:t>
      </w:r>
      <w:bookmarkEnd w:id="391"/>
    </w:p>
    <w:p w:rsidR="00AC292A" w:rsidRDefault="00AC292A">
      <w:pPr>
        <w:pStyle w:val="IASBNormalnparaL2"/>
      </w:pPr>
      <w:r>
        <w:t>(i)</w:t>
      </w:r>
      <w:r>
        <w:tab/>
      </w:r>
      <w:bookmarkStart w:id="392" w:name="SL32570444"/>
      <w:r>
        <w:t>instrumentul derivat de credit sau instrumentul financiar aferent care creează riscul de credit expiră ori este vândut, încetat sau decontat; sau</w:t>
      </w:r>
      <w:bookmarkEnd w:id="392"/>
    </w:p>
    <w:p w:rsidR="00AC292A" w:rsidRDefault="00AC292A">
      <w:pPr>
        <w:pStyle w:val="IASBNormalnparaL2"/>
      </w:pPr>
      <w:r>
        <w:t>(ii)</w:t>
      </w:r>
      <w:r>
        <w:tab/>
      </w:r>
      <w:bookmarkStart w:id="393" w:name="SL32570446"/>
      <w:r>
        <w:t>riscul de credit al instrumentului financiar nu mai este gestionat prin utilizarea instrumentelor derivate de credit. De exemplu, această situație poate apărea datorită îmbunătățirii calității creditului debitorului sau deținătorului angajamentului de creditare sau ca urmare a modificărilor dispoziţiilor privind capitalul impuse unei entități; și</w:t>
      </w:r>
      <w:bookmarkEnd w:id="393"/>
    </w:p>
    <w:p w:rsidR="00AC292A" w:rsidRDefault="00AC292A">
      <w:pPr>
        <w:pStyle w:val="IASBNormalnparaL1"/>
      </w:pPr>
      <w:r>
        <w:t>(b)</w:t>
      </w:r>
      <w:r>
        <w:tab/>
      </w:r>
      <w:bookmarkStart w:id="394" w:name="SL32570448"/>
      <w:r>
        <w:t>nu se impune în alt mod ca instrumentul financiar din care rezultă riscul de credit să fie evaluat la valoarea justă prin profit sau pierdere (adică modelul de afaceri al entității nu s-a modificat între timp astfel încât să fie necesară o reclasificare în conformitate cu punctul 4.4.1).</w:t>
      </w:r>
      <w:bookmarkEnd w:id="394"/>
    </w:p>
    <w:p w:rsidR="00AC292A" w:rsidRDefault="00AC292A">
      <w:pPr>
        <w:pStyle w:val="IASBNormalnpara"/>
      </w:pPr>
      <w:r>
        <w:t>6.7.4</w:t>
      </w:r>
      <w:r>
        <w:tab/>
      </w:r>
      <w:bookmarkStart w:id="395" w:name="SL32570449"/>
      <w:r>
        <w:t>Atunci când o entitate întrerupe evaluarea la valoarea justă prin profit sau pierdere a instrumentului financiar care creează riscul de credit sau a unei părți a acestuia, valoarea justă a instrumentului financiar respectiv la data întreruperii devine noua valoare contabilă a acestuia. Ulterior, trebuie aplicată aceeași evaluare cu cea folosită anterior desemnării instrumentului financiar la valoarea justă prin profit sau pierdere (inclusiv amortizarea care rezultă din noua valoare contabilă). De exemplu, un activ financiar care inițial a fost clasificat drept evaluat la costul amortizat va reveni la acea evaluare, iar rata dobânzii efective îi va fi recalculată pe baza noii sale valori contabile brute la data întreruperii evaluării la valoarea justă prin profit sau pierdere.</w:t>
      </w:r>
      <w:bookmarkEnd w:id="395"/>
    </w:p>
    <w:p w:rsidR="00AC292A" w:rsidRDefault="00AC292A">
      <w:pPr>
        <w:pStyle w:val="IASBSectionTitle1NonInd"/>
        <w:pBdr>
          <w:bottom w:val="none" w:sz="0" w:space="0" w:color="auto"/>
        </w:pBdr>
      </w:pPr>
      <w:bookmarkStart w:id="396" w:name="F32570456"/>
      <w:r>
        <w:t>Capitolul 7 Data intrării în vigoare şi tranziţia</w:t>
      </w:r>
      <w:bookmarkEnd w:id="396"/>
    </w:p>
    <w:p w:rsidR="00AC292A" w:rsidRDefault="00AC292A">
      <w:pPr>
        <w:pStyle w:val="IASBSectionTitle1NonInd"/>
      </w:pPr>
      <w:bookmarkStart w:id="397" w:name="F32570458"/>
      <w:r>
        <w:t>7.1 Data intrării în vigoare</w:t>
      </w:r>
      <w:bookmarkEnd w:id="397"/>
    </w:p>
    <w:p w:rsidR="00AC292A" w:rsidRDefault="00AC292A">
      <w:pPr>
        <w:pStyle w:val="IASBNormalnpara"/>
      </w:pPr>
      <w:r>
        <w:t>7.1.1</w:t>
      </w:r>
      <w:r>
        <w:tab/>
      </w:r>
      <w:bookmarkStart w:id="398" w:name="F32570459"/>
      <w:r>
        <w:t>O entitate trebuie să aplice prezentul standard pentru perioadele anuale care încep la 1 ianuarie 2018 sau ulterior acestei date. Se permite aplicarea anterior acestei date. Dacă o entitate decide să aplice anticipat prezentul standard, entitatea trebuie să prezinte acest lucru și să aplice, în acelaşi timp, toate dispoziţiile din prezentul standard (a se vedea însă şi punctele 7.1.2, 7.2.21 și 7.3.2). Aceasta va aplica, în același timp, și amendamentele de la Anexa C.</w:t>
      </w:r>
      <w:bookmarkEnd w:id="398"/>
    </w:p>
    <w:p w:rsidR="00AC292A" w:rsidRDefault="00AC292A">
      <w:pPr>
        <w:pStyle w:val="IASBNormalnpara"/>
      </w:pPr>
      <w:r>
        <w:lastRenderedPageBreak/>
        <w:t>7.1.2</w:t>
      </w:r>
      <w:r>
        <w:tab/>
      </w:r>
      <w:bookmarkStart w:id="399" w:name="F32570460"/>
      <w:r>
        <w:t xml:space="preserve">În pofida dispoziţiilor de la punctul 7.1.1, pentru perioadele anuale care încep înainte de 1 ianuarie 2018, o entitate poate alege să aplice anticipat doar dispoziţiile pentru prezentarea câștigurilor și pierderilor aferente datoriilor financiare desemnate ca fiind la valoarea justă prin profit sau pierdere de la punctele 5.7.1 litera (c), 5.7.7-5.7.9, 7.2.14 și B5.7.5-B5.7.20 fără a aplica celelalte dispoziții din prezentul standard. Dacă o entitate alege să aplice doar acele puncte, entitatea trebuie să prezinte acest lucru și să furnizeze în mod continuu prezentările aferente de informații prevăzute la punctele 10-11 din IFRS 7 </w:t>
      </w:r>
      <w:r>
        <w:rPr>
          <w:i/>
        </w:rPr>
        <w:t>Instrumente financiare: informaţii de furnizat</w:t>
      </w:r>
      <w:r>
        <w:t xml:space="preserve"> (modificat de IFRS 9 (2010)). (A se vedea, de asemenea, punctele 7.2.2 şi 7.2.15.)</w:t>
      </w:r>
      <w:bookmarkEnd w:id="399"/>
    </w:p>
    <w:p w:rsidR="00AC292A" w:rsidRDefault="00AC292A">
      <w:pPr>
        <w:pStyle w:val="IASBNormalnpara"/>
      </w:pPr>
      <w:r>
        <w:t>7.1.3</w:t>
      </w:r>
      <w:r>
        <w:tab/>
      </w:r>
      <w:bookmarkStart w:id="400" w:name="F32570461"/>
      <w:r>
        <w:t xml:space="preserve">Documentul </w:t>
      </w:r>
      <w:r>
        <w:rPr>
          <w:i/>
        </w:rPr>
        <w:t>Îmbunătățiri anuale la IFRS-uri, ciclul 2010-2012</w:t>
      </w:r>
      <w:r>
        <w:t>, emis în decembrie 2013, a modificat punctele 4.2.1 și 5.7.5 ca un amendament ce rezultă din amendamentele la IFRS 3. O entitate trebuie să aplice acel amendament prospectiv combinărilor de întreprinderi cărora li se aplică amendamentul la IFRS 3.</w:t>
      </w:r>
      <w:bookmarkEnd w:id="400"/>
    </w:p>
    <w:p w:rsidR="00AC292A" w:rsidRDefault="00AC292A">
      <w:pPr>
        <w:pStyle w:val="IASBNormalnpara"/>
      </w:pPr>
      <w:r>
        <w:t>7.1.4</w:t>
      </w:r>
      <w:r>
        <w:tab/>
      </w:r>
      <w:bookmarkStart w:id="401" w:name="F32570463"/>
      <w:r>
        <w:t xml:space="preserve">IFRS 15, emis în mai 2014, a modificat punctele 3.1.1, 4.2.1, 5.1.1, 5.2.1, 5.7.6, B3.2.13, B5.7.1, C5 şi C42 şi a eliminat punctul C16 şi titlul aferent. Au fost adăugate punctele 5.1.3 şi 5.7.1A şi o definiţie în Anexa A. O entitate trebuie să aplice aceste amendamente atunci când aplică IFRS 15. </w:t>
      </w:r>
      <w:bookmarkEnd w:id="401"/>
    </w:p>
    <w:p w:rsidR="00AC292A" w:rsidRDefault="00AC292A">
      <w:pPr>
        <w:pStyle w:val="IASBNormalnpara"/>
      </w:pPr>
      <w:r>
        <w:t>7.1.5</w:t>
      </w:r>
      <w:r>
        <w:tab/>
      </w:r>
      <w:bookmarkStart w:id="402" w:name="F46437840"/>
      <w:r>
        <w:t>IFRS 16, emis în ianuarie 2016, a modificat punctele 2.1, 5.5.15, B4.3.8, B5.5.34 și B5.5.46. O entitate trebuie să aplice aceste amendamente atunci când aplică IFRS 16.</w:t>
      </w:r>
      <w:bookmarkEnd w:id="402"/>
    </w:p>
    <w:p w:rsidR="00AC292A" w:rsidRDefault="00AC292A">
      <w:pPr>
        <w:pStyle w:val="IASBSectionTitle1NonInd"/>
      </w:pPr>
      <w:bookmarkStart w:id="403" w:name="F32570466"/>
      <w:r>
        <w:t>7.2 Tranziţia</w:t>
      </w:r>
      <w:bookmarkEnd w:id="403"/>
    </w:p>
    <w:p w:rsidR="00AC292A" w:rsidRDefault="00AC292A">
      <w:pPr>
        <w:pStyle w:val="IASBNormalnpara"/>
      </w:pPr>
      <w:r>
        <w:t>7.2.1</w:t>
      </w:r>
      <w:r>
        <w:tab/>
      </w:r>
      <w:bookmarkStart w:id="404" w:name="F32570467"/>
      <w:r>
        <w:t xml:space="preserve">O entitate trebuie să aplice prezentul standard retroactiv, în conformitate cu IAS 8 </w:t>
      </w:r>
      <w:r>
        <w:rPr>
          <w:i/>
        </w:rPr>
        <w:t>Politici contabile, modificări ale estimărilor contabile şi erori</w:t>
      </w:r>
      <w:r>
        <w:t>, cu excepţia dispoziţiilor prezentate la punctele 7.2.4-7.2.26 și 7.2.28. Prezentul standard nu trebuie aplicat elementelor care au fost deja derecunoscute la data aplicării iniţiale.</w:t>
      </w:r>
      <w:bookmarkEnd w:id="404"/>
    </w:p>
    <w:p w:rsidR="00AC292A" w:rsidRDefault="00AC292A">
      <w:pPr>
        <w:pStyle w:val="IASBNormalnpara"/>
      </w:pPr>
      <w:r>
        <w:t>7.2.2</w:t>
      </w:r>
      <w:r>
        <w:tab/>
      </w:r>
      <w:bookmarkStart w:id="405" w:name="F32570469"/>
      <w:r>
        <w:t>În sensul prevederilor tranzitorii de la punctele 7.2.1, 7.2.3-7.2.28 şi 7.3.2, data aplicării iniţiale reprezintă data la care o entitate aplică pentru prima dată acele dispoziţii din prezentul standard şi trebuie să fie începutul unei perioade de raportare după emiterea prezentului standard. În funcție de abordarea aleasă de entitate cu privire la aplicarea IFRS 9, tranziția poate implica una sau mai multe date de aplicare inițială pentru dispoziţii diferite.</w:t>
      </w:r>
      <w:bookmarkEnd w:id="405"/>
    </w:p>
    <w:p w:rsidR="00AC292A" w:rsidRDefault="00AC292A">
      <w:pPr>
        <w:pStyle w:val="IASBSectionTitle2Ind"/>
      </w:pPr>
      <w:bookmarkStart w:id="406" w:name="F32570471"/>
      <w:r>
        <w:t>Tranziţia pentru clasificare şi evaluare (capitolele 4 şi 5)</w:t>
      </w:r>
      <w:bookmarkEnd w:id="406"/>
    </w:p>
    <w:p w:rsidR="00AC292A" w:rsidRDefault="00AC292A">
      <w:pPr>
        <w:pStyle w:val="IASBNormalnpara"/>
      </w:pPr>
      <w:r>
        <w:t>7.2.3</w:t>
      </w:r>
      <w:r>
        <w:tab/>
      </w:r>
      <w:bookmarkStart w:id="407" w:name="F32570472"/>
      <w:r>
        <w:t>La data aplicării iniţiale, o entitate trebuie să evalueze dacă un activ financiar îndeplineşte condiţia de la punctul 4.1.2 litera (a) sau 4.1.2A litera (a) pe baza faptelor şi circumstanţelor care există la acea dată. Clasificarea rezultată trebuie aplicată retroactiv, indiferent de modelul de afaceri al entităţii din perioadele de raportare anterioare.</w:t>
      </w:r>
      <w:bookmarkEnd w:id="407"/>
    </w:p>
    <w:p w:rsidR="00AC292A" w:rsidRDefault="00AC292A">
      <w:pPr>
        <w:pStyle w:val="IASBNormalnpara"/>
      </w:pPr>
      <w:r>
        <w:t>7.2.4</w:t>
      </w:r>
      <w:r>
        <w:tab/>
      </w:r>
      <w:bookmarkStart w:id="408" w:name="F32570473"/>
      <w:r>
        <w:t>Dacă la data aplicării iniţiale, este imposibil (conform definiţiei din IAS 8) pentru o entitate să evalueze valoarea-timp modificată a elementului bani în conformitate cu punctele B4.1.9B-B4.1.9D pe baza faptelor şi circumstanţelor care existau la recunoaşterea iniţială a activului financiar, o entitate trebuie să evalueze caracteristicile fluxurilor de trezorerie contractuale ale acelui activ financiar pe baza faptelor şi circumstanţelor care existau la recunoaşterea iniţială a activului financiar fără a lua în considerare dispoziţiile aferente modificării valorii-timp a elementului bani de la punctele B4.1.9B-B4.1.9D. (A se vedea, de asemenea, punctul 42R din IFRS 7.)</w:t>
      </w:r>
      <w:bookmarkEnd w:id="408"/>
    </w:p>
    <w:p w:rsidR="00AC292A" w:rsidRDefault="00AC292A">
      <w:pPr>
        <w:pStyle w:val="IASBNormalnpara"/>
      </w:pPr>
      <w:r>
        <w:t>7.2.5</w:t>
      </w:r>
      <w:r>
        <w:tab/>
      </w:r>
      <w:bookmarkStart w:id="409" w:name="F32570474"/>
      <w:r>
        <w:t>Dacă la data aplicării iniţiale este imposibil (conform definiţiei din IAS 8) pentru o entitate să evalueze dacă valoarea justă a unei caracteristici de plată anticipată a fost nesemnificativă în conformitate cu punctul B4.1.12 litera (c) pe baza faptelor şi circumstanţelor care existau la recunoaşterea iniţială a activului financiar, o entitate trebuie să evalueze caracteristicile fluxurilor de trezorerie contractuale ale acelui activ financiar pe baza faptelor şi circumstanţelor care existau la recunoaşterea iniţială a activului financiar fără a lua în considerare excepţia pentru caracteristicile de plată anticipată de la punctul B4.1.12. (A se vedea, de asemenea, punctul 42S din IFRS 7.)</w:t>
      </w:r>
      <w:bookmarkEnd w:id="409"/>
    </w:p>
    <w:p w:rsidR="00AC292A" w:rsidRDefault="00AC292A">
      <w:pPr>
        <w:pStyle w:val="IASBNormalnpara"/>
      </w:pPr>
      <w:r>
        <w:t>7.2.6</w:t>
      </w:r>
      <w:r>
        <w:tab/>
      </w:r>
      <w:bookmarkStart w:id="410" w:name="F32570475"/>
      <w:r>
        <w:t>Dacă o entitate evaluează un contract-hibrid la valoarea justă în conformitate cu punctele 4.1.2A, 4.1.4 sau 4.1.5, dar valoarea justă a contractului-hibrid nu a fost evaluată în perioade de raportare comparative, valoarea justă a contractului-hibrid în perioadele de raportare comparative trebuie să fie suma valorilor juste ale componentelor (adică instrumentul-gazdă nederivat şi instrumentul derivat încorporat) la finalul fiecărei perioade de raportare comparative dacă entitatea retratează perioadele anterioare (a se vedea punctul 7.2.15).</w:t>
      </w:r>
      <w:bookmarkEnd w:id="410"/>
    </w:p>
    <w:p w:rsidR="00AC292A" w:rsidRDefault="00AC292A">
      <w:pPr>
        <w:pStyle w:val="IASBNormalnpara"/>
      </w:pPr>
      <w:r>
        <w:t>7.2.7</w:t>
      </w:r>
      <w:r>
        <w:tab/>
      </w:r>
      <w:bookmarkStart w:id="411" w:name="F32570476"/>
      <w:r>
        <w:t xml:space="preserve">Dacă o entitate a aplicat punctul 7.2.6, atunci la data aplicării iniţiale entitatea trebuie să recunoască orice diferenţă dintre valoarea justă a întregului contract-hibrid la data aplicării iniţiale şi suma valorilor juste ale </w:t>
      </w:r>
      <w:r>
        <w:lastRenderedPageBreak/>
        <w:t>componentelor din contractul-hibrid la data aplicării iniţiale în rezultatul reportat de deschidere (sau altă componentă a capitalurilor proprii, după caz) al perioadei de raportare care include data aplicării iniţiale.</w:t>
      </w:r>
      <w:bookmarkEnd w:id="411"/>
    </w:p>
    <w:p w:rsidR="00AC292A" w:rsidRDefault="00AC292A">
      <w:pPr>
        <w:pStyle w:val="IASBNormalnpara"/>
      </w:pPr>
      <w:r>
        <w:t>7.2.8</w:t>
      </w:r>
      <w:r>
        <w:tab/>
      </w:r>
      <w:bookmarkStart w:id="412" w:name="F32570477"/>
      <w:r>
        <w:t>La data aplicării iniţiale, o entitate poate desemna:</w:t>
      </w:r>
      <w:bookmarkEnd w:id="412"/>
    </w:p>
    <w:p w:rsidR="00AC292A" w:rsidRDefault="00AC292A">
      <w:pPr>
        <w:pStyle w:val="IASBNormalnparaL1"/>
      </w:pPr>
      <w:r>
        <w:t>(a)</w:t>
      </w:r>
      <w:r>
        <w:tab/>
      </w:r>
      <w:bookmarkStart w:id="413" w:name="F32570480"/>
      <w:r>
        <w:t>un activ financiar drept evaluat la valoarea justă prin profit sau pierdere în conformitate cu punctul 4.1.5; sau</w:t>
      </w:r>
      <w:bookmarkEnd w:id="413"/>
    </w:p>
    <w:p w:rsidR="00AC292A" w:rsidRDefault="00AC292A">
      <w:pPr>
        <w:pStyle w:val="IASBNormalnparaL1"/>
      </w:pPr>
      <w:r>
        <w:t>(b)</w:t>
      </w:r>
      <w:r>
        <w:tab/>
      </w:r>
      <w:bookmarkStart w:id="414" w:name="F32570482"/>
      <w:r>
        <w:t>o investiţie într-un instrument de capitaluri proprii drept la valoarea justă prin alte elemente ale rezultatului global în conformitate cu punctul 5.7.5.</w:t>
      </w:r>
      <w:bookmarkEnd w:id="414"/>
    </w:p>
    <w:p w:rsidR="00AC292A" w:rsidRDefault="00AC292A">
      <w:pPr>
        <w:pStyle w:val="IASBNormalnparaP"/>
      </w:pPr>
      <w:bookmarkStart w:id="415" w:name="F32570483"/>
      <w:r>
        <w:t>O astfel de desemnare trebuie făcută pe baza faptelor şi circumstanţelor care există la data aplicării iniţiale. Clasificarea trebuie aplicată retroactiv.</w:t>
      </w:r>
      <w:bookmarkEnd w:id="415"/>
    </w:p>
    <w:p w:rsidR="00AC292A" w:rsidRDefault="00AC292A">
      <w:pPr>
        <w:pStyle w:val="IASBNormalnpara"/>
      </w:pPr>
      <w:r>
        <w:t>7.2.9</w:t>
      </w:r>
      <w:r>
        <w:tab/>
      </w:r>
      <w:bookmarkStart w:id="416" w:name="F32570484"/>
      <w:r>
        <w:t>La data aplicării iniţiale, o entitate:</w:t>
      </w:r>
      <w:bookmarkEnd w:id="416"/>
    </w:p>
    <w:p w:rsidR="00AC292A" w:rsidRDefault="00AC292A">
      <w:pPr>
        <w:pStyle w:val="IASBNormalnparaL1"/>
      </w:pPr>
      <w:r>
        <w:t>(a)</w:t>
      </w:r>
      <w:r>
        <w:tab/>
      </w:r>
      <w:bookmarkStart w:id="417" w:name="F32570487"/>
      <w:r>
        <w:t>trebuie să revoce desemnarea sa anterioară a unui activ financiar drept evaluat la valoarea justă prin profit sau pierdere dacă acel de activ financiar nu îndeplineşte condiţia de la punctul 4.1.5.</w:t>
      </w:r>
      <w:bookmarkEnd w:id="417"/>
    </w:p>
    <w:p w:rsidR="00AC292A" w:rsidRDefault="00AC292A">
      <w:pPr>
        <w:pStyle w:val="IASBNormalnparaL1"/>
      </w:pPr>
      <w:r>
        <w:t>(b)</w:t>
      </w:r>
      <w:r>
        <w:tab/>
      </w:r>
      <w:bookmarkStart w:id="418" w:name="F32570491"/>
      <w:r>
        <w:t>poate să revoce desemnarea sa anterioară a unui activ financiar drept evaluat la valoarea justă prin profit sau pierdere dacă un acel activ financiar îndeplineşte condiţia de la punctul 4.1.5.</w:t>
      </w:r>
      <w:bookmarkEnd w:id="418"/>
    </w:p>
    <w:p w:rsidR="00AC292A" w:rsidRDefault="00AC292A">
      <w:pPr>
        <w:pStyle w:val="IASBNormalnparaP"/>
      </w:pPr>
      <w:bookmarkStart w:id="419" w:name="F32570492"/>
      <w:r>
        <w:t>O astfel de revocare trebuie făcută pe baza faptelor şi circumstanţelor care există la data aplicării iniţiale. Clasificarea trebuie aplicată retroactiv.</w:t>
      </w:r>
      <w:bookmarkEnd w:id="419"/>
    </w:p>
    <w:p w:rsidR="00AC292A" w:rsidRDefault="00AC292A">
      <w:pPr>
        <w:pStyle w:val="IASBNormalnpara"/>
      </w:pPr>
      <w:r>
        <w:t>7.2.10</w:t>
      </w:r>
      <w:r>
        <w:tab/>
      </w:r>
      <w:bookmarkStart w:id="420" w:name="F32570493"/>
      <w:r>
        <w:t>La data aplicării iniţiale, o entitate:</w:t>
      </w:r>
      <w:bookmarkEnd w:id="420"/>
    </w:p>
    <w:p w:rsidR="00AC292A" w:rsidRDefault="00AC292A">
      <w:pPr>
        <w:pStyle w:val="IASBNormalnparaL1"/>
      </w:pPr>
      <w:r>
        <w:t>(a)</w:t>
      </w:r>
      <w:r>
        <w:tab/>
      </w:r>
      <w:bookmarkStart w:id="421" w:name="F32570496"/>
      <w:r>
        <w:t>poate desemna o datorie financiară drept evaluată la valoarea justă prin profit sau pierdere în conformitate cu punctul 4.2.2 litera (a).</w:t>
      </w:r>
      <w:bookmarkEnd w:id="421"/>
    </w:p>
    <w:p w:rsidR="00AC292A" w:rsidRDefault="00AC292A">
      <w:pPr>
        <w:pStyle w:val="IASBNormalnparaL1"/>
      </w:pPr>
      <w:r>
        <w:t>(b)</w:t>
      </w:r>
      <w:r>
        <w:tab/>
      </w:r>
      <w:bookmarkStart w:id="422" w:name="F32570498"/>
      <w:r>
        <w:t>trebuie să revoce desemnarea sa anterioară a unei datorii financiare drept evaluată la valoarea justă prin profit sau pierdere dacă o astfel de desemnare a fost efectuată la recunoaşterea iniţială conform condiţiei incluse în prezent la punctul 4.2.2 litera (a) şi desemnarea nu îndeplineşte această condiţie la data aplicării iniţiale.</w:t>
      </w:r>
      <w:bookmarkEnd w:id="422"/>
    </w:p>
    <w:p w:rsidR="00AC292A" w:rsidRDefault="00AC292A">
      <w:pPr>
        <w:pStyle w:val="IASBNormalnparaL1"/>
      </w:pPr>
      <w:r>
        <w:t>(c)</w:t>
      </w:r>
      <w:r>
        <w:tab/>
      </w:r>
      <w:bookmarkStart w:id="423" w:name="F32570500"/>
      <w:r>
        <w:t>poate să revoce desemnarea sa anterioară a unei datorii financiare drept evaluată la valoarea justă prin profit sau pierdere dacă o astfel de desemnare a fost efectuată la recunoaşterea iniţială conform condiţiei incluse în prezent la punctul 4.2.2 litera (a) şi desemnarea îndeplineşte această condiţie la data aplicării iniţiale.</w:t>
      </w:r>
      <w:bookmarkEnd w:id="423"/>
    </w:p>
    <w:p w:rsidR="00AC292A" w:rsidRDefault="00AC292A">
      <w:pPr>
        <w:pStyle w:val="IASBNormalnparaP"/>
      </w:pPr>
      <w:bookmarkStart w:id="424" w:name="F32570501"/>
      <w:r>
        <w:t>O astfel de desemnare şi de revocare trebuie făcute pe baza faptelor şi circumstanţelor care există la data aplicării iniţiale. Clasificarea trebuie aplicată retroactiv.</w:t>
      </w:r>
      <w:bookmarkEnd w:id="424"/>
    </w:p>
    <w:p w:rsidR="00AC292A" w:rsidRDefault="00AC292A">
      <w:pPr>
        <w:pStyle w:val="IASBNormalnpara"/>
      </w:pPr>
      <w:r>
        <w:t>7.2.11</w:t>
      </w:r>
      <w:r>
        <w:tab/>
      </w:r>
      <w:bookmarkStart w:id="425" w:name="F32570502"/>
      <w:r>
        <w:t>Dacă este imposibil (conform definiţiei din IAS 8) pentru o entitate să aplice retroactiv metoda dobânzii efective, entitatea trebuie să trateze:</w:t>
      </w:r>
      <w:bookmarkEnd w:id="425"/>
    </w:p>
    <w:p w:rsidR="00AC292A" w:rsidRDefault="00AC292A">
      <w:pPr>
        <w:pStyle w:val="IASBNormalnparaL1"/>
      </w:pPr>
      <w:r>
        <w:t>(a)</w:t>
      </w:r>
      <w:r>
        <w:tab/>
      </w:r>
      <w:bookmarkStart w:id="426" w:name="F32570505"/>
      <w:r>
        <w:t>valoarea justă a activului financiar sau a datoriei financiare la sfârşitul fiecărei perioade comparative prezentate drept valoarea contabilă brută a respectivului activ financiar sau costul amortizat al respectivei datorii financiare în cazul în care entitatea retratează perioadele anterioare; și</w:t>
      </w:r>
      <w:bookmarkEnd w:id="426"/>
    </w:p>
    <w:p w:rsidR="00AC292A" w:rsidRDefault="00AC292A">
      <w:pPr>
        <w:pStyle w:val="IASBNormalnparaL1"/>
      </w:pPr>
      <w:r>
        <w:t>(b)</w:t>
      </w:r>
      <w:r>
        <w:tab/>
      </w:r>
      <w:bookmarkStart w:id="427" w:name="F32570507"/>
      <w:r>
        <w:t>valoarea justă a activului financiar sau a datoriei financiare la data aplicării inițiale drept noua valoare contabilă brută a respectivului activ financiar sau noul cost amortizat al respectivei datorii financiare la data aplicării inițiale a prezentului standard.</w:t>
      </w:r>
      <w:bookmarkEnd w:id="427"/>
    </w:p>
    <w:p w:rsidR="00AC292A" w:rsidRDefault="00AC292A">
      <w:pPr>
        <w:pStyle w:val="IASBNormalnpara"/>
      </w:pPr>
      <w:r>
        <w:t>7.2.12</w:t>
      </w:r>
      <w:r>
        <w:tab/>
      </w:r>
      <w:bookmarkStart w:id="428" w:name="F32570508"/>
      <w:r>
        <w:t>Dacă o entitate a contabilizat anterior la cost (în conformitate cu IAS 39) o investiţie într-un instrument de capitaluri proprii care nu are un preţ cotat pe o piaţă activă pentru un instrument identic (adică o dată de intrare de nivelul 1) (sau pentru un activ derivat care este legat de şi trebuie decontat prin livrarea unui astfel de instrument de capitaluri proprii), aceasta trebuie să evalueze acel instrument la valoarea justă la data aplicării iniţiale. Orice diferenţă dintre valoarea contabilă anterioară şi valoarea justă trebuie recunoscută în rezultatul reportat de deschidere (sau altă componentă de capitaluri proprii, după caz) al perioadei de raportare care include data aplicării iniţiale.</w:t>
      </w:r>
      <w:bookmarkEnd w:id="428"/>
    </w:p>
    <w:p w:rsidR="00AC292A" w:rsidRDefault="00AC292A">
      <w:pPr>
        <w:pStyle w:val="IASBNormalnpara"/>
      </w:pPr>
      <w:r>
        <w:t>7.2.13</w:t>
      </w:r>
      <w:r>
        <w:tab/>
      </w:r>
      <w:bookmarkStart w:id="429" w:name="F32570509"/>
      <w:r>
        <w:t>Dacă o entitate a contabilizat anterior la cost, în conformitate cu IAS 39, o datorie derivată care este legată de şi trebuie decontată prin livrarea unui instrument de capitaluri proprii care nu are un preţ cotat pe o piaţă activă pentru un instrument identic (adică o dată de intrare de nivelul 1), aceasta trebuie să evalueze acea datorie derivată la valoarea justă la data aplicării iniţiale. Orice diferenţă dintre valoarea contabilă anterioară şi valoarea justă trebuie recunoscută în rezultatul reportat de deschidere al perioadei de raportare care include data aplicării iniţiale.</w:t>
      </w:r>
      <w:bookmarkEnd w:id="429"/>
    </w:p>
    <w:p w:rsidR="00AC292A" w:rsidRDefault="00AC292A">
      <w:pPr>
        <w:pStyle w:val="IASBNormalnpara"/>
      </w:pPr>
      <w:r>
        <w:lastRenderedPageBreak/>
        <w:t>7.2.14</w:t>
      </w:r>
      <w:r>
        <w:tab/>
      </w:r>
      <w:bookmarkStart w:id="430" w:name="F32570510"/>
      <w:r>
        <w:t>La data aplicării iniţiale, o entitate trebuie să determine dacă tratamentul de la punctul 5.7.7 va crea sau va amplifica o necorelare contabilă în profit sau pierdere pe baza faptelor şi circumstanţelor care există la data aplicării iniţiale. Prezentul standard trebuie aplicat retroactiv pe baza acestei determinări.</w:t>
      </w:r>
      <w:bookmarkEnd w:id="430"/>
    </w:p>
    <w:p w:rsidR="00AC292A" w:rsidRDefault="00AC292A">
      <w:pPr>
        <w:pStyle w:val="IASBNormalnpara"/>
      </w:pPr>
      <w:r>
        <w:t>7.2.14A</w:t>
      </w:r>
      <w:r>
        <w:tab/>
      </w:r>
      <w:bookmarkStart w:id="431" w:name="F37396424"/>
      <w:r>
        <w:t>La data aplicării inițiale, unei entități i se permite să facă desemnarea de la punctul 2.5 pentru contractele care există deja la data respectivă doar dacă desemnează toate contractele similare. Modificarea activelor nete care rezultă din astfel de desemnări trebuie recunoscută în rezultatul reportat la data aplicării inițiale.</w:t>
      </w:r>
      <w:bookmarkEnd w:id="431"/>
    </w:p>
    <w:p w:rsidR="00AC292A" w:rsidRDefault="00AC292A">
      <w:pPr>
        <w:pStyle w:val="IASBNormalnpara"/>
      </w:pPr>
      <w:r>
        <w:t>7.2.15</w:t>
      </w:r>
      <w:r>
        <w:tab/>
      </w:r>
      <w:bookmarkStart w:id="432" w:name="F32570511"/>
      <w:r>
        <w:t>În pofida dispoziţiei de la punctul 7.2.1, o entitate care adoptă dispoziţiile de clasificare şi evaluare din prezentul standard (care includ dispoziţiile referitoare la evaluarea costului amortizat pentru activele financiare şi depreciere de la secţiunile 5.4 şi 5.5) trebuie să furnizeze prezentările de informații stipulate la punctele 42L-42O din IFRS 7, însă nu trebuie să retrateze perioadele anterioare. Entitatea poate să retrateze perioadele anterioare dacă și numai dacă acest lucru este posibil fără a se utiliza înţelegerea ulterioară. Dacă o entitate nu retratează perioadele anterioare, aceasta trebuie să recunoască orice diferenţă dintre valoarea contabilă anterioară şi valoarea contabilă de la începutul perioadei de raportare anuale care cuprinde data aplicării iniţiale în rezultatul reportat de deschidere (sau în altă componentă a capitalurilor proprii, după caz) al perioadei de raportare anuale care cuprinde data aplicării iniţiale. Totuşi, dacă o entitate retratează perioadele anterioare, situaţiile financiare retratate trebuie să reflecte toate dispoziţiile din prezentul standard. Dacă abordarea aleasă de entitate de a aplica IFRS 9 are ca rezultat mai mult decât o dată de aplicare iniţială pentru diferite dispoziţii, prezentul punct se aplică la fiecare dată de aplicare iniţială (a se vedea punctul 7.2.2). De exemplu, acesta este cazul dacă o entitate alege să aplice anticipat doar dispoziţiile de prezentare a câştigurilor şi pierderilor aferente datoriilor financiare desemnate ca fiind la valoarea justă prin profit sau pierdere în conformitate cu punctul 7.1.2 înainte de a aplica celelalte dispoziţii din prezentul standard.</w:t>
      </w:r>
      <w:bookmarkEnd w:id="432"/>
    </w:p>
    <w:p w:rsidR="00AC292A" w:rsidRDefault="00AC292A">
      <w:pPr>
        <w:pStyle w:val="IASBNormalnpara"/>
      </w:pPr>
      <w:r>
        <w:t>7.2.16</w:t>
      </w:r>
      <w:r>
        <w:tab/>
      </w:r>
      <w:bookmarkStart w:id="433" w:name="F32570512"/>
      <w:r>
        <w:t xml:space="preserve">Dacă o entitate întocmeşte rapoarte financiare interimare în conformitate cu IAS 34 </w:t>
      </w:r>
      <w:r>
        <w:rPr>
          <w:i/>
        </w:rPr>
        <w:t>Raportarea financiară interimară</w:t>
      </w:r>
      <w:r>
        <w:t>, nu este necesar ca entitatea să aplice dispoziţiile din prezentul standard pentru perioadele interimare anterioare datei aplicării iniţiale dacă acest lucru este imposibil (conform definiţiei din IAS 8).</w:t>
      </w:r>
      <w:bookmarkEnd w:id="433"/>
    </w:p>
    <w:p w:rsidR="00AC292A" w:rsidRDefault="00AC292A">
      <w:pPr>
        <w:pStyle w:val="IASBSectionTitle3Ind"/>
      </w:pPr>
      <w:bookmarkStart w:id="434" w:name="F32570515"/>
      <w:r>
        <w:t>Depreciere (secţiunea 5.5)</w:t>
      </w:r>
      <w:bookmarkEnd w:id="434"/>
    </w:p>
    <w:p w:rsidR="00AC292A" w:rsidRDefault="00AC292A">
      <w:pPr>
        <w:pStyle w:val="IASBNormalnpara"/>
      </w:pPr>
      <w:r>
        <w:t>7.2.17</w:t>
      </w:r>
      <w:r>
        <w:tab/>
      </w:r>
      <w:bookmarkStart w:id="435" w:name="F32570516"/>
      <w:r>
        <w:t>O entitate trebuie să aplice retroactiv, în conformitate cu IAS 8, dispoziţiile privind deprecierea de la secţiunea 5.5 ce fac obiectul punctelor 7.2.15 şi 7.2.18-7.2.20.</w:t>
      </w:r>
      <w:bookmarkEnd w:id="435"/>
    </w:p>
    <w:p w:rsidR="00AC292A" w:rsidRDefault="00AC292A">
      <w:pPr>
        <w:pStyle w:val="IASBNormalnpara"/>
      </w:pPr>
      <w:r>
        <w:t>7.2.18</w:t>
      </w:r>
      <w:r>
        <w:tab/>
      </w:r>
      <w:bookmarkStart w:id="436" w:name="F32570517"/>
      <w:r>
        <w:t>La data aplicării iniţiale, o entitate trebuie să utilizeze informaţii rezonabile şi justificabile care sunt disponibile fără cost sau efort nejustificat pentru a determina riscul de credit la data la care un instrument financiar a fost recunoscut iniţial (sau al unor angajamente de creditare şi contracte de garanţie financiară la data la care entitatea a devenit o parte a angajamentului irevocabil în conformitate cu punctul 5.5.6) şi să îl compare cu riscul de credit la data aplicării iniţiale a prezentului standard.</w:t>
      </w:r>
      <w:bookmarkEnd w:id="436"/>
    </w:p>
    <w:p w:rsidR="00AC292A" w:rsidRDefault="00AC292A">
      <w:pPr>
        <w:pStyle w:val="IASBNormalnpara"/>
      </w:pPr>
      <w:r>
        <w:t>7.2.19</w:t>
      </w:r>
      <w:r>
        <w:tab/>
      </w:r>
      <w:bookmarkStart w:id="437" w:name="F32570518"/>
      <w:r>
        <w:t>Pentru a determina dacă a existat o creştere semnificativă a riscului de credit de la recunoaşterea iniţială, o entitate poate aplica:</w:t>
      </w:r>
      <w:bookmarkEnd w:id="437"/>
    </w:p>
    <w:p w:rsidR="00AC292A" w:rsidRDefault="00AC292A">
      <w:pPr>
        <w:pStyle w:val="IASBNormalnparaL1"/>
      </w:pPr>
      <w:r>
        <w:t>(a)</w:t>
      </w:r>
      <w:r>
        <w:tab/>
      </w:r>
      <w:bookmarkStart w:id="438" w:name="F32570521"/>
      <w:r>
        <w:t>dispoziţiile de la punctele 5.5.10 şi B5.5.22-B5.5.24; și</w:t>
      </w:r>
      <w:bookmarkEnd w:id="438"/>
    </w:p>
    <w:p w:rsidR="00AC292A" w:rsidRDefault="00AC292A">
      <w:pPr>
        <w:pStyle w:val="IASBNormalnparaL1"/>
      </w:pPr>
      <w:r>
        <w:t>(b)</w:t>
      </w:r>
      <w:r>
        <w:tab/>
      </w:r>
      <w:bookmarkStart w:id="439" w:name="F32570523"/>
      <w:r>
        <w:t>prezumţia relativă de la punctul 5.5.11 pentru plăţile contractuale care sunt restante mai mult de 30 de zile dacă o entitate va aplica dispoziţiile privind deprecierea prin identificarea creşterilor semnificative în riscul de credit de la recunoaşterea iniţială pentru acele instrumente financiare pe baza informaţiilor privind depășirea scadenței.</w:t>
      </w:r>
      <w:bookmarkEnd w:id="439"/>
    </w:p>
    <w:p w:rsidR="00AC292A" w:rsidRDefault="00AC292A">
      <w:pPr>
        <w:pStyle w:val="IASBNormalnpara"/>
      </w:pPr>
      <w:r>
        <w:t>7.2.20</w:t>
      </w:r>
      <w:r>
        <w:tab/>
      </w:r>
      <w:bookmarkStart w:id="440" w:name="F32570524"/>
      <w:r>
        <w:t>Dacă, la data aplicării iniţiale, pentru a determina dacă a existat o creştere semnificativă a riscului de credit de la recunoaşterea iniţială s-ar impune un cost sau un efort nejustificat, o entitate trebuie să recunoască o ajustare pentru pierderi la o valoare egală cu pierderile din creditare preconizate pe toată durata de viață la fiecare dată de raportare până când respectivul instrument financiar este derecunoscut (exceptând cazul în care respectivul instrument financiar are un risc de credit scăzut la data de raportare, caz în care se aplică punctul 7.2.19 litera (a)).</w:t>
      </w:r>
      <w:bookmarkEnd w:id="440"/>
    </w:p>
    <w:p w:rsidR="00AC292A" w:rsidRDefault="00AC292A">
      <w:pPr>
        <w:pStyle w:val="IASBSectionTitle2Ind"/>
      </w:pPr>
      <w:bookmarkStart w:id="441" w:name="F32570526"/>
      <w:r>
        <w:t>Tranziția la contabilitatea de acoperire împotriva riscurilor (capitolul 6)</w:t>
      </w:r>
      <w:bookmarkEnd w:id="441"/>
    </w:p>
    <w:p w:rsidR="00AC292A" w:rsidRDefault="00AC292A">
      <w:pPr>
        <w:pStyle w:val="IASBNormalnpara"/>
      </w:pPr>
      <w:r>
        <w:t>7.2.21</w:t>
      </w:r>
      <w:r>
        <w:tab/>
      </w:r>
      <w:bookmarkStart w:id="442" w:name="F32570527"/>
      <w:r>
        <w:t xml:space="preserve">Atunci când o entitate aplică pentru prima dată prezentul standard, aceasta poate să aleagă ca politică contabilă să continue aplicarea dispoziţiilor privind contabilitatea de acoperire împotriva riscurilor din IAS 39 în locul dispoziţiilor din capitolul 6 al prezentului standard. O entitate trebuie să aplice respectiva politică în cazul tuturor relaţiilor de acoperire împotriva riscurilor. O entitate care optează pentru acea politică trebuie să aplice, de asemenea, IFRIC 16 </w:t>
      </w:r>
      <w:r>
        <w:rPr>
          <w:i/>
        </w:rPr>
        <w:t>Acoperirea împotriva riscurilor a unei investiţii nete într-</w:t>
      </w:r>
      <w:r>
        <w:rPr>
          <w:i/>
        </w:rPr>
        <w:lastRenderedPageBreak/>
        <w:t>o operaţiune din străinătate</w:t>
      </w:r>
      <w:r>
        <w:t>, fără amendamentele prin care respectiva interpretare respectă dispoziţiile de la capitolul 6 din prezentul standard.</w:t>
      </w:r>
      <w:bookmarkEnd w:id="442"/>
    </w:p>
    <w:p w:rsidR="00AC292A" w:rsidRDefault="00AC292A">
      <w:pPr>
        <w:pStyle w:val="IASBNormalnpara"/>
      </w:pPr>
      <w:r>
        <w:t>7.2.22</w:t>
      </w:r>
      <w:r>
        <w:tab/>
      </w:r>
      <w:bookmarkStart w:id="443" w:name="F32570529"/>
      <w:r>
        <w:t>Cu excepția celor menționate la punctul 7.2.26, o entitate trebuie să aplice prospectiv dispozițiile privind contabilitatea de acoperire împotriva riscurilor din prezentul standard.</w:t>
      </w:r>
      <w:bookmarkEnd w:id="443"/>
    </w:p>
    <w:p w:rsidR="00AC292A" w:rsidRDefault="00AC292A">
      <w:pPr>
        <w:pStyle w:val="IASBNormalnpara"/>
      </w:pPr>
      <w:r>
        <w:t>7.2.23</w:t>
      </w:r>
      <w:r>
        <w:tab/>
      </w:r>
      <w:bookmarkStart w:id="444" w:name="F32570530"/>
      <w:r>
        <w:t>Pentru a aplica contabilitatea de acoperire împotriva riscurilor de la data aplicării inițiale a dispoziţiilor privind contabilitatea de acoperire din prezentul standard, trebuie îndeplinite, de la respectiva dată, toate condițiile necesare.</w:t>
      </w:r>
      <w:bookmarkEnd w:id="444"/>
    </w:p>
    <w:p w:rsidR="00AC292A" w:rsidRDefault="00AC292A">
      <w:pPr>
        <w:pStyle w:val="IASBNormalnpara"/>
      </w:pPr>
      <w:r>
        <w:t>7.2.24</w:t>
      </w:r>
      <w:r>
        <w:tab/>
      </w:r>
      <w:bookmarkStart w:id="445" w:name="F32570531"/>
      <w:r>
        <w:t>Relaţiile de acoperire împotriva riscurilor care îndeplinesc condiţiile pentru contabilitatea de acoperire împotriva riscurilor în conformitate cu IAS 39 și care, de asemenea, îndeplinesc condiţiile pentru contabilitatea de acoperire în conformitate cu criteriile din prezentul standard (a se vedea punctul 6.4.1), după ce se ține cont de orice reechilibrare a relaţiei de acoperire împotriva riscurilor la tranziție (a se vedea punctul 7.2.25 litera (b)), trebuie considerate ca fiind relaţii continue de acoperire împotriva riscurilor.</w:t>
      </w:r>
      <w:bookmarkEnd w:id="445"/>
    </w:p>
    <w:p w:rsidR="00AC292A" w:rsidRDefault="00AC292A">
      <w:pPr>
        <w:pStyle w:val="IASBNormalnpara"/>
      </w:pPr>
      <w:r>
        <w:t>7.2.25</w:t>
      </w:r>
      <w:r>
        <w:tab/>
      </w:r>
      <w:bookmarkStart w:id="446" w:name="F32570532"/>
      <w:r>
        <w:t>La aplicarea inițială a dispoziţiilor privind contabilitatea de acoperire împotriva riscurilor din prezentul standard, o entitate:</w:t>
      </w:r>
      <w:bookmarkEnd w:id="446"/>
    </w:p>
    <w:p w:rsidR="00AC292A" w:rsidRDefault="00AC292A">
      <w:pPr>
        <w:pStyle w:val="IASBNormalnparaL1"/>
      </w:pPr>
      <w:r>
        <w:t>(a)</w:t>
      </w:r>
      <w:r>
        <w:tab/>
      </w:r>
      <w:bookmarkStart w:id="447" w:name="F32570535"/>
      <w:r>
        <w:t>poate să înceapă aplicarea acelor dispoziţii din același moment în care încetează să aplice dispoziţiile privind contabilitatea de acoperire împotriva riscurilor din IAS 39; și</w:t>
      </w:r>
      <w:bookmarkEnd w:id="447"/>
    </w:p>
    <w:p w:rsidR="00AC292A" w:rsidRDefault="00AC292A">
      <w:pPr>
        <w:pStyle w:val="IASBNormalnparaL1"/>
      </w:pPr>
      <w:r>
        <w:t>(b)</w:t>
      </w:r>
      <w:r>
        <w:tab/>
      </w:r>
      <w:bookmarkStart w:id="448" w:name="F32570537"/>
      <w:r>
        <w:t>trebuie să analizeze rata de acoperire în conformitate cu IAS 39 drept punctul de început pentru reechilibrarea ratei de acoperire a unei relaţii continue de acoperire împotriva riscurilor, dacă este cazul. Orice câştig sau pierdere care rezultă dintr-o astfel de reechilibrare trebuie recunoscut(ă) în profit sau pierdere.</w:t>
      </w:r>
      <w:bookmarkEnd w:id="448"/>
    </w:p>
    <w:p w:rsidR="00AC292A" w:rsidRDefault="00AC292A">
      <w:pPr>
        <w:pStyle w:val="IASBNormalnpara"/>
      </w:pPr>
      <w:r>
        <w:t>7.2.26</w:t>
      </w:r>
      <w:r>
        <w:tab/>
      </w:r>
      <w:bookmarkStart w:id="449" w:name="F32570538"/>
      <w:r>
        <w:t>Ca o excepție de la aplicarea prospectivă a dispoziţiilor privind contabilitatea de acoperire împotriva riscurilor din prezentul standard, o entitate:</w:t>
      </w:r>
      <w:bookmarkEnd w:id="449"/>
    </w:p>
    <w:p w:rsidR="00AC292A" w:rsidRDefault="00AC292A">
      <w:pPr>
        <w:pStyle w:val="IASBNormalnparaL1"/>
      </w:pPr>
      <w:r>
        <w:t>(a)</w:t>
      </w:r>
      <w:r>
        <w:tab/>
      </w:r>
      <w:bookmarkStart w:id="450" w:name="F32570542"/>
      <w:r>
        <w:t>trebuie să aplice retroactiv contabilizarea valorii-timp a opţiunilor în conformitate cu punctul 6.5.15 dacă, în conformitate cu IAS 39, a fost desemnată drept instrument de acoperire împotriva riscurilor într-o relaţie de acoperire doar modificarea valorii intrinsece a opțiunii. Această aplicare retroactivă se face doar în cazul acelor relaţii de acoperire împotriva riscurilor care existau la începutul primei perioade comparative sau care au fost desemnate ulterior.</w:t>
      </w:r>
      <w:bookmarkEnd w:id="450"/>
    </w:p>
    <w:p w:rsidR="00AC292A" w:rsidRDefault="00AC292A">
      <w:pPr>
        <w:pStyle w:val="IASBNormalnparaL1"/>
      </w:pPr>
      <w:r>
        <w:t>(b)</w:t>
      </w:r>
      <w:r>
        <w:tab/>
      </w:r>
      <w:bookmarkStart w:id="451" w:name="F32570544"/>
      <w:r>
        <w:t>poate aplica retroactiv contabilizarea elementului forward din contractele forward în conformitate cu punctul 6.5.16 dacă, în conformitate cu IAS 39, a fost desemnată drept instrument de acoperire împotriva riscurilor într-o relaţie de acoperire doar modificarea elementului la vedere dintr-un contract forward. Această aplicare retroactivă se face doar în cazul acelor relaţii de acoperire împotriva riscurilor care existau la începutul primei perioade comparative sau au fost desemnate ulterior. În plus, dacă o entitate alege aplicarea retroactivă a acestei contabilizări, atunci aceasta trebuie aplicată tuturor relaţiilor de acoperire împotriva riscurilor care îndeplinesc condițiile pentru această alegere (adică această alegere nu este valabilă la tranziție pentru fiecare relaţie de acoperire împotriva riscurilor în mod individual). Contabilizarea marjelor cu bază valutară (a se vedea punctul 6.5.16) poate fi aplicată retroactiv pentru acele relaţii de acoperire împotriva riscurilor care existau la începutul primei perioade comparative sau au fost desemnate ulterior.</w:t>
      </w:r>
      <w:bookmarkEnd w:id="451"/>
    </w:p>
    <w:p w:rsidR="00AC292A" w:rsidRDefault="00AC292A">
      <w:pPr>
        <w:pStyle w:val="IASBNormalnparaL1"/>
      </w:pPr>
      <w:r>
        <w:t>(c)</w:t>
      </w:r>
      <w:r>
        <w:tab/>
      </w:r>
      <w:bookmarkStart w:id="452" w:name="F32570545"/>
      <w:r>
        <w:t>trebuie să aplice retroactiv dispoziţia de la punctul 6.5.6 conform căreia nu există o expirare sau încetare a instrumentului de acoperire împotriva riscurilor dacă:</w:t>
      </w:r>
      <w:bookmarkEnd w:id="452"/>
    </w:p>
    <w:p w:rsidR="00AC292A" w:rsidRDefault="00AC292A">
      <w:pPr>
        <w:pStyle w:val="IASBNormalnparaL2"/>
      </w:pPr>
      <w:r>
        <w:t>(i)</w:t>
      </w:r>
      <w:r>
        <w:tab/>
      </w:r>
      <w:bookmarkStart w:id="453" w:name="F32570548"/>
      <w:r>
        <w:t>drept consecinţă a legilor sau reglementărilor ori a introducerii de legi sau reglementări, părţile instrumentului de acoperire sunt de acord ca unul sau mai mulţi parteneri de compensare să înlocuiască partenerul iniţial pentru a deveni noul partener al fiecăreia dintre părţi; și</w:t>
      </w:r>
      <w:bookmarkEnd w:id="453"/>
    </w:p>
    <w:p w:rsidR="00AC292A" w:rsidRDefault="00AC292A">
      <w:pPr>
        <w:pStyle w:val="IASBNormalnparaL2"/>
      </w:pPr>
      <w:r>
        <w:t>(ii)</w:t>
      </w:r>
      <w:r>
        <w:tab/>
      </w:r>
      <w:bookmarkStart w:id="454" w:name="F32570550"/>
      <w:r>
        <w:t>în cazul în care există alte modificări la instrumentul de acoperire împotriva riscurilor, acestea sunt limitate la cele necesare pentru a efectua o astfel de înlocuire a partenerului.</w:t>
      </w:r>
      <w:bookmarkEnd w:id="454"/>
    </w:p>
    <w:p w:rsidR="00AC292A" w:rsidRDefault="00AC292A">
      <w:pPr>
        <w:pStyle w:val="IASBSectionTitle2Ind"/>
      </w:pPr>
      <w:bookmarkStart w:id="455" w:name="F32570552"/>
      <w:r>
        <w:t>Entități care au aplicat anterior IFRS 9 (2009), IFRS 9 (2010) sau IFRS 9 (2013)</w:t>
      </w:r>
      <w:bookmarkEnd w:id="455"/>
    </w:p>
    <w:p w:rsidR="00AC292A" w:rsidRDefault="00AC292A">
      <w:pPr>
        <w:pStyle w:val="IASBNormalnpara"/>
      </w:pPr>
      <w:r>
        <w:t>7.2.27</w:t>
      </w:r>
      <w:r>
        <w:tab/>
      </w:r>
      <w:bookmarkStart w:id="456" w:name="F32570553"/>
      <w:r>
        <w:t>O entitate trebuie să aplice dispoziţiile tranzitorii de la punctele 7.2.1-7.2.26 la data aplicării iniţiale relevantă. O entitate trebuie să aplice fiecare prevedere tranzitorie de la punctele 7.2.3-7.2.14A şi 7.2.17-7.2.26 doar o singură dată (adică, dacă o entitate alege o abordare cu privire la aplicarea IFRS 9 care implică mai multe date de aplicare inițială, aceasta nu mai poate aplica încă o dată niciuna dintre acele prevederi dacă acestea au fost deja aplicate la o dată anterioară). (A se vedea punctele 7.2.2 şi 7.3.2.)</w:t>
      </w:r>
      <w:bookmarkEnd w:id="456"/>
    </w:p>
    <w:p w:rsidR="00AC292A" w:rsidRDefault="00AC292A">
      <w:pPr>
        <w:pStyle w:val="IASBNormalnpara"/>
      </w:pPr>
      <w:r>
        <w:lastRenderedPageBreak/>
        <w:t>7.2.28</w:t>
      </w:r>
      <w:r>
        <w:tab/>
      </w:r>
      <w:bookmarkStart w:id="457" w:name="F32570557"/>
      <w:r>
        <w:t>O entitate care a aplicat IFRS 9 (2009), IFRS 9 (2010) sau IFRS 9 (2013) şi care aplică ulterior prezentul standard:</w:t>
      </w:r>
      <w:bookmarkEnd w:id="457"/>
    </w:p>
    <w:p w:rsidR="00AC292A" w:rsidRDefault="00AC292A">
      <w:pPr>
        <w:pStyle w:val="IASBNormalnparaL1"/>
      </w:pPr>
      <w:r>
        <w:t>(a)</w:t>
      </w:r>
      <w:r>
        <w:tab/>
      </w:r>
      <w:bookmarkStart w:id="458" w:name="F32570560"/>
      <w:r>
        <w:t>trebuie să revoce desemnarea sa anterioară a unui activ financiar drept evaluat la valoarea justă prin profit sau pierdere dacă o astfel de desemnare a fost efectuată anterior conform condiţiei de la punctul 4.1.5, iar această condiţie nu mai este îndeplinită ca urmare a aplicării prezentului standard;</w:t>
      </w:r>
      <w:bookmarkEnd w:id="458"/>
    </w:p>
    <w:p w:rsidR="00AC292A" w:rsidRDefault="00AC292A">
      <w:pPr>
        <w:pStyle w:val="IASBNormalnparaL1"/>
      </w:pPr>
      <w:r>
        <w:t>(b)</w:t>
      </w:r>
      <w:r>
        <w:tab/>
      </w:r>
      <w:bookmarkStart w:id="459" w:name="F32570562"/>
      <w:r>
        <w:t>poate să desemneze un activ financiar drept evaluat la valoarea justă prin profit sau pierdere dacă o astfel de desemnare nu ar fi îndeplinit anterior condiţia de la punctul 4.1.5, iar această condiţie este acum îndeplinită ca urmare a aplicării prezentului standard;</w:t>
      </w:r>
      <w:bookmarkEnd w:id="459"/>
    </w:p>
    <w:p w:rsidR="00AC292A" w:rsidRDefault="00AC292A">
      <w:pPr>
        <w:pStyle w:val="IASBNormalnparaL1"/>
      </w:pPr>
      <w:r>
        <w:t>(c)</w:t>
      </w:r>
      <w:r>
        <w:tab/>
      </w:r>
      <w:bookmarkStart w:id="460" w:name="F32570564"/>
      <w:r>
        <w:t>trebuie să revoce desemnarea sa anterioară a unei datorii financiare drept evaluată la valoarea justă prin profit sau pierdere dacă o astfel de desemnare a fost efectuată anterior conform condiţiei de la punctul 4.2.2 litera (a), iar această condiţie nu mai este îndeplinită ca urmare a aplicării prezentului standard; și</w:t>
      </w:r>
      <w:bookmarkEnd w:id="460"/>
    </w:p>
    <w:p w:rsidR="00AC292A" w:rsidRDefault="00AC292A">
      <w:pPr>
        <w:pStyle w:val="IASBNormalnparaL1"/>
      </w:pPr>
      <w:r>
        <w:t>(d)</w:t>
      </w:r>
      <w:r>
        <w:tab/>
      </w:r>
      <w:bookmarkStart w:id="461" w:name="F32570566"/>
      <w:r>
        <w:t>poate să desemneze o datorie financiară drept evaluată la valoarea justă prin profit sau pierdere dacă o astfel de desemnare nu ar fi îndeplinit anterior condiţia de la punctul 4.2.2 litera (a), însă această condiţie este acum îndeplinită ca urmare a aplicării prezentului standard.</w:t>
      </w:r>
      <w:bookmarkEnd w:id="461"/>
    </w:p>
    <w:p w:rsidR="00AC292A" w:rsidRDefault="00AC292A">
      <w:pPr>
        <w:pStyle w:val="IASBNormalnparaP"/>
      </w:pPr>
      <w:bookmarkStart w:id="462" w:name="F32570567"/>
      <w:r>
        <w:t>O astfel de desemnare şi de revocare trebuie făcute pe baza faptelor şi circumstanţelor care există la data aplicării iniţiale a prezentului standard. Clasificarea trebuie aplicată retroactiv.</w:t>
      </w:r>
      <w:bookmarkEnd w:id="462"/>
    </w:p>
    <w:p w:rsidR="00AC292A" w:rsidRDefault="00AC292A">
      <w:pPr>
        <w:pStyle w:val="IASBSectionTitle1NonInd"/>
      </w:pPr>
      <w:bookmarkStart w:id="463" w:name="F32570569"/>
      <w:r>
        <w:t>7.3 Retragerea IFRIC 9, IFRS 9 (2009), IFRS 9 (2010) şi IFRS 9 (2013)</w:t>
      </w:r>
      <w:bookmarkEnd w:id="463"/>
    </w:p>
    <w:p w:rsidR="00AC292A" w:rsidRDefault="00AC292A">
      <w:pPr>
        <w:pStyle w:val="IASBNormalnpara"/>
      </w:pPr>
      <w:r>
        <w:t>7.3.1</w:t>
      </w:r>
      <w:r>
        <w:tab/>
      </w:r>
      <w:bookmarkStart w:id="464" w:name="F32570570"/>
      <w:r>
        <w:t xml:space="preserve">Prezentul standard înlocuieşte IFRIC 9 </w:t>
      </w:r>
      <w:r>
        <w:rPr>
          <w:i/>
        </w:rPr>
        <w:t>Reevaluarea instrumentelor derivate încorporate</w:t>
      </w:r>
      <w:r>
        <w:t xml:space="preserve">. Dispoziţiile adăugate la IFRS 9 în octombrie 2010 încorporau dispoziţiile prezentate anterior la punctele 5 şi 7 din IFRIC 9. Ca un amendament rezultat, IFRS 1 </w:t>
      </w:r>
      <w:r>
        <w:rPr>
          <w:i/>
        </w:rPr>
        <w:t>Adoptarea pentru prima dată a Standardelor Internaţionale de Raportare Financiară</w:t>
      </w:r>
      <w:r>
        <w:t xml:space="preserve"> a inclus dispoziţiile prezentate anterior la punctul 8 din IFRIC 9.</w:t>
      </w:r>
      <w:bookmarkEnd w:id="464"/>
    </w:p>
    <w:p w:rsidR="00AC292A" w:rsidRDefault="00AC292A">
      <w:pPr>
        <w:pStyle w:val="IASBNormalnpara"/>
      </w:pPr>
      <w:r>
        <w:t>7.3.2</w:t>
      </w:r>
      <w:r>
        <w:tab/>
      </w:r>
      <w:bookmarkStart w:id="465" w:name="F32570573"/>
      <w:r>
        <w:t>Prezentul standard înlocuieşte IFRS 9 (2009), IFRS 9 (2010) şi IFRS 9 (2013). Cu toate acestea, pentru perioadele anuale care încep înainte de 1 ianuarie 2018, o entitate poate să aleagă  aplicarea acelor versiuni anterioare ale IFRS 9 în locul prezentului standard dacă şi numai dacă data aplicării iniţiale relevantă a entităţii este înainte de 1 februarie 2015.</w:t>
      </w:r>
      <w:bookmarkEnd w:id="465"/>
    </w:p>
    <w:p w:rsidR="00AC292A" w:rsidRDefault="00AC292A">
      <w:pPr>
        <w:widowControl w:val="0"/>
        <w:autoSpaceDE w:val="0"/>
        <w:autoSpaceDN w:val="0"/>
        <w:adjustRightInd w:val="0"/>
        <w:sectPr w:rsidR="00AC292A">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AC292A" w:rsidRDefault="00AC292A">
      <w:pPr>
        <w:pStyle w:val="IASBSectionTitle1NonInd"/>
        <w:pBdr>
          <w:bottom w:val="none" w:sz="0" w:space="0" w:color="auto"/>
        </w:pBdr>
      </w:pPr>
      <w:bookmarkStart w:id="466" w:name="F32570576"/>
      <w:r>
        <w:lastRenderedPageBreak/>
        <w:t>Anexa A Termeni definiţi</w:t>
      </w:r>
      <w:bookmarkEnd w:id="466"/>
    </w:p>
    <w:p w:rsidR="00AC292A" w:rsidRDefault="00AC292A">
      <w:pPr>
        <w:pStyle w:val="IASBNote"/>
      </w:pPr>
      <w:bookmarkStart w:id="467" w:name="F32570577"/>
      <w:r>
        <w:t>Prezenta anexă este parte integrantă din prezentul standard.</w:t>
      </w:r>
      <w:bookmarkEnd w:id="467"/>
    </w:p>
    <w:p w:rsidR="00AC292A" w:rsidRDefault="00AC292A">
      <w:pPr>
        <w:pStyle w:val="IASBNormalnpara"/>
      </w:pPr>
    </w:p>
    <w:tbl>
      <w:tblPr>
        <w:tblW w:w="0" w:type="auto"/>
        <w:tblInd w:w="-108" w:type="dxa"/>
        <w:tblLayout w:type="fixed"/>
        <w:tblLook w:val="0000" w:firstRow="0" w:lastRow="0" w:firstColumn="0" w:lastColumn="0" w:noHBand="0" w:noVBand="0"/>
      </w:tblPr>
      <w:tblGrid>
        <w:gridCol w:w="2383"/>
        <w:gridCol w:w="6825"/>
      </w:tblGrid>
      <w:tr w:rsidR="00AC292A">
        <w:trPr>
          <w:cantSplit/>
        </w:trPr>
        <w:tc>
          <w:tcPr>
            <w:tcW w:w="2383" w:type="dxa"/>
          </w:tcPr>
          <w:p w:rsidR="00AC292A" w:rsidRDefault="00AC292A">
            <w:pPr>
              <w:pStyle w:val="IASBTableTNR"/>
            </w:pPr>
            <w:r>
              <w:rPr>
                <w:b/>
              </w:rPr>
              <w:t>pierderi din creditare preconizate pe 12 luni</w:t>
            </w:r>
          </w:p>
        </w:tc>
        <w:tc>
          <w:tcPr>
            <w:tcW w:w="6825" w:type="dxa"/>
            <w:tcBorders>
              <w:left w:val="nil"/>
            </w:tcBorders>
            <w:vAlign w:val="bottom"/>
          </w:tcPr>
          <w:p w:rsidR="00AC292A" w:rsidRDefault="00AC292A">
            <w:pPr>
              <w:pStyle w:val="IASBTableTNR"/>
            </w:pPr>
            <w:r>
              <w:t xml:space="preserve">Cota de </w:t>
            </w:r>
            <w:r>
              <w:rPr>
                <w:b/>
              </w:rPr>
              <w:t>pierderi din creditare preconizate pe toată durata de viață</w:t>
            </w:r>
            <w:r>
              <w:t xml:space="preserve"> care reprezintă </w:t>
            </w:r>
            <w:r>
              <w:rPr>
                <w:b/>
              </w:rPr>
              <w:t xml:space="preserve">pierderile din creditare preconizate </w:t>
            </w:r>
            <w:r>
              <w:t>ce rezultă din evenimentele legate de neîndeplinirea obligaţiilor aferente unui instrument financiar care sunt posibile în 12 luni după data de raportare.</w:t>
            </w:r>
          </w:p>
        </w:tc>
      </w:tr>
      <w:tr w:rsidR="00AC292A">
        <w:trPr>
          <w:cantSplit/>
        </w:trPr>
        <w:tc>
          <w:tcPr>
            <w:tcW w:w="2383" w:type="dxa"/>
            <w:tcBorders>
              <w:top w:val="nil"/>
            </w:tcBorders>
          </w:tcPr>
          <w:p w:rsidR="00AC292A" w:rsidRDefault="00AC292A">
            <w:pPr>
              <w:pStyle w:val="IASBTableTNR"/>
            </w:pPr>
            <w:r>
              <w:rPr>
                <w:b/>
              </w:rPr>
              <w:t>costul amortizat al unui activ financiar sau al unei datorii financiare</w:t>
            </w:r>
          </w:p>
        </w:tc>
        <w:tc>
          <w:tcPr>
            <w:tcW w:w="6825" w:type="dxa"/>
            <w:tcBorders>
              <w:top w:val="nil"/>
              <w:left w:val="nil"/>
            </w:tcBorders>
            <w:vAlign w:val="bottom"/>
          </w:tcPr>
          <w:p w:rsidR="00AC292A" w:rsidRDefault="00AC292A">
            <w:pPr>
              <w:pStyle w:val="IASBTableTNR"/>
            </w:pPr>
            <w:r>
              <w:t xml:space="preserve">Valoarea la care activul financiar sau datoria financiară este evaluat(ă) la recunoaşterea iniţială minus rambursările de principal, plus sau minus amortizarea cumulată utilizând </w:t>
            </w:r>
            <w:r>
              <w:rPr>
                <w:b/>
              </w:rPr>
              <w:t xml:space="preserve">metoda dobânzii efective </w:t>
            </w:r>
            <w:r>
              <w:t xml:space="preserve">pentru fiecare diferenţă dintre valoarea iniţială şi valoarea la scadenţă și, pentru activele financiare, modificată pentru orice </w:t>
            </w:r>
            <w:r>
              <w:rPr>
                <w:b/>
              </w:rPr>
              <w:t>ajustare pentru pierderi</w:t>
            </w:r>
            <w:r>
              <w:t>.</w:t>
            </w:r>
          </w:p>
        </w:tc>
      </w:tr>
      <w:tr w:rsidR="00AC292A">
        <w:trPr>
          <w:cantSplit/>
        </w:trPr>
        <w:tc>
          <w:tcPr>
            <w:tcW w:w="2383" w:type="dxa"/>
            <w:tcBorders>
              <w:top w:val="nil"/>
            </w:tcBorders>
          </w:tcPr>
          <w:p w:rsidR="00AC292A" w:rsidRDefault="00AC292A">
            <w:pPr>
              <w:pStyle w:val="IASBTableTNR"/>
            </w:pPr>
            <w:r>
              <w:rPr>
                <w:b/>
              </w:rPr>
              <w:t>active aferente contractului</w:t>
            </w:r>
          </w:p>
        </w:tc>
        <w:tc>
          <w:tcPr>
            <w:tcW w:w="6825" w:type="dxa"/>
            <w:tcBorders>
              <w:top w:val="nil"/>
              <w:left w:val="nil"/>
            </w:tcBorders>
            <w:vAlign w:val="bottom"/>
          </w:tcPr>
          <w:p w:rsidR="00AC292A" w:rsidRDefault="00AC292A">
            <w:pPr>
              <w:pStyle w:val="IASBTableTNR"/>
            </w:pPr>
            <w:r>
              <w:t xml:space="preserve">Acele drepturi pentru care IFRS 15 </w:t>
            </w:r>
            <w:r>
              <w:rPr>
                <w:i/>
              </w:rPr>
              <w:t>Venituri din contractele cu clienții</w:t>
            </w:r>
            <w:r>
              <w:t xml:space="preserve"> stipulează că sunt contabilizate în conformitate cu prezentul standard în sensul recunoaşterii şi evaluării câştigurilor sau pierderilor din depreciere.</w:t>
            </w:r>
          </w:p>
        </w:tc>
      </w:tr>
      <w:tr w:rsidR="00AC292A">
        <w:trPr>
          <w:cantSplit/>
        </w:trPr>
        <w:tc>
          <w:tcPr>
            <w:tcW w:w="2383" w:type="dxa"/>
            <w:tcBorders>
              <w:top w:val="nil"/>
            </w:tcBorders>
          </w:tcPr>
          <w:p w:rsidR="00AC292A" w:rsidRDefault="00AC292A">
            <w:pPr>
              <w:pStyle w:val="IASBTableTNR"/>
            </w:pPr>
            <w:r>
              <w:rPr>
                <w:b/>
              </w:rPr>
              <w:t>activ financiar depreciat ca urmare a riscului de credit</w:t>
            </w:r>
          </w:p>
        </w:tc>
        <w:tc>
          <w:tcPr>
            <w:tcW w:w="6825" w:type="dxa"/>
            <w:tcBorders>
              <w:top w:val="nil"/>
              <w:left w:val="nil"/>
            </w:tcBorders>
            <w:vAlign w:val="bottom"/>
          </w:tcPr>
          <w:p w:rsidR="00AC292A" w:rsidRDefault="00AC292A">
            <w:pPr>
              <w:pStyle w:val="IASBTableTNR"/>
            </w:pPr>
            <w:r>
              <w:t>Un activ financiar este depreciat ca urmare a riscului de credit atunci când au avut loc unul sau mai multe evenimente care au un impact dăunător asupra fluxurilor de trezorerie viitoare estimate ale respectivului activ financiar. Dovada că un activ financiar este depreciat ca urmare a riscului de credit include date observabile cu privire la următoarele evenimente:</w:t>
            </w:r>
          </w:p>
          <w:p w:rsidR="00AC292A" w:rsidRDefault="00AC292A">
            <w:pPr>
              <w:pStyle w:val="IASBNormalL1"/>
            </w:pPr>
            <w:r>
              <w:t>(a)</w:t>
            </w:r>
            <w:r>
              <w:tab/>
              <w:t>dificultatea financiară semnificativă a emitentului sau a debitorului;</w:t>
            </w:r>
          </w:p>
          <w:p w:rsidR="00AC292A" w:rsidRDefault="00AC292A">
            <w:pPr>
              <w:pStyle w:val="IASBNormalL1"/>
            </w:pPr>
            <w:r>
              <w:t>(b)</w:t>
            </w:r>
            <w:r>
              <w:tab/>
              <w:t>o încălcare a contractului, cum ar fi o neîndeplinire a obligaţiilor sau o restanță;</w:t>
            </w:r>
          </w:p>
          <w:p w:rsidR="00AC292A" w:rsidRDefault="00AC292A">
            <w:pPr>
              <w:pStyle w:val="IASBNormalL1"/>
            </w:pPr>
            <w:r>
              <w:t>(c)</w:t>
            </w:r>
            <w:r>
              <w:tab/>
              <w:t>creditorul (creditorii) debitorului, din motive economice sau contractuale legate de dificultăţile financiare ale debitorului, îi acordă debitorului o concesie (concesii) pe care altminteri creditorul (creditorii) nu ar lua-o (nu le-ar lua) în considerare;</w:t>
            </w:r>
          </w:p>
          <w:p w:rsidR="00AC292A" w:rsidRDefault="00AC292A">
            <w:pPr>
              <w:pStyle w:val="IASBNormalL1"/>
            </w:pPr>
            <w:r>
              <w:t>(d)</w:t>
            </w:r>
            <w:r>
              <w:tab/>
              <w:t>devine probabil că debitorul va intra în faliment sau în altă formă de reorganizare financiară;</w:t>
            </w:r>
          </w:p>
          <w:p w:rsidR="00AC292A" w:rsidRDefault="00AC292A">
            <w:pPr>
              <w:pStyle w:val="IASBNormalL1"/>
            </w:pPr>
            <w:r>
              <w:t>(e)</w:t>
            </w:r>
            <w:r>
              <w:tab/>
              <w:t>dispariţia unei pieţe active pentru acel activ financiar din cauza dificultăţilor financiare; sau</w:t>
            </w:r>
          </w:p>
          <w:p w:rsidR="00AC292A" w:rsidRDefault="00AC292A">
            <w:pPr>
              <w:pStyle w:val="IASBNormalL1"/>
            </w:pPr>
            <w:r>
              <w:t>(f)</w:t>
            </w:r>
            <w:r>
              <w:tab/>
              <w:t xml:space="preserve">achiziţionarea sau emisiunea unui activ financiar cu o reducere semnificativă ce reflectă </w:t>
            </w:r>
            <w:r>
              <w:rPr>
                <w:b/>
              </w:rPr>
              <w:t xml:space="preserve">pierderile din creditare </w:t>
            </w:r>
            <w:r>
              <w:t>suportate.</w:t>
            </w:r>
          </w:p>
          <w:p w:rsidR="00AC292A" w:rsidRDefault="00AC292A">
            <w:pPr>
              <w:pStyle w:val="IASBTableTNR"/>
            </w:pPr>
            <w:r>
              <w:t>Se poate să nu fie posibilă identificarea unui singur eveniment distinct – în schimb, efectul combinat al mai multor evenimente este posibil să fi condus la deprecierea activelor financiare ca urmare a riscului de credit.</w:t>
            </w:r>
          </w:p>
        </w:tc>
      </w:tr>
      <w:tr w:rsidR="00AC292A">
        <w:trPr>
          <w:cantSplit/>
        </w:trPr>
        <w:tc>
          <w:tcPr>
            <w:tcW w:w="2383" w:type="dxa"/>
            <w:tcBorders>
              <w:top w:val="nil"/>
            </w:tcBorders>
          </w:tcPr>
          <w:p w:rsidR="00AC292A" w:rsidRDefault="00AC292A">
            <w:pPr>
              <w:pStyle w:val="IASBTableTNR"/>
            </w:pPr>
            <w:r>
              <w:rPr>
                <w:b/>
              </w:rPr>
              <w:t>pierdere din creditare</w:t>
            </w:r>
          </w:p>
        </w:tc>
        <w:tc>
          <w:tcPr>
            <w:tcW w:w="6825" w:type="dxa"/>
            <w:tcBorders>
              <w:top w:val="nil"/>
              <w:left w:val="nil"/>
            </w:tcBorders>
            <w:vAlign w:val="bottom"/>
          </w:tcPr>
          <w:p w:rsidR="00AC292A" w:rsidRDefault="00AC292A">
            <w:pPr>
              <w:pStyle w:val="IASBTableTNR"/>
            </w:pPr>
            <w:r>
              <w:t xml:space="preserve">Diferenţa dintre toate fluxurile de trezorerie contractuale care sunt datorate unei entităţi în conformitate cu contractul şi toate fluxurile de trezorerie pe care entitatea preconizează să le primească (adică toate deficitele de numerar), actualizate la </w:t>
            </w:r>
            <w:r>
              <w:rPr>
                <w:b/>
              </w:rPr>
              <w:t>rata dobânzii efective</w:t>
            </w:r>
            <w:r>
              <w:t xml:space="preserve"> inițiale (sau</w:t>
            </w:r>
            <w:r>
              <w:rPr>
                <w:b/>
              </w:rPr>
              <w:t xml:space="preserve"> rata dobânzii efective ajustată în funcţie de credit</w:t>
            </w:r>
            <w:r>
              <w:t xml:space="preserve"> pentru </w:t>
            </w:r>
            <w:r>
              <w:rPr>
                <w:b/>
              </w:rPr>
              <w:t>activele financiare achiziţionate sau emise depreciate ca urmare a riscului de credit</w:t>
            </w:r>
            <w:r>
              <w:t>). O entitate trebuie să estimeze fluxurile de trezorerie luând în considerare toate condițiile contractuale ale instrumentului financiar (de exemplu, plata în avans, prelungirea, opţiunile call şi alte opţiuni similare) pe parcursul duratei de viaţă preconizate a respectivului instrument financiar. Fluxurile de trezorerie care sunt analizate trebuie să includă fluxurile de trezorerie din vânzarea garanţiilor reale deţinute sau alte ameliorări ale condiţiilor de credit care sunt parte integrantă din termenele contractuale. Se presupune că durata de viaţă preconizată a unui instrument financiar poate fi estimată în mod fiabil. Totuşi, în acele cazuri rare în care nu este posibilă estimarea în mod fiabil a duratei de viaţă preconizate a unui instrument financiar, entitatea trebuie să folosească durata contractuală rămasă a instrumentului financiar.</w:t>
            </w:r>
          </w:p>
        </w:tc>
      </w:tr>
      <w:tr w:rsidR="00AC292A">
        <w:trPr>
          <w:cantSplit/>
        </w:trPr>
        <w:tc>
          <w:tcPr>
            <w:tcW w:w="2383" w:type="dxa"/>
            <w:tcBorders>
              <w:top w:val="nil"/>
            </w:tcBorders>
          </w:tcPr>
          <w:p w:rsidR="00AC292A" w:rsidRDefault="00AC292A">
            <w:pPr>
              <w:pStyle w:val="IASBTableTNR"/>
            </w:pPr>
            <w:r>
              <w:rPr>
                <w:b/>
              </w:rPr>
              <w:lastRenderedPageBreak/>
              <w:t>rata dobânzii efective ajustată în funcţie de credit</w:t>
            </w:r>
          </w:p>
        </w:tc>
        <w:tc>
          <w:tcPr>
            <w:tcW w:w="6825" w:type="dxa"/>
            <w:tcBorders>
              <w:top w:val="nil"/>
              <w:left w:val="nil"/>
            </w:tcBorders>
            <w:vAlign w:val="bottom"/>
          </w:tcPr>
          <w:p w:rsidR="00AC292A" w:rsidRDefault="00AC292A">
            <w:pPr>
              <w:pStyle w:val="IASBTableTNR"/>
            </w:pPr>
            <w:r>
              <w:t xml:space="preserve">Rata care actualizează exact plăţile sau încasările viitoare în numerar estimate pe durata de viaţă preconizată a activului financiar la </w:t>
            </w:r>
            <w:r>
              <w:rPr>
                <w:b/>
              </w:rPr>
              <w:t>costul amortizat al activului financiar</w:t>
            </w:r>
            <w:r>
              <w:t xml:space="preserve"> care este un </w:t>
            </w:r>
            <w:r>
              <w:rPr>
                <w:b/>
              </w:rPr>
              <w:t>activ financiar achiziţionat sau emis depreciat ca urmare a riscului de credit</w:t>
            </w:r>
            <w:r>
              <w:t xml:space="preserve">. La calcularea ratei dobânzii efective ajustate în funcţie de credit, o entitate trebuie să estimeze fluxurile de trezorerie preconizate luând în considerare toate condiţiile contractuale ale activului financiar (de exemplu, plata în avans, prelungirea, opţiunile call şi alte opţiuni similare) şi </w:t>
            </w:r>
            <w:r>
              <w:rPr>
                <w:b/>
              </w:rPr>
              <w:t>pierderile din creditare preconizate</w:t>
            </w:r>
            <w:r>
              <w:t>. Calculul include toate comisioanele şi punctele plătite sau încasate de părţile participante la contract care fac parte integrantă din rata dobânzii efective (a se vedea punctele B5.4.1</w:t>
            </w:r>
            <w:r>
              <w:rPr>
                <w:rFonts w:ascii="Cambria Math" w:hAnsi="Cambria Math"/>
              </w:rPr>
              <w:t>-</w:t>
            </w:r>
            <w:r>
              <w:t xml:space="preserve">B5.4.3), </w:t>
            </w:r>
            <w:r>
              <w:rPr>
                <w:b/>
              </w:rPr>
              <w:t>costurile tranzacţiei</w:t>
            </w:r>
            <w:r>
              <w:t xml:space="preserve"> şi toate celelalte prime sau reduceri. Se presupune că fluxurile de trezorerie şi durata de viaţă preconizată ale unui grup de instrumente financiare similare pot fi estimate în mod fiabil. Totuși, în acele cazuri rare în care nu este posibilă estimarea în mod fiabil a fluxurilor de trezorerie sau a duratei de viaţă rămase a unui instrument financiar (sau grup de instrumente financiare), entitatea trebuie să utilizeze fluxurile de trezorerie contractuale pe întreaga durată contractuală a instrumentului financiar (sau a grupului de instrumente financiare).</w:t>
            </w:r>
          </w:p>
        </w:tc>
      </w:tr>
      <w:tr w:rsidR="00AC292A">
        <w:trPr>
          <w:cantSplit/>
        </w:trPr>
        <w:tc>
          <w:tcPr>
            <w:tcW w:w="2383" w:type="dxa"/>
            <w:tcBorders>
              <w:top w:val="nil"/>
            </w:tcBorders>
          </w:tcPr>
          <w:p w:rsidR="00AC292A" w:rsidRDefault="00AC292A">
            <w:pPr>
              <w:pStyle w:val="IASBTableTNR"/>
            </w:pPr>
            <w:r>
              <w:rPr>
                <w:b/>
              </w:rPr>
              <w:t>derecunoaştere</w:t>
            </w:r>
          </w:p>
        </w:tc>
        <w:tc>
          <w:tcPr>
            <w:tcW w:w="6825" w:type="dxa"/>
            <w:tcBorders>
              <w:top w:val="nil"/>
              <w:left w:val="nil"/>
            </w:tcBorders>
            <w:vAlign w:val="bottom"/>
          </w:tcPr>
          <w:p w:rsidR="00AC292A" w:rsidRDefault="00AC292A">
            <w:pPr>
              <w:pStyle w:val="IASBTableTNR"/>
            </w:pPr>
            <w:r>
              <w:t>Eliminarea unui activ financiar sau a unei datorii financiare recunoscut(e) anterior din situaţia poziţiei financiare a unei entităţi.</w:t>
            </w:r>
          </w:p>
        </w:tc>
      </w:tr>
      <w:tr w:rsidR="00AC292A">
        <w:trPr>
          <w:cantSplit/>
        </w:trPr>
        <w:tc>
          <w:tcPr>
            <w:tcW w:w="2383" w:type="dxa"/>
            <w:tcBorders>
              <w:top w:val="nil"/>
            </w:tcBorders>
          </w:tcPr>
          <w:p w:rsidR="00AC292A" w:rsidRDefault="00AC292A">
            <w:pPr>
              <w:pStyle w:val="IASBTableTNR"/>
            </w:pPr>
            <w:r>
              <w:rPr>
                <w:b/>
              </w:rPr>
              <w:t>instrument derivat</w:t>
            </w:r>
          </w:p>
        </w:tc>
        <w:tc>
          <w:tcPr>
            <w:tcW w:w="6825" w:type="dxa"/>
            <w:tcBorders>
              <w:top w:val="nil"/>
              <w:left w:val="nil"/>
            </w:tcBorders>
            <w:vAlign w:val="bottom"/>
          </w:tcPr>
          <w:p w:rsidR="00AC292A" w:rsidRDefault="00AC292A">
            <w:pPr>
              <w:pStyle w:val="IASBTableTNR"/>
            </w:pPr>
            <w:r>
              <w:t>Un instrument financiar sau un alt contract care intră sub incidenţa prezentului standard și care întruneşte toate cele trei caracteristici de mai jos:</w:t>
            </w:r>
          </w:p>
          <w:p w:rsidR="00AC292A" w:rsidRDefault="00AC292A">
            <w:pPr>
              <w:pStyle w:val="IASBNormalL1"/>
            </w:pPr>
            <w:r>
              <w:t>(a)</w:t>
            </w:r>
            <w:r>
              <w:tab/>
              <w:t>valoarea sa se modifică drept reacţie la modificările anumitor rate ale dobânzii, preţului unui instrument financiar, preţului mărfurilor, cursurilor de schimb valutar, indicilor de preţ sau ratelor, ratingului de credit sau indicelui de creditare, sau ale altor variabile, cu condiţia ca, în cazul unei variabile nefinanciare, aceasta să nu fie specifică unei părţi contractuale (uneori numită „de bază”).</w:t>
            </w:r>
          </w:p>
          <w:p w:rsidR="00AC292A" w:rsidRDefault="00AC292A">
            <w:pPr>
              <w:pStyle w:val="IASBNormalL1"/>
            </w:pPr>
            <w:r>
              <w:t>(b)</w:t>
            </w:r>
            <w:r>
              <w:tab/>
              <w:t>nu necesită nicio investiţie netă iniţială sau necesită o investiţie netă iniţială care este mai mică decât s-ar impune pentru alte tipuri de contracte care se preconizează să aibă reacţii similare la modificările factorilor pieţei.</w:t>
            </w:r>
          </w:p>
          <w:p w:rsidR="00AC292A" w:rsidRDefault="00AC292A">
            <w:pPr>
              <w:pStyle w:val="IASBNormalL1"/>
            </w:pPr>
            <w:r>
              <w:t>(c)</w:t>
            </w:r>
            <w:r>
              <w:tab/>
              <w:t>este decontat la o dată viitoare.</w:t>
            </w:r>
          </w:p>
        </w:tc>
      </w:tr>
      <w:tr w:rsidR="00AC292A">
        <w:trPr>
          <w:cantSplit/>
        </w:trPr>
        <w:tc>
          <w:tcPr>
            <w:tcW w:w="2383" w:type="dxa"/>
            <w:tcBorders>
              <w:top w:val="nil"/>
            </w:tcBorders>
          </w:tcPr>
          <w:p w:rsidR="00AC292A" w:rsidRDefault="00AC292A">
            <w:pPr>
              <w:pStyle w:val="IASBTableTNR"/>
            </w:pPr>
            <w:r>
              <w:rPr>
                <w:b/>
              </w:rPr>
              <w:t>dividende</w:t>
            </w:r>
          </w:p>
        </w:tc>
        <w:tc>
          <w:tcPr>
            <w:tcW w:w="6825" w:type="dxa"/>
            <w:tcBorders>
              <w:top w:val="nil"/>
              <w:left w:val="nil"/>
            </w:tcBorders>
            <w:vAlign w:val="bottom"/>
          </w:tcPr>
          <w:p w:rsidR="00AC292A" w:rsidRDefault="00AC292A">
            <w:pPr>
              <w:pStyle w:val="IASBTableTNR"/>
            </w:pPr>
            <w:r>
              <w:t>Distribuirile profiturilor către deţinătorii de instrumente de capitaluri proprii proporţional cu partea deţinută dintr-o anumită clasă de capital.</w:t>
            </w:r>
          </w:p>
        </w:tc>
      </w:tr>
      <w:tr w:rsidR="00AC292A">
        <w:trPr>
          <w:cantSplit/>
        </w:trPr>
        <w:tc>
          <w:tcPr>
            <w:tcW w:w="2383" w:type="dxa"/>
            <w:tcBorders>
              <w:top w:val="nil"/>
            </w:tcBorders>
          </w:tcPr>
          <w:p w:rsidR="00AC292A" w:rsidRDefault="00AC292A">
            <w:pPr>
              <w:pStyle w:val="IASBTableTNR"/>
            </w:pPr>
            <w:r>
              <w:rPr>
                <w:b/>
              </w:rPr>
              <w:t>metoda dobânzii efective</w:t>
            </w:r>
          </w:p>
        </w:tc>
        <w:tc>
          <w:tcPr>
            <w:tcW w:w="6825" w:type="dxa"/>
            <w:tcBorders>
              <w:top w:val="nil"/>
              <w:left w:val="nil"/>
            </w:tcBorders>
            <w:vAlign w:val="bottom"/>
          </w:tcPr>
          <w:p w:rsidR="00AC292A" w:rsidRDefault="00AC292A">
            <w:pPr>
              <w:pStyle w:val="IASBTableTNR"/>
            </w:pPr>
            <w:r>
              <w:t xml:space="preserve">Metoda care este folosită la calcularea </w:t>
            </w:r>
            <w:r>
              <w:rPr>
                <w:b/>
              </w:rPr>
              <w:t>costului amortizat al unui activ financiar sau al unei datorii financiare</w:t>
            </w:r>
            <w:r>
              <w:t xml:space="preserve"> şi la alocarea şi recunoaşterea veniturilor din dobânzi sau a cheltuielilor cu dobânzile în profit sau pierdere pe parcursul perioadei relevante.</w:t>
            </w:r>
          </w:p>
        </w:tc>
      </w:tr>
      <w:tr w:rsidR="00AC292A">
        <w:trPr>
          <w:cantSplit/>
        </w:trPr>
        <w:tc>
          <w:tcPr>
            <w:tcW w:w="2383" w:type="dxa"/>
            <w:tcBorders>
              <w:top w:val="nil"/>
            </w:tcBorders>
          </w:tcPr>
          <w:p w:rsidR="00AC292A" w:rsidRDefault="00AC292A">
            <w:pPr>
              <w:pStyle w:val="IASBTableTNR"/>
            </w:pPr>
            <w:r>
              <w:rPr>
                <w:b/>
              </w:rPr>
              <w:t>rata dobânzii efective</w:t>
            </w:r>
          </w:p>
        </w:tc>
        <w:tc>
          <w:tcPr>
            <w:tcW w:w="6825" w:type="dxa"/>
            <w:tcBorders>
              <w:top w:val="nil"/>
              <w:left w:val="nil"/>
            </w:tcBorders>
            <w:vAlign w:val="bottom"/>
          </w:tcPr>
          <w:p w:rsidR="00AC292A" w:rsidRDefault="00AC292A">
            <w:pPr>
              <w:pStyle w:val="IASBTableTNR"/>
            </w:pPr>
            <w:r>
              <w:t xml:space="preserve">Rata care actualizează exact plăţile sau încasările viitoare în numerar estimate pe durata de viaţă preconizată a activului financiar sau a datoriei financiare la </w:t>
            </w:r>
            <w:r>
              <w:rPr>
                <w:b/>
              </w:rPr>
              <w:t>valoarea contabilă brută a unui activ financiar</w:t>
            </w:r>
            <w:r>
              <w:t xml:space="preserve"> sau la </w:t>
            </w:r>
            <w:r>
              <w:rPr>
                <w:b/>
              </w:rPr>
              <w:t>costul amortizat al unei datorii financiare</w:t>
            </w:r>
            <w:r>
              <w:t xml:space="preserve">. La calcularea ratei dobânzii efective, o entitate trebuie să estimeze fluxurile de trezorerie preconizate luând în considerare toate condiţiile contractuale ale instrumentului financiar (de exemplu, plata în avans, prelungirea, opţiunile call şi alte opţiuni similare), dar nu trebuie să ia în calcul </w:t>
            </w:r>
            <w:r>
              <w:rPr>
                <w:b/>
              </w:rPr>
              <w:t>pierderile din creditare preconizate</w:t>
            </w:r>
            <w:r>
              <w:t xml:space="preserve">. Calculul include toate comisioanele şi punctele plătite sau încasate de părţile participante la contract care fac parte integrantă din rata dobânzii efective (a se vedea punctele B5.4.1-B5.4.3), </w:t>
            </w:r>
            <w:r>
              <w:rPr>
                <w:b/>
              </w:rPr>
              <w:t>costurile tranzacţiei</w:t>
            </w:r>
            <w:r>
              <w:t xml:space="preserve"> şi toate celelalte prime sau reduceri. Se presupune că fluxurile de trezorerie şi durata de viaţă preconizată ale unui grup de instrumente financiare similare pot fi estimate în mod fiabil. Totuși, în acele cazuri rare în care nu este posibilă estimarea în mod fiabil a fluxurilor de trezorerie sau a duratei de viaţă preconizate a unui instrument financiar (sau grup de instrumente financiare), entitatea trebuie să utilizeze fluxurile de trezorerie contractuale pe întreaga durată contractuală a instrumentului financiar (sau a grupului de instrumente financiare).</w:t>
            </w:r>
          </w:p>
        </w:tc>
      </w:tr>
      <w:tr w:rsidR="00AC292A">
        <w:trPr>
          <w:cantSplit/>
        </w:trPr>
        <w:tc>
          <w:tcPr>
            <w:tcW w:w="2383" w:type="dxa"/>
            <w:tcBorders>
              <w:top w:val="nil"/>
            </w:tcBorders>
          </w:tcPr>
          <w:p w:rsidR="00AC292A" w:rsidRDefault="00AC292A">
            <w:pPr>
              <w:pStyle w:val="IASBTableTNR"/>
            </w:pPr>
            <w:r>
              <w:rPr>
                <w:b/>
              </w:rPr>
              <w:t>pierderi din creditare preconizate</w:t>
            </w:r>
          </w:p>
        </w:tc>
        <w:tc>
          <w:tcPr>
            <w:tcW w:w="6825" w:type="dxa"/>
            <w:tcBorders>
              <w:top w:val="nil"/>
              <w:left w:val="nil"/>
            </w:tcBorders>
            <w:vAlign w:val="bottom"/>
          </w:tcPr>
          <w:p w:rsidR="00AC292A" w:rsidRDefault="00AC292A">
            <w:pPr>
              <w:pStyle w:val="IASBTableTNR"/>
            </w:pPr>
            <w:r>
              <w:t xml:space="preserve">Media ponderată a </w:t>
            </w:r>
            <w:r>
              <w:rPr>
                <w:b/>
              </w:rPr>
              <w:t>pierderilor din creditare</w:t>
            </w:r>
            <w:r>
              <w:t xml:space="preserve"> cu riscurile respective privind neîndeplinirea obligaţiilor ca pondere.</w:t>
            </w:r>
          </w:p>
        </w:tc>
      </w:tr>
      <w:tr w:rsidR="00AC292A">
        <w:trPr>
          <w:cantSplit/>
        </w:trPr>
        <w:tc>
          <w:tcPr>
            <w:tcW w:w="2383" w:type="dxa"/>
            <w:tcBorders>
              <w:top w:val="nil"/>
            </w:tcBorders>
          </w:tcPr>
          <w:p w:rsidR="00AC292A" w:rsidRDefault="00AC292A">
            <w:pPr>
              <w:pStyle w:val="IASBTableTNR"/>
            </w:pPr>
            <w:r>
              <w:rPr>
                <w:b/>
              </w:rPr>
              <w:lastRenderedPageBreak/>
              <w:t>contract de garanţie financiară</w:t>
            </w:r>
          </w:p>
        </w:tc>
        <w:tc>
          <w:tcPr>
            <w:tcW w:w="6825" w:type="dxa"/>
            <w:tcBorders>
              <w:top w:val="nil"/>
              <w:left w:val="nil"/>
            </w:tcBorders>
            <w:vAlign w:val="bottom"/>
          </w:tcPr>
          <w:p w:rsidR="00AC292A" w:rsidRDefault="00AC292A">
            <w:pPr>
              <w:pStyle w:val="IASBTableTNR"/>
            </w:pPr>
            <w:r>
              <w:t>Un contract care impune emitentului să efectueze anumite plăţi pentru a despăgubi deţinătorul pentru o pierdere suportată deoarece un anumit debitor nu a putut să efectueze o plată la scadenţă conform termenelor iniţiale sau modificate ale unui instrument de datorie.</w:t>
            </w:r>
          </w:p>
        </w:tc>
      </w:tr>
      <w:tr w:rsidR="00AC292A">
        <w:trPr>
          <w:cantSplit/>
        </w:trPr>
        <w:tc>
          <w:tcPr>
            <w:tcW w:w="2383" w:type="dxa"/>
            <w:tcBorders>
              <w:top w:val="nil"/>
            </w:tcBorders>
          </w:tcPr>
          <w:p w:rsidR="00AC292A" w:rsidRDefault="00AC292A">
            <w:pPr>
              <w:pStyle w:val="IASBTableTNR"/>
            </w:pPr>
            <w:r>
              <w:rPr>
                <w:b/>
              </w:rPr>
              <w:t>datorie financiară la valoarea justă prin profit sau pierdere</w:t>
            </w:r>
          </w:p>
        </w:tc>
        <w:tc>
          <w:tcPr>
            <w:tcW w:w="6825" w:type="dxa"/>
            <w:tcBorders>
              <w:top w:val="nil"/>
              <w:left w:val="nil"/>
            </w:tcBorders>
            <w:vAlign w:val="bottom"/>
          </w:tcPr>
          <w:p w:rsidR="00AC292A" w:rsidRDefault="00AC292A">
            <w:pPr>
              <w:pStyle w:val="IASBTableTNR"/>
            </w:pPr>
            <w:r>
              <w:t>O datorie financiară care îndeplineşte una dintre următoarele condiţii:</w:t>
            </w:r>
          </w:p>
          <w:p w:rsidR="00AC292A" w:rsidRDefault="00AC292A">
            <w:pPr>
              <w:pStyle w:val="IASBNormalL1"/>
            </w:pPr>
            <w:r>
              <w:t>(a)</w:t>
            </w:r>
            <w:r>
              <w:tab/>
              <w:t xml:space="preserve">corespunde definiţiei instrumentelor </w:t>
            </w:r>
            <w:r>
              <w:rPr>
                <w:b/>
              </w:rPr>
              <w:t>deţinute în vederea tranzacţionării</w:t>
            </w:r>
            <w:r>
              <w:t>.</w:t>
            </w:r>
          </w:p>
          <w:p w:rsidR="00AC292A" w:rsidRDefault="00AC292A">
            <w:pPr>
              <w:pStyle w:val="IASBNormalL1"/>
            </w:pPr>
            <w:r>
              <w:t>(b)</w:t>
            </w:r>
            <w:r>
              <w:tab/>
              <w:t>la recunoaşterea iniţială este desemnată de către entitate drept la valoarea justă prin profit sau pierdere în conformitate cu punctul 4.2.2 sau 4.3.5.</w:t>
            </w:r>
          </w:p>
          <w:p w:rsidR="00AC292A" w:rsidRDefault="00AC292A">
            <w:pPr>
              <w:pStyle w:val="IASBNormalL1"/>
            </w:pPr>
            <w:r>
              <w:t>(c)</w:t>
            </w:r>
            <w:r>
              <w:tab/>
              <w:t>este desemnată la recunoaşterea iniţială sau ulterior drept la valoarea justă prin profit sau pierdere în conformitate cu punctul 6.7.1.</w:t>
            </w:r>
          </w:p>
        </w:tc>
      </w:tr>
      <w:tr w:rsidR="00AC292A">
        <w:trPr>
          <w:cantSplit/>
        </w:trPr>
        <w:tc>
          <w:tcPr>
            <w:tcW w:w="2383" w:type="dxa"/>
            <w:tcBorders>
              <w:top w:val="nil"/>
            </w:tcBorders>
          </w:tcPr>
          <w:p w:rsidR="00AC292A" w:rsidRDefault="00AC292A">
            <w:pPr>
              <w:pStyle w:val="IASBTableTNR"/>
            </w:pPr>
            <w:r>
              <w:rPr>
                <w:b/>
              </w:rPr>
              <w:t>angajament ferm</w:t>
            </w:r>
          </w:p>
        </w:tc>
        <w:tc>
          <w:tcPr>
            <w:tcW w:w="6825" w:type="dxa"/>
            <w:tcBorders>
              <w:top w:val="nil"/>
              <w:left w:val="nil"/>
            </w:tcBorders>
            <w:vAlign w:val="bottom"/>
          </w:tcPr>
          <w:p w:rsidR="00AC292A" w:rsidRDefault="00AC292A">
            <w:pPr>
              <w:pStyle w:val="IASBTableTNR"/>
            </w:pPr>
            <w:r>
              <w:t>Un acord irevocabil de a schimba o cantitate specificată de resurse la un preţ specificat, la o dată viitoare specificată sau la date viitoare specificate.</w:t>
            </w:r>
          </w:p>
        </w:tc>
      </w:tr>
      <w:tr w:rsidR="00AC292A">
        <w:trPr>
          <w:cantSplit/>
        </w:trPr>
        <w:tc>
          <w:tcPr>
            <w:tcW w:w="2383" w:type="dxa"/>
            <w:tcBorders>
              <w:top w:val="nil"/>
            </w:tcBorders>
          </w:tcPr>
          <w:p w:rsidR="00AC292A" w:rsidRDefault="00AC292A">
            <w:pPr>
              <w:pStyle w:val="IASBTableTNR"/>
            </w:pPr>
            <w:r>
              <w:rPr>
                <w:b/>
              </w:rPr>
              <w:t>tranzacţie prognozată</w:t>
            </w:r>
          </w:p>
        </w:tc>
        <w:tc>
          <w:tcPr>
            <w:tcW w:w="6825" w:type="dxa"/>
            <w:tcBorders>
              <w:top w:val="nil"/>
              <w:left w:val="nil"/>
            </w:tcBorders>
            <w:vAlign w:val="bottom"/>
          </w:tcPr>
          <w:p w:rsidR="00AC292A" w:rsidRDefault="00AC292A">
            <w:pPr>
              <w:pStyle w:val="IASBTableTNR"/>
            </w:pPr>
            <w:r>
              <w:t>O tranzacţie viitoare neangajată, dar anticipată.</w:t>
            </w:r>
          </w:p>
        </w:tc>
      </w:tr>
      <w:tr w:rsidR="00AC292A">
        <w:trPr>
          <w:cantSplit/>
        </w:trPr>
        <w:tc>
          <w:tcPr>
            <w:tcW w:w="2383" w:type="dxa"/>
            <w:tcBorders>
              <w:top w:val="nil"/>
            </w:tcBorders>
          </w:tcPr>
          <w:p w:rsidR="00AC292A" w:rsidRDefault="00AC292A">
            <w:pPr>
              <w:pStyle w:val="IASBTableTNR"/>
            </w:pPr>
            <w:r>
              <w:rPr>
                <w:b/>
              </w:rPr>
              <w:t>valoarea contabilă brută a unui activ financiar</w:t>
            </w:r>
          </w:p>
        </w:tc>
        <w:tc>
          <w:tcPr>
            <w:tcW w:w="6825" w:type="dxa"/>
            <w:tcBorders>
              <w:top w:val="nil"/>
              <w:left w:val="nil"/>
            </w:tcBorders>
            <w:vAlign w:val="bottom"/>
          </w:tcPr>
          <w:p w:rsidR="00AC292A" w:rsidRDefault="00AC292A">
            <w:pPr>
              <w:pStyle w:val="IASBTableTNR"/>
            </w:pPr>
            <w:r>
              <w:rPr>
                <w:b/>
              </w:rPr>
              <w:t>Costul amortizat al unui activ financiar</w:t>
            </w:r>
            <w:r>
              <w:t xml:space="preserve"> înainte de modificarea pentru orice </w:t>
            </w:r>
            <w:r>
              <w:rPr>
                <w:b/>
              </w:rPr>
              <w:t>ajustare pentru pierderi</w:t>
            </w:r>
            <w:r>
              <w:t>.</w:t>
            </w:r>
          </w:p>
        </w:tc>
      </w:tr>
      <w:tr w:rsidR="00AC292A">
        <w:trPr>
          <w:cantSplit/>
        </w:trPr>
        <w:tc>
          <w:tcPr>
            <w:tcW w:w="2383" w:type="dxa"/>
            <w:tcBorders>
              <w:top w:val="nil"/>
            </w:tcBorders>
          </w:tcPr>
          <w:p w:rsidR="00AC292A" w:rsidRDefault="00AC292A">
            <w:pPr>
              <w:pStyle w:val="IASBTableTNR"/>
            </w:pPr>
            <w:r>
              <w:rPr>
                <w:b/>
              </w:rPr>
              <w:t>rată de acoperire</w:t>
            </w:r>
          </w:p>
        </w:tc>
        <w:tc>
          <w:tcPr>
            <w:tcW w:w="6825" w:type="dxa"/>
            <w:tcBorders>
              <w:top w:val="nil"/>
              <w:left w:val="nil"/>
            </w:tcBorders>
            <w:vAlign w:val="bottom"/>
          </w:tcPr>
          <w:p w:rsidR="00AC292A" w:rsidRDefault="00AC292A">
            <w:pPr>
              <w:pStyle w:val="IASBTableTNR"/>
            </w:pPr>
            <w:r>
              <w:t>Relația dintre cantitatea instrumentului de acoperire împotriva riscurilor și cantitatea elementului acoperit în funcție de ponderea lor relativă.</w:t>
            </w:r>
          </w:p>
        </w:tc>
      </w:tr>
      <w:tr w:rsidR="00AC292A">
        <w:trPr>
          <w:cantSplit/>
        </w:trPr>
        <w:tc>
          <w:tcPr>
            <w:tcW w:w="2383" w:type="dxa"/>
            <w:tcBorders>
              <w:top w:val="nil"/>
            </w:tcBorders>
          </w:tcPr>
          <w:p w:rsidR="00AC292A" w:rsidRDefault="00AC292A">
            <w:pPr>
              <w:pStyle w:val="IASBTableTNR"/>
            </w:pPr>
            <w:r>
              <w:rPr>
                <w:b/>
              </w:rPr>
              <w:t>deţinut în vederea tranzacţionării</w:t>
            </w:r>
          </w:p>
        </w:tc>
        <w:tc>
          <w:tcPr>
            <w:tcW w:w="6825" w:type="dxa"/>
            <w:tcBorders>
              <w:top w:val="nil"/>
              <w:left w:val="nil"/>
            </w:tcBorders>
            <w:vAlign w:val="bottom"/>
          </w:tcPr>
          <w:p w:rsidR="00AC292A" w:rsidRDefault="00AC292A">
            <w:pPr>
              <w:pStyle w:val="IASBTableTNR"/>
            </w:pPr>
            <w:r>
              <w:t>Un activ financiar sau o datorie financiară care:</w:t>
            </w:r>
          </w:p>
          <w:p w:rsidR="00AC292A" w:rsidRDefault="00AC292A">
            <w:pPr>
              <w:pStyle w:val="IASBNormalL1"/>
            </w:pPr>
            <w:r>
              <w:t>(a)</w:t>
            </w:r>
            <w:r>
              <w:tab/>
              <w:t>este dobândit sau este suportată în principal în scopul vânzării sau răscumpărării în viitorul apropiat;</w:t>
            </w:r>
          </w:p>
          <w:p w:rsidR="00AC292A" w:rsidRDefault="00AC292A">
            <w:pPr>
              <w:pStyle w:val="IASBNormalL1"/>
            </w:pPr>
            <w:r>
              <w:t>(b)</w:t>
            </w:r>
            <w:r>
              <w:tab/>
              <w:t>la recunoaşterea iniţială face parte dintr-un portofoliu de instrumente financiare identificate gestionate împreună şi pentru care există dovezi ale unui tipar real recent de urmărire a profitului pe termen scurt; sau</w:t>
            </w:r>
          </w:p>
          <w:p w:rsidR="00AC292A" w:rsidRDefault="00AC292A">
            <w:pPr>
              <w:pStyle w:val="IASBNormalL1"/>
            </w:pPr>
            <w:r>
              <w:t>(c)</w:t>
            </w:r>
            <w:r>
              <w:tab/>
              <w:t xml:space="preserve">este un </w:t>
            </w:r>
            <w:r>
              <w:rPr>
                <w:b/>
              </w:rPr>
              <w:t>instrument derivat</w:t>
            </w:r>
            <w:r>
              <w:t xml:space="preserve"> (cu excepţia unui instrument derivat care este un contract de garanţie financiară sau un instrument desemnat şi eficient de acoperire împotriva riscurilor).</w:t>
            </w:r>
          </w:p>
        </w:tc>
      </w:tr>
      <w:tr w:rsidR="00AC292A">
        <w:trPr>
          <w:cantSplit/>
        </w:trPr>
        <w:tc>
          <w:tcPr>
            <w:tcW w:w="2383" w:type="dxa"/>
            <w:tcBorders>
              <w:top w:val="nil"/>
            </w:tcBorders>
          </w:tcPr>
          <w:p w:rsidR="00AC292A" w:rsidRDefault="00AC292A">
            <w:pPr>
              <w:pStyle w:val="IASBTableTNR"/>
            </w:pPr>
            <w:r>
              <w:rPr>
                <w:b/>
              </w:rPr>
              <w:t>câştig sau pierdere din depreciere</w:t>
            </w:r>
          </w:p>
        </w:tc>
        <w:tc>
          <w:tcPr>
            <w:tcW w:w="6825" w:type="dxa"/>
            <w:tcBorders>
              <w:top w:val="nil"/>
              <w:left w:val="nil"/>
            </w:tcBorders>
            <w:vAlign w:val="bottom"/>
          </w:tcPr>
          <w:p w:rsidR="00AC292A" w:rsidRDefault="00AC292A">
            <w:pPr>
              <w:pStyle w:val="IASBTableTNR"/>
            </w:pPr>
            <w:r>
              <w:t>Câştiguri sau pierderi care sunt recunoscute în profit sau pierdere în conformitate cu punctul 5.5.8 şi care rezultă din aplicarea dispoziţiilor privind deprecierea de la secţiunea 5.5.</w:t>
            </w:r>
          </w:p>
        </w:tc>
      </w:tr>
      <w:tr w:rsidR="00AC292A">
        <w:trPr>
          <w:cantSplit/>
        </w:trPr>
        <w:tc>
          <w:tcPr>
            <w:tcW w:w="2383" w:type="dxa"/>
            <w:tcBorders>
              <w:top w:val="nil"/>
            </w:tcBorders>
          </w:tcPr>
          <w:p w:rsidR="00AC292A" w:rsidRDefault="00AC292A">
            <w:pPr>
              <w:pStyle w:val="IASBTableTNR"/>
            </w:pPr>
            <w:r>
              <w:rPr>
                <w:b/>
              </w:rPr>
              <w:t>pierderi din creditare preconizate pe toată durata de viață</w:t>
            </w:r>
          </w:p>
        </w:tc>
        <w:tc>
          <w:tcPr>
            <w:tcW w:w="6825" w:type="dxa"/>
            <w:tcBorders>
              <w:top w:val="nil"/>
              <w:left w:val="nil"/>
            </w:tcBorders>
            <w:vAlign w:val="bottom"/>
          </w:tcPr>
          <w:p w:rsidR="00AC292A" w:rsidRDefault="00AC292A">
            <w:pPr>
              <w:pStyle w:val="IASBTableTNR"/>
            </w:pPr>
            <w:r>
              <w:rPr>
                <w:b/>
              </w:rPr>
              <w:t>Pierderile din creditare preconizate</w:t>
            </w:r>
            <w:r>
              <w:t xml:space="preserve"> care rezultă din toate situațiile posibile de neîndeplinire a obligaţiilor pe durata de viață preconizată a unui instrument financiar.</w:t>
            </w:r>
          </w:p>
        </w:tc>
      </w:tr>
      <w:tr w:rsidR="00AC292A">
        <w:trPr>
          <w:cantSplit/>
        </w:trPr>
        <w:tc>
          <w:tcPr>
            <w:tcW w:w="2383" w:type="dxa"/>
            <w:tcBorders>
              <w:top w:val="nil"/>
            </w:tcBorders>
          </w:tcPr>
          <w:p w:rsidR="00AC292A" w:rsidRDefault="00AC292A">
            <w:pPr>
              <w:pStyle w:val="IASBTableTNR"/>
            </w:pPr>
            <w:r>
              <w:rPr>
                <w:b/>
              </w:rPr>
              <w:t>ajustare pentru pierderi</w:t>
            </w:r>
          </w:p>
        </w:tc>
        <w:tc>
          <w:tcPr>
            <w:tcW w:w="6825" w:type="dxa"/>
            <w:tcBorders>
              <w:top w:val="nil"/>
              <w:left w:val="nil"/>
            </w:tcBorders>
            <w:vAlign w:val="bottom"/>
          </w:tcPr>
          <w:p w:rsidR="00AC292A" w:rsidRDefault="00AC292A">
            <w:pPr>
              <w:pStyle w:val="IASBTableTNR"/>
            </w:pPr>
            <w:r>
              <w:t xml:space="preserve">Ajustarea pentru </w:t>
            </w:r>
            <w:r>
              <w:rPr>
                <w:b/>
              </w:rPr>
              <w:t>pierderile din creditare preconizate</w:t>
            </w:r>
            <w:r>
              <w:t xml:space="preserve"> aferente activelor financiare evaluate în conformitate cu punctul 4.1.2, creanţele care decurg din contracte de leasing şi </w:t>
            </w:r>
            <w:r>
              <w:rPr>
                <w:b/>
              </w:rPr>
              <w:t>activele aferente contractului</w:t>
            </w:r>
            <w:r>
              <w:t xml:space="preserve">, valoarea acumulată a deprecierii pentru activele financiare evaluate în conformitate cu punctul 4.1.2A şi provizionul pentru pierderile din creditare preconizate aferente angajamentelor de creditare şi </w:t>
            </w:r>
            <w:r>
              <w:rPr>
                <w:b/>
              </w:rPr>
              <w:t>contractelor de garanţie financiară</w:t>
            </w:r>
            <w:r>
              <w:t>.</w:t>
            </w:r>
          </w:p>
        </w:tc>
      </w:tr>
      <w:tr w:rsidR="00AC292A">
        <w:trPr>
          <w:cantSplit/>
        </w:trPr>
        <w:tc>
          <w:tcPr>
            <w:tcW w:w="2383" w:type="dxa"/>
            <w:tcBorders>
              <w:top w:val="nil"/>
            </w:tcBorders>
          </w:tcPr>
          <w:p w:rsidR="00AC292A" w:rsidRDefault="00AC292A">
            <w:pPr>
              <w:pStyle w:val="IASBTableTNR"/>
            </w:pPr>
            <w:r>
              <w:rPr>
                <w:b/>
              </w:rPr>
              <w:t>câştig sau pierdere din modificare</w:t>
            </w:r>
          </w:p>
        </w:tc>
        <w:tc>
          <w:tcPr>
            <w:tcW w:w="6825" w:type="dxa"/>
            <w:tcBorders>
              <w:top w:val="nil"/>
              <w:left w:val="nil"/>
            </w:tcBorders>
            <w:vAlign w:val="bottom"/>
          </w:tcPr>
          <w:p w:rsidR="00AC292A" w:rsidRDefault="00AC292A">
            <w:pPr>
              <w:pStyle w:val="IASBTableTNR"/>
            </w:pPr>
            <w:r>
              <w:t xml:space="preserve">Suma rezultată din ajustarea </w:t>
            </w:r>
            <w:r>
              <w:rPr>
                <w:b/>
              </w:rPr>
              <w:t>valorii contabile brute a unui activ financiar</w:t>
            </w:r>
            <w:r>
              <w:t xml:space="preserve"> astfel încât să reflecte fluxurile de trezorerie contractuale renegociate sau modificate. Entitatea recalculează valoarea contabilă brută a unui activ financiar drept valoarea actualizată a plăţilor sau încasărilor viitoare în numerar estimate pe durata de viață preconizată a activului financiar renegociat sau modificat care sunt actualizate la </w:t>
            </w:r>
            <w:r>
              <w:rPr>
                <w:b/>
              </w:rPr>
              <w:t>rata iniţială a dobânzii efective</w:t>
            </w:r>
            <w:r>
              <w:t xml:space="preserve"> a activului financiar (sau </w:t>
            </w:r>
            <w:r>
              <w:rPr>
                <w:b/>
              </w:rPr>
              <w:t>rata iniţială a dobânzii efective ajustată în funcţie de credit</w:t>
            </w:r>
            <w:r>
              <w:t xml:space="preserve"> pentru </w:t>
            </w:r>
            <w:r>
              <w:rPr>
                <w:b/>
              </w:rPr>
              <w:t>activele financiare achiziţionate sau emise depreciate ca urmare a riscului de credit</w:t>
            </w:r>
            <w:r>
              <w:t xml:space="preserve">) sau, atunci când este cazul, </w:t>
            </w:r>
            <w:r>
              <w:rPr>
                <w:b/>
              </w:rPr>
              <w:t>rata dobânzii efective</w:t>
            </w:r>
            <w:r>
              <w:t xml:space="preserve"> revizuită calculată în conformitate cu punctul 6.5.10. Atunci când estimează fluxurile de trezorerie preconizate ale unui activ financiar, o entitate trebuie să ia în considerare toate termenele contractuale ale activului financiar (de exemplu, plata în avans, opţiunile call și alte opțiuni similare), însă nu trebuie să ia în considerare </w:t>
            </w:r>
            <w:r>
              <w:rPr>
                <w:b/>
              </w:rPr>
              <w:t>pierderile din creditare preconizate</w:t>
            </w:r>
            <w:r>
              <w:t xml:space="preserve">, cu excepția cazului în care activul financiar este un </w:t>
            </w:r>
            <w:r>
              <w:rPr>
                <w:b/>
              </w:rPr>
              <w:t>activ financiar achiziţionat sau emis depreciat ca urmare a riscului de credit</w:t>
            </w:r>
            <w:r>
              <w:t xml:space="preserve">, caz în care o entitate trebuie să ia, de asemenea, în considerare pierderile din creditare preconizate iniţial care au fost luate în considerare la calculul </w:t>
            </w:r>
            <w:r>
              <w:rPr>
                <w:b/>
              </w:rPr>
              <w:t>ratei iniţiale a dobânzii efective ajustate în funcţie de credit</w:t>
            </w:r>
            <w:r>
              <w:t>.</w:t>
            </w:r>
          </w:p>
        </w:tc>
      </w:tr>
      <w:tr w:rsidR="00AC292A">
        <w:trPr>
          <w:cantSplit/>
        </w:trPr>
        <w:tc>
          <w:tcPr>
            <w:tcW w:w="2383" w:type="dxa"/>
            <w:tcBorders>
              <w:top w:val="nil"/>
            </w:tcBorders>
          </w:tcPr>
          <w:p w:rsidR="00AC292A" w:rsidRDefault="00AC292A">
            <w:pPr>
              <w:pStyle w:val="IASBTableTNR"/>
            </w:pPr>
            <w:r>
              <w:rPr>
                <w:b/>
              </w:rPr>
              <w:lastRenderedPageBreak/>
              <w:t>restant</w:t>
            </w:r>
          </w:p>
        </w:tc>
        <w:tc>
          <w:tcPr>
            <w:tcW w:w="6825" w:type="dxa"/>
            <w:tcBorders>
              <w:top w:val="nil"/>
              <w:left w:val="nil"/>
            </w:tcBorders>
            <w:vAlign w:val="bottom"/>
          </w:tcPr>
          <w:p w:rsidR="00AC292A" w:rsidRDefault="00AC292A">
            <w:pPr>
              <w:pStyle w:val="IASBTableTNR"/>
            </w:pPr>
            <w:r>
              <w:t>Un activ financiar este restant atunci când partenerul nu a efectuat o plată la scadenţa sa contractuală.</w:t>
            </w:r>
          </w:p>
        </w:tc>
      </w:tr>
      <w:tr w:rsidR="00AC292A">
        <w:trPr>
          <w:cantSplit/>
        </w:trPr>
        <w:tc>
          <w:tcPr>
            <w:tcW w:w="2383" w:type="dxa"/>
            <w:tcBorders>
              <w:top w:val="nil"/>
            </w:tcBorders>
          </w:tcPr>
          <w:p w:rsidR="00AC292A" w:rsidRDefault="00AC292A">
            <w:pPr>
              <w:pStyle w:val="IASBTableTNR"/>
            </w:pPr>
            <w:r>
              <w:rPr>
                <w:b/>
              </w:rPr>
              <w:t>activ financiar achiziţionat sau emis depreciat ca urmare a riscului de credit</w:t>
            </w:r>
          </w:p>
        </w:tc>
        <w:tc>
          <w:tcPr>
            <w:tcW w:w="6825" w:type="dxa"/>
            <w:tcBorders>
              <w:top w:val="nil"/>
              <w:left w:val="nil"/>
            </w:tcBorders>
            <w:vAlign w:val="bottom"/>
          </w:tcPr>
          <w:p w:rsidR="00AC292A" w:rsidRDefault="00AC292A">
            <w:pPr>
              <w:pStyle w:val="IASBTableTNR"/>
            </w:pPr>
            <w:r>
              <w:t xml:space="preserve">Activ(e) financiar(e) achiziţionat(e) sau emis(e) care este (sunt) </w:t>
            </w:r>
            <w:r>
              <w:rPr>
                <w:b/>
              </w:rPr>
              <w:t>depreciat(e) ca urmare a riscului de credit</w:t>
            </w:r>
            <w:r>
              <w:t xml:space="preserve"> la recunoaşterea iniţială.</w:t>
            </w:r>
          </w:p>
        </w:tc>
      </w:tr>
      <w:tr w:rsidR="00AC292A">
        <w:trPr>
          <w:cantSplit/>
        </w:trPr>
        <w:tc>
          <w:tcPr>
            <w:tcW w:w="2383" w:type="dxa"/>
            <w:tcBorders>
              <w:top w:val="nil"/>
            </w:tcBorders>
          </w:tcPr>
          <w:p w:rsidR="00AC292A" w:rsidRDefault="00AC292A">
            <w:pPr>
              <w:pStyle w:val="IASBTableTNR"/>
            </w:pPr>
            <w:r>
              <w:rPr>
                <w:b/>
              </w:rPr>
              <w:t>data reclasificării</w:t>
            </w:r>
          </w:p>
        </w:tc>
        <w:tc>
          <w:tcPr>
            <w:tcW w:w="6825" w:type="dxa"/>
            <w:tcBorders>
              <w:top w:val="nil"/>
              <w:left w:val="nil"/>
            </w:tcBorders>
            <w:vAlign w:val="bottom"/>
          </w:tcPr>
          <w:p w:rsidR="00AC292A" w:rsidRDefault="00AC292A">
            <w:pPr>
              <w:pStyle w:val="IASBTableTNR"/>
            </w:pPr>
            <w:r>
              <w:t>Prima zi din prima perioadă de raportare care urmează modificării modelului de afaceri care are drept rezultat reclasificarea activelor financiare de către o entitate.</w:t>
            </w:r>
          </w:p>
        </w:tc>
      </w:tr>
      <w:tr w:rsidR="00AC292A">
        <w:trPr>
          <w:cantSplit/>
        </w:trPr>
        <w:tc>
          <w:tcPr>
            <w:tcW w:w="2383" w:type="dxa"/>
            <w:tcBorders>
              <w:top w:val="nil"/>
            </w:tcBorders>
          </w:tcPr>
          <w:p w:rsidR="00AC292A" w:rsidRDefault="00AC292A">
            <w:pPr>
              <w:pStyle w:val="IASBTableTNR"/>
            </w:pPr>
            <w:r>
              <w:rPr>
                <w:b/>
              </w:rPr>
              <w:t>cumpărare sau vânzare standard</w:t>
            </w:r>
          </w:p>
        </w:tc>
        <w:tc>
          <w:tcPr>
            <w:tcW w:w="6825" w:type="dxa"/>
            <w:tcBorders>
              <w:top w:val="nil"/>
              <w:left w:val="nil"/>
            </w:tcBorders>
            <w:vAlign w:val="bottom"/>
          </w:tcPr>
          <w:p w:rsidR="00AC292A" w:rsidRDefault="00AC292A">
            <w:pPr>
              <w:pStyle w:val="IASBTableTNR"/>
            </w:pPr>
            <w:r>
              <w:t>O cumpărare sau o vânzare a unui activ financiar printr-un contract ale cărui condiţii impun furnizarea activului în cadrul perioadei de timp stabilite în general prin reglementări sau convenţii pe piaţa în cauză.</w:t>
            </w:r>
          </w:p>
        </w:tc>
      </w:tr>
      <w:tr w:rsidR="00AC292A">
        <w:trPr>
          <w:cantSplit/>
        </w:trPr>
        <w:tc>
          <w:tcPr>
            <w:tcW w:w="2383" w:type="dxa"/>
            <w:tcBorders>
              <w:top w:val="nil"/>
            </w:tcBorders>
          </w:tcPr>
          <w:p w:rsidR="00AC292A" w:rsidRDefault="00AC292A">
            <w:pPr>
              <w:pStyle w:val="IASBTableTNR"/>
            </w:pPr>
            <w:r>
              <w:rPr>
                <w:b/>
              </w:rPr>
              <w:t>costurile tranzacţiei</w:t>
            </w:r>
          </w:p>
        </w:tc>
        <w:tc>
          <w:tcPr>
            <w:tcW w:w="6825" w:type="dxa"/>
            <w:tcBorders>
              <w:top w:val="nil"/>
              <w:left w:val="nil"/>
            </w:tcBorders>
            <w:vAlign w:val="bottom"/>
          </w:tcPr>
          <w:p w:rsidR="00AC292A" w:rsidRDefault="00AC292A">
            <w:pPr>
              <w:pStyle w:val="IASBTableTNR"/>
            </w:pPr>
            <w:r>
              <w:t>Costuri marginale care sunt direct atribuibile achiziţiei, emiterii sau cedării unui activ financiar sau unei datorii financiare (a se vedea punctul B5.4.8). Un cost marginal este un cost care nu ar fi fost suportat dacă entitatea nu ar fi dobândit, emis sau cedat instrumentul financiar.</w:t>
            </w:r>
          </w:p>
        </w:tc>
      </w:tr>
    </w:tbl>
    <w:p w:rsidR="00AC292A" w:rsidRDefault="00AC292A">
      <w:pPr>
        <w:pStyle w:val="IASBNormalnpara"/>
      </w:pPr>
    </w:p>
    <w:p w:rsidR="00AC292A" w:rsidRDefault="00AC292A">
      <w:pPr>
        <w:pStyle w:val="IASBNormal"/>
      </w:pPr>
      <w:bookmarkStart w:id="468" w:name="F32570762"/>
      <w:r>
        <w:t>Următorii termeni sunt definiţi la punctul 11 din IAS 32, Anexa A din IFRS 7, Anexa A din IFRS 13 sau Anexa A din IFRS 15 şi sunt utilizaţi în prezentul standard cu înţelesurile specificate în IAS 32, IFRS 7, IFRS 13 sau IFRS 15:</w:t>
      </w:r>
      <w:bookmarkEnd w:id="468"/>
    </w:p>
    <w:p w:rsidR="00AC292A" w:rsidRDefault="00AC292A">
      <w:pPr>
        <w:pStyle w:val="IASBNormalL1"/>
      </w:pPr>
      <w:r>
        <w:t>(a)</w:t>
      </w:r>
      <w:r>
        <w:tab/>
      </w:r>
      <w:bookmarkStart w:id="469" w:name="F32570766"/>
      <w:r>
        <w:t>risc de credit;</w:t>
      </w:r>
      <w:r>
        <w:rPr>
          <w:rStyle w:val="FootnoteReference"/>
        </w:rPr>
        <w:footnoteReference w:id="2"/>
      </w:r>
      <w:bookmarkEnd w:id="469"/>
    </w:p>
    <w:p w:rsidR="00AC292A" w:rsidRDefault="00AC292A">
      <w:pPr>
        <w:pStyle w:val="IASBNormalL1"/>
      </w:pPr>
      <w:r>
        <w:t>(b)</w:t>
      </w:r>
      <w:r>
        <w:tab/>
      </w:r>
      <w:bookmarkStart w:id="470" w:name="F32570768"/>
      <w:r>
        <w:t>instrument de capitaluri proprii;</w:t>
      </w:r>
      <w:bookmarkEnd w:id="470"/>
    </w:p>
    <w:p w:rsidR="00AC292A" w:rsidRDefault="00AC292A">
      <w:pPr>
        <w:pStyle w:val="IASBNormalL1"/>
      </w:pPr>
      <w:r>
        <w:t>(c)</w:t>
      </w:r>
      <w:r>
        <w:tab/>
      </w:r>
      <w:bookmarkStart w:id="471" w:name="F32570770"/>
      <w:r>
        <w:t>valoare justă;</w:t>
      </w:r>
      <w:bookmarkEnd w:id="471"/>
    </w:p>
    <w:p w:rsidR="00AC292A" w:rsidRDefault="00AC292A">
      <w:pPr>
        <w:pStyle w:val="IASBNormalL1"/>
      </w:pPr>
      <w:r>
        <w:t>(d)</w:t>
      </w:r>
      <w:r>
        <w:tab/>
      </w:r>
      <w:bookmarkStart w:id="472" w:name="F32570772"/>
      <w:r>
        <w:t>activ financiar;</w:t>
      </w:r>
      <w:bookmarkEnd w:id="472"/>
    </w:p>
    <w:p w:rsidR="00AC292A" w:rsidRDefault="00AC292A">
      <w:pPr>
        <w:pStyle w:val="IASBNormalL1"/>
      </w:pPr>
      <w:r>
        <w:t>(e)</w:t>
      </w:r>
      <w:r>
        <w:tab/>
      </w:r>
      <w:bookmarkStart w:id="473" w:name="F32570774"/>
      <w:r>
        <w:t>instrument financiar;</w:t>
      </w:r>
      <w:bookmarkEnd w:id="473"/>
    </w:p>
    <w:p w:rsidR="00AC292A" w:rsidRDefault="00AC292A">
      <w:pPr>
        <w:pStyle w:val="IASBNormalL1"/>
      </w:pPr>
      <w:r>
        <w:t>(f)</w:t>
      </w:r>
      <w:r>
        <w:tab/>
      </w:r>
      <w:bookmarkStart w:id="474" w:name="F32570776"/>
      <w:r>
        <w:t>datorie financiară;</w:t>
      </w:r>
      <w:bookmarkEnd w:id="474"/>
    </w:p>
    <w:p w:rsidR="00AC292A" w:rsidRDefault="00AC292A">
      <w:pPr>
        <w:pStyle w:val="IASBNormalL1"/>
      </w:pPr>
      <w:r>
        <w:t>(g)</w:t>
      </w:r>
      <w:r>
        <w:tab/>
      </w:r>
      <w:bookmarkStart w:id="475" w:name="F32570778"/>
      <w:r>
        <w:t>preţul tranzacţiei.</w:t>
      </w:r>
      <w:bookmarkEnd w:id="475"/>
    </w:p>
    <w:p w:rsidR="00AC292A" w:rsidRDefault="00AC292A">
      <w:pPr>
        <w:widowControl w:val="0"/>
        <w:autoSpaceDE w:val="0"/>
        <w:autoSpaceDN w:val="0"/>
        <w:adjustRightInd w:val="0"/>
        <w:sectPr w:rsidR="00AC292A">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AC292A" w:rsidRDefault="00AC292A">
      <w:pPr>
        <w:pStyle w:val="IASBSectionTitle1NonInd"/>
        <w:pBdr>
          <w:bottom w:val="none" w:sz="0" w:space="0" w:color="auto"/>
        </w:pBdr>
      </w:pPr>
      <w:bookmarkStart w:id="476" w:name="F32570780"/>
      <w:r>
        <w:lastRenderedPageBreak/>
        <w:t>Anexa B  Îndrumări de aplicare</w:t>
      </w:r>
      <w:bookmarkEnd w:id="476"/>
    </w:p>
    <w:p w:rsidR="00AC292A" w:rsidRDefault="00AC292A">
      <w:pPr>
        <w:pStyle w:val="IASBNote"/>
      </w:pPr>
      <w:bookmarkStart w:id="477" w:name="F32570781"/>
      <w:r>
        <w:t>Prezenta anexă este parte integrantă din prezentul standard.</w:t>
      </w:r>
      <w:bookmarkEnd w:id="477"/>
    </w:p>
    <w:p w:rsidR="00AC292A" w:rsidRDefault="00AC292A">
      <w:pPr>
        <w:pStyle w:val="IASBSectionTitle1NonInd"/>
      </w:pPr>
      <w:bookmarkStart w:id="478" w:name="F32570783"/>
      <w:r>
        <w:t>Domeniu de aplicare (capitolul 2)</w:t>
      </w:r>
      <w:bookmarkEnd w:id="478"/>
    </w:p>
    <w:p w:rsidR="00AC292A" w:rsidRDefault="00AC292A">
      <w:pPr>
        <w:pStyle w:val="IASBNormalnpara"/>
      </w:pPr>
      <w:r>
        <w:t>B2.1</w:t>
      </w:r>
      <w:r>
        <w:tab/>
      </w:r>
      <w:bookmarkStart w:id="479" w:name="F32570784"/>
      <w:r>
        <w:t xml:space="preserve">Anumite contracte prevăd o plată bazată pe variabile climatice, geologice sau pe alte variabile fizice. (Cele bazate pe variabile climatice sunt numite uneori „derivate în funcţie de vreme”.) Dacă acele contracte nu intră sub incidenţa IFRS 4 </w:t>
      </w:r>
      <w:r>
        <w:rPr>
          <w:i/>
        </w:rPr>
        <w:t>Contracte de asigurare</w:t>
      </w:r>
      <w:r>
        <w:t>, ele intră sub incidenţa prezentului standard.</w:t>
      </w:r>
      <w:bookmarkEnd w:id="479"/>
    </w:p>
    <w:p w:rsidR="00AC292A" w:rsidRDefault="00AC292A">
      <w:pPr>
        <w:pStyle w:val="IASBNormalnpara"/>
      </w:pPr>
      <w:r>
        <w:t>B2.2</w:t>
      </w:r>
      <w:r>
        <w:tab/>
      </w:r>
      <w:bookmarkStart w:id="480" w:name="F32570785"/>
      <w:r>
        <w:t xml:space="preserve">Prezentul standard nu modifică dispoziţiile legate de planurile de beneficii ale angajaţilor care se conformează cu IAS 26 </w:t>
      </w:r>
      <w:r>
        <w:rPr>
          <w:i/>
        </w:rPr>
        <w:t>Contabilizarea şi raportarea planurilor de pensii</w:t>
      </w:r>
      <w:r>
        <w:t xml:space="preserve"> şi contractele de redevenţă pe baza volumului de vânzări sau a veniturilor din servicii care sunt contabilizate potrivit IFRS 15 </w:t>
      </w:r>
      <w:r>
        <w:rPr>
          <w:i/>
        </w:rPr>
        <w:t>Venituri din contractele cu clienţii</w:t>
      </w:r>
      <w:r>
        <w:t>.</w:t>
      </w:r>
      <w:bookmarkEnd w:id="480"/>
    </w:p>
    <w:p w:rsidR="00AC292A" w:rsidRDefault="00AC292A">
      <w:pPr>
        <w:pStyle w:val="IASBNormalnpara"/>
      </w:pPr>
      <w:r>
        <w:t>B2.3</w:t>
      </w:r>
      <w:r>
        <w:tab/>
      </w:r>
      <w:bookmarkStart w:id="481" w:name="F32570787"/>
      <w:r>
        <w:t xml:space="preserve">Uneori, o entitate face ceea ce aceasta consideră o „investiţie strategică” în instrumentele de capitaluri proprii emise de o altă entitate, cu intenţia de a stabili sau de a menţine o relaţie de exploatare pe termen lung cu entitatea în care se realizează investiţia. Investitorul sau asociatul într-o asociere în participație utilizează IAS 28 </w:t>
      </w:r>
      <w:r>
        <w:rPr>
          <w:i/>
        </w:rPr>
        <w:t>Investiţii în entităţile asociate şi în asocierile în participaţie</w:t>
      </w:r>
      <w:r>
        <w:t xml:space="preserve"> pentru a stabili dacă metoda contabilizării prin punerea în echivalență trebuie aplicată pentru o astfel de investiție.</w:t>
      </w:r>
      <w:bookmarkEnd w:id="481"/>
    </w:p>
    <w:p w:rsidR="00AC292A" w:rsidRDefault="00AC292A">
      <w:pPr>
        <w:pStyle w:val="IASBNormalnpara"/>
      </w:pPr>
      <w:r>
        <w:t>B2.4</w:t>
      </w:r>
      <w:r>
        <w:tab/>
      </w:r>
      <w:bookmarkStart w:id="482" w:name="F32570788"/>
      <w:r>
        <w:t>Prezentul standard se aplică activelor financiare şi datoriilor financiare ale asigurătorilor, altele decât drepturile şi obligaţiile pe care punctul 2.1 litera (e) le exclude din cauză că ele rezultă din contracte care intră sub incidenţa IFRS 4.</w:t>
      </w:r>
      <w:bookmarkEnd w:id="482"/>
    </w:p>
    <w:p w:rsidR="00AC292A" w:rsidRDefault="00AC292A">
      <w:pPr>
        <w:pStyle w:val="IASBNormalnpara"/>
      </w:pPr>
      <w:r>
        <w:t>B2.5</w:t>
      </w:r>
      <w:r>
        <w:tab/>
      </w:r>
      <w:bookmarkStart w:id="483" w:name="F32570789"/>
      <w:r>
        <w:t>Contractele de garanţie financiară pot lua diferite forme legale, cum ar fi o garanţie, unele tipuri de acreditive, un contract bazat pe riscul de credit sau un contract de asigurare. Tratamentul lor contabil nu depinde de forma lor legală. Următoarele sunt exemple de tratament adecvat (a se vedea punctul 2.1 litera (e)):</w:t>
      </w:r>
      <w:bookmarkEnd w:id="483"/>
    </w:p>
    <w:p w:rsidR="00AC292A" w:rsidRDefault="00AC292A">
      <w:pPr>
        <w:pStyle w:val="IASBNormalnparaL1"/>
      </w:pPr>
      <w:r>
        <w:t>(a)</w:t>
      </w:r>
      <w:r>
        <w:tab/>
      </w:r>
      <w:bookmarkStart w:id="484" w:name="F32570792"/>
      <w:r>
        <w:t>Deşi un contract de garanţie financiară corespunde definiţiei unui contract de asigurare din IFRS 4 dacă riscul transferat este important, emitentul aplică prezentul standard. Totuşi, dacă emitentul a arătat anterior în mod explicit că el consideră astfel de contracte drept contracte de asigurare şi a utilizat contabilitatea aplicabilă contractelor de asigurare, emitentul poate alege să aplice fie prezentul standard, fie IFRS 4 pentru astfel de contracte de garanţie financiară. Dacă se aplică prezentul standard, punctul 5.1.1 impune emitentului să recunoască un contract de garanţie financiară iniţial la valoarea justă. În cazul în care contractul de garanţie financiară a fost emis pentru o parte neafiliată într-o tranzacţie individuală desfăşurată în condiţii obiective, este probabil ca valoarea sa justă la început să fie egală cu prima primită, cu excepția cazului în care există probe contrare. Ulterior, în cazul în care contractul de garanţie financiară nu a fost desemnat la început ca fiind la valoarea justă prin profit sau pierdere sau dacă nu se aplică punctele 3.2.15-3.2.23 şi B3.2.12-B3.2.17 (atunci când un transfer al unui activ financiar nu îndeplineşte condiţiile pentru derecunoaştere sau se aplică abordarea implicării continue), emitentul îl evaluează la cea mai mare valoare dintre:</w:t>
      </w:r>
      <w:bookmarkEnd w:id="484"/>
    </w:p>
    <w:p w:rsidR="00AC292A" w:rsidRDefault="00AC292A">
      <w:pPr>
        <w:pStyle w:val="IASBNormalnparaL2"/>
      </w:pPr>
      <w:r>
        <w:t>(i)</w:t>
      </w:r>
      <w:r>
        <w:tab/>
      </w:r>
      <w:bookmarkStart w:id="485" w:name="F32570800"/>
      <w:r>
        <w:t>valoarea determinată în conformitate cu secţiunea 5.5; și</w:t>
      </w:r>
      <w:bookmarkEnd w:id="485"/>
    </w:p>
    <w:p w:rsidR="00AC292A" w:rsidRDefault="00AC292A">
      <w:pPr>
        <w:pStyle w:val="IASBNormalnparaL2"/>
      </w:pPr>
      <w:r>
        <w:t>(ii)</w:t>
      </w:r>
      <w:r>
        <w:tab/>
      </w:r>
      <w:bookmarkStart w:id="486" w:name="F32570801"/>
      <w:r>
        <w:t>valoarea recunoscută iniţial minus, acolo unde este cazul, valoarea cumulată a venitului recunoscut în conformitate cu principiile din IFRS 15 (a se vedea punctul 4.2.1 litera (c)).</w:t>
      </w:r>
      <w:bookmarkEnd w:id="486"/>
    </w:p>
    <w:p w:rsidR="00AC292A" w:rsidRDefault="00AC292A">
      <w:pPr>
        <w:pStyle w:val="IASBNormalnparaL1"/>
      </w:pPr>
      <w:r>
        <w:t>(b)</w:t>
      </w:r>
      <w:r>
        <w:tab/>
      </w:r>
      <w:bookmarkStart w:id="487" w:name="F32570794"/>
      <w:r>
        <w:t>Unele garanţii legate de creditare, ca o precondiţie de plată, nu impun ca deţinătorul să fie expus la şi să suporte o pierdere atunci când debitorul nu reuşeşte să facă plăţile la timp pentru activul garantat. Un exemplu în acest sens îl reprezintă un contract care prevede plata ca reacţie la modificările unui rating de credit specificat sau la modificările indicelui de creditare. Astfel de garanţii nu sunt contracte de garanţie financiară conform definiţiei din prezentul standard şi nu sunt nici contracte de asigurare conform definiţiei din IFRS 4. Astfel de garanţii sunt instrumente derivate, iar emitentul aplică prezentul standard pentru ele.</w:t>
      </w:r>
      <w:bookmarkEnd w:id="487"/>
    </w:p>
    <w:p w:rsidR="00AC292A" w:rsidRDefault="00AC292A">
      <w:pPr>
        <w:pStyle w:val="IASBNormalnparaL1"/>
      </w:pPr>
      <w:r>
        <w:t>(c)</w:t>
      </w:r>
      <w:r>
        <w:tab/>
      </w:r>
      <w:bookmarkStart w:id="488" w:name="F32570796"/>
      <w:r>
        <w:t>Dacă un contract de garanţie financiară a fost emis în legătură cu vânzarea de bunuri, emitentul aplică IFRS 15 pentru a determina momentul în care va recunoaşte veniturile din garanţii şi pe cele din vânzarea de bunuri.</w:t>
      </w:r>
      <w:bookmarkEnd w:id="488"/>
    </w:p>
    <w:p w:rsidR="00AC292A" w:rsidRDefault="00AC292A">
      <w:pPr>
        <w:pStyle w:val="IASBNormalnpara"/>
      </w:pPr>
      <w:r>
        <w:lastRenderedPageBreak/>
        <w:t>B2.6</w:t>
      </w:r>
      <w:r>
        <w:tab/>
      </w:r>
      <w:bookmarkStart w:id="489" w:name="F32570802"/>
      <w:r>
        <w:t>Afirmaţiile conform cărora un emitent consideră contractele drept contracte de asigurare se găsesc în mod obișnuit în comunicările emitentului cu clienţii şi cu organismele de reglementare, în contracte, în documentaţia de afaceri şi în situaţiile financiare. Mai mult, contractele de asigurare fac adesea obiectul dispoziţiilor contabile care sunt distincte de dispoziţiile pentru alte tipuri de tranzacţii, cum ar fi contractele emise de bănci sau de companiile comerciale. În astfel de cazuri, situaţiile financiare ale emitentului includ în mod obișnuit o declaraţie că emitentul a utilizat acele dispoziţii contabile.</w:t>
      </w:r>
      <w:bookmarkEnd w:id="489"/>
    </w:p>
    <w:p w:rsidR="00AC292A" w:rsidRDefault="00AC292A">
      <w:pPr>
        <w:pStyle w:val="IASBSectionTitle1NonInd"/>
      </w:pPr>
      <w:bookmarkStart w:id="490" w:name="F32570804"/>
      <w:r>
        <w:t>Recunoaştere şi derecunoaştere (capitolul 3)</w:t>
      </w:r>
      <w:bookmarkEnd w:id="490"/>
    </w:p>
    <w:p w:rsidR="00AC292A" w:rsidRDefault="00AC292A">
      <w:pPr>
        <w:pStyle w:val="IASBSectionTitle2Ind"/>
      </w:pPr>
      <w:bookmarkStart w:id="491" w:name="F32570808"/>
      <w:r>
        <w:t>Recunoaşterea iniţială (secţiunea 3.1)</w:t>
      </w:r>
      <w:bookmarkEnd w:id="491"/>
    </w:p>
    <w:p w:rsidR="00AC292A" w:rsidRDefault="00AC292A">
      <w:pPr>
        <w:pStyle w:val="IASBNormalnpara"/>
      </w:pPr>
      <w:r>
        <w:t>B3.1.1</w:t>
      </w:r>
      <w:r>
        <w:tab/>
      </w:r>
      <w:bookmarkStart w:id="492" w:name="F32570809"/>
      <w:r>
        <w:t>Ca o consecinţă a principiului de la punctul 3.1.1, o entitate îşi recunoaşte toate drepturile şi obligaţiile contractuale din cadrul instrumentelor derivate în situaţia poziţiei financiare drept active şi, respectiv, datorii, cu excepţia instrumentelor derivate care împiedică contabilizarea ca vânzare a unui transfer de active financiare (a se vedea punctul B3.2.14). Dacă un transfer al unui activ financiar nu îndeplineşte condiţiile pentru derecunoaştere, entitatea căreia i se transferă activul nu recunoaşte activul transferat ca pe activul său (a se vedea punctul B3.2.15).</w:t>
      </w:r>
      <w:bookmarkEnd w:id="492"/>
    </w:p>
    <w:p w:rsidR="00AC292A" w:rsidRDefault="00AC292A">
      <w:pPr>
        <w:pStyle w:val="IASBNormalnpara"/>
      </w:pPr>
      <w:r>
        <w:t>B3.1.2</w:t>
      </w:r>
      <w:r>
        <w:tab/>
      </w:r>
      <w:bookmarkStart w:id="493" w:name="F32570810"/>
      <w:r>
        <w:t>Următoarele sunt exemple de aplicare a principiului de la punctul 3.1.1:</w:t>
      </w:r>
      <w:bookmarkEnd w:id="493"/>
    </w:p>
    <w:p w:rsidR="00AC292A" w:rsidRDefault="00AC292A">
      <w:pPr>
        <w:pStyle w:val="IASBNormalnparaL1"/>
      </w:pPr>
      <w:r>
        <w:t>(a)</w:t>
      </w:r>
      <w:r>
        <w:tab/>
      </w:r>
      <w:bookmarkStart w:id="494" w:name="F32570813"/>
      <w:r>
        <w:t>Creanţele şi datoriile necondiţionate sunt recunoscute drept active sau datorii atunci când entitatea devine parte contractuală şi, în consecinţă, are un drept legal de a primi sau o obligaţie legală de a plăti numerarul.</w:t>
      </w:r>
      <w:bookmarkEnd w:id="494"/>
    </w:p>
    <w:p w:rsidR="00AC292A" w:rsidRDefault="00AC292A">
      <w:pPr>
        <w:pStyle w:val="IASBNormalnparaL1"/>
      </w:pPr>
      <w:r>
        <w:t>(b)</w:t>
      </w:r>
      <w:r>
        <w:tab/>
      </w:r>
      <w:bookmarkStart w:id="495" w:name="F32570815"/>
      <w:r>
        <w:t>Activele care vor fi cumpărate şi datoriile care vor fi suportate ca rezultat al unui angajament ferm de a cumpăra sau de a vinde bunuri sau servicii nu sunt în general recunoscute până în momentul în care cel puţin una dintre părţi a acţionat în baza acordului. De exemplu, o entitate care primeşte o comandă fermă nu recunoaşte în general un activ (iar entitatea care face comanda nu recunoaşte o datorie) la momentul angajamentului, dar, în schimb, întârzie recunoaşterea până la momentul la care bunurile sau serviciile comandate sunt expediate, livrate sau prestate. Dacă un angajament ferm de a cumpăra sau de a vinde elemente nefinanciare intră sub incidenţa prezentului standard în conformitate cu punctele 2.4-2.7, valoarea sa justă netă este recunoscută ca un activ sau ca o datorie la data angajamentului (a se vedea punctul B4.1.30 litera (c)). În plus, dacă un angajament ferm nerecunoscut anterior este desemnat ca element acoperit într-o acoperire a valorii juste împotriva riscurilor, orice modificare a valorii juste nete care se poate atribui riscului acoperit este recunoscută ca un activ sau ca o datorie după începerea acoperirii (a se vedea punctele 6.5.8 litera (b) și 6.5.9).</w:t>
      </w:r>
      <w:bookmarkEnd w:id="495"/>
    </w:p>
    <w:p w:rsidR="00AC292A" w:rsidRDefault="00AC292A">
      <w:pPr>
        <w:pStyle w:val="IASBNormalnparaL1"/>
      </w:pPr>
      <w:r>
        <w:t>(c)</w:t>
      </w:r>
      <w:r>
        <w:tab/>
      </w:r>
      <w:bookmarkStart w:id="496" w:name="F32570817"/>
      <w:r>
        <w:t>Un contract forward care intră sub incidenţa prezentului standard (a se vedea punctul 2.1) este recunoscut ca un activ sau ca o datorie mai degrabă la data angajamentului decât la data la care are loc decontarea. Atunci când o entitate devine parte a unui contract forward, valorile juste ale dreptului şi obligaţiei sunt deseori egale, astfel încât valoarea justă netă a contractului forward este nulă. Dacă valoarea justă netă a dreptului şi obligaţiei nu este nulă, contractul este recunoscut ca un activ sau ca o datorie.</w:t>
      </w:r>
      <w:bookmarkEnd w:id="496"/>
    </w:p>
    <w:p w:rsidR="00AC292A" w:rsidRDefault="00AC292A">
      <w:pPr>
        <w:pStyle w:val="IASBNormalnparaL1"/>
      </w:pPr>
      <w:r>
        <w:t>(d)</w:t>
      </w:r>
      <w:r>
        <w:tab/>
      </w:r>
      <w:bookmarkStart w:id="497" w:name="F32570829"/>
      <w:r>
        <w:t>Contractele pe opţiuni care intră sub incidenţa prezentului standard (a se vedea punctul 2.1) sunt recunoscute ca active sau datorii atunci când deţinătorul sau emitentul devine parte contractuală.</w:t>
      </w:r>
      <w:bookmarkEnd w:id="497"/>
    </w:p>
    <w:p w:rsidR="00AC292A" w:rsidRDefault="00AC292A">
      <w:pPr>
        <w:pStyle w:val="IASBNormalnparaL1"/>
      </w:pPr>
      <w:r>
        <w:t>(e)</w:t>
      </w:r>
      <w:r>
        <w:tab/>
      </w:r>
      <w:bookmarkStart w:id="498" w:name="F32570831"/>
      <w:r>
        <w:t>Tranzacţiile viitoare planificate, indiferent cât sunt de probabile, nu sunt active şi datorii deoarece entitatea nu a devenit parte contractuală.</w:t>
      </w:r>
      <w:bookmarkEnd w:id="498"/>
    </w:p>
    <w:p w:rsidR="00AC292A" w:rsidRDefault="00AC292A">
      <w:pPr>
        <w:pStyle w:val="IASBSectionTitle3Ind"/>
      </w:pPr>
      <w:bookmarkStart w:id="499" w:name="F32570833"/>
      <w:r>
        <w:t>Cumpărarea sau vânzarea standard a activelor financiare</w:t>
      </w:r>
      <w:bookmarkEnd w:id="499"/>
    </w:p>
    <w:p w:rsidR="00AC292A" w:rsidRDefault="00AC292A">
      <w:pPr>
        <w:pStyle w:val="IASBNormalnpara"/>
      </w:pPr>
      <w:r>
        <w:t>B3.1.3</w:t>
      </w:r>
      <w:r>
        <w:tab/>
      </w:r>
      <w:bookmarkStart w:id="500" w:name="F32570834"/>
      <w:r>
        <w:t>O cumpărare sau o vânzare standard a activelor financiare este recunoscută utilizând fie contabilizarea la data tranzacţionării, fie contabilizarea la data decontării, după cum este descris la punctele B3.1.5 şi B3.1.6. O entitate trebuie să aplice în mod consecvent aceeaşi metodă în cazul tuturor achiziţiilor şi vânzărilor de active financiare care sunt clasificate în acelaşi fel în conformitate cu prezentul standard. În acest sens, activele care sunt evaluate în mod obligatoriu la valoarea justă prin profit sau pierdere sunt clasificate separat de activele desemnate drept evaluate la valoarea justă prin profit sau pierdere. În plus, investiţiile în instrumente de capitaluri proprii contabilizate utilizând opţiunea prezentată la punctul 5.7.5 formează o clasificare separată.</w:t>
      </w:r>
      <w:bookmarkEnd w:id="500"/>
    </w:p>
    <w:p w:rsidR="00AC292A" w:rsidRDefault="00AC292A">
      <w:pPr>
        <w:pStyle w:val="IASBNormalnpara"/>
      </w:pPr>
      <w:r>
        <w:lastRenderedPageBreak/>
        <w:t>B3.1.4</w:t>
      </w:r>
      <w:r>
        <w:tab/>
      </w:r>
      <w:bookmarkStart w:id="501" w:name="F32570835"/>
      <w:r>
        <w:t>Un contract care permite sau impune decontarea netă a modificării valorii contractului nu este un contract standard. De fapt, un astfel de contract este contabilizat ca instrument derivat în perioada dintre data tranzacţionării şi data decontării.</w:t>
      </w:r>
      <w:bookmarkEnd w:id="501"/>
    </w:p>
    <w:p w:rsidR="00AC292A" w:rsidRDefault="00AC292A">
      <w:pPr>
        <w:pStyle w:val="IASBNormalnpara"/>
      </w:pPr>
      <w:r>
        <w:t>B3.1.5</w:t>
      </w:r>
      <w:r>
        <w:tab/>
      </w:r>
      <w:bookmarkStart w:id="502" w:name="F32570836"/>
      <w:r>
        <w:t>Data tranzacţionării este data la care o entitate se angajează să cumpere sau să vândă un activ. Contabilizarea la data tranzacţionării se referă la (a) recunoaşterea unui activ care urmează a fi primit şi a datoriei de a plăti pentru acesta la data tranzacţionării, şi (b) derecunoaşterea unui activ care este vândut, recunoaşterea oricărui câştig sau a oricărei pierderi din cedare şi recunoaşterea unei creanţe asupra cumpărătorului pentru plata la data tranzacţionării. În general, dobânda nu se angajează asupra activului şi datoriei corespondente până la data decontării atunci când se transferă titlul.</w:t>
      </w:r>
      <w:bookmarkEnd w:id="502"/>
    </w:p>
    <w:p w:rsidR="00AC292A" w:rsidRDefault="00AC292A">
      <w:pPr>
        <w:pStyle w:val="IASBNormalnpara"/>
      </w:pPr>
      <w:r>
        <w:t>B3.1.6</w:t>
      </w:r>
      <w:r>
        <w:tab/>
      </w:r>
      <w:bookmarkStart w:id="503" w:name="F32570837"/>
      <w:r>
        <w:t>Data decontării este data la care un activ este livrat către sau de către o entitate. Contabilizarea la de data decontării se referă la (a) recunoaşterea unui activ în ziua în care este primit de către entitate şi (b) derecunoaşterea unui activ şi recunoaşterea oricărui câştig sau a oricărei pierderi din cedare în ziua în care este livrat de către entitate. Atunci când se aplică contabilizarea la data decontării, o entitate contabilizează orice modificare a valorii juste a activului care urmează a fi primit în timpul perioadei dintre data tranzacţionării şi data decontării în acelaşi fel în care contabilizează activul achiziţionat. Cu alte cuvinte, modificarea valorii nu este recunoscută pentru activele evaluate la costul amortizat; se recunoaşte în profit sau pierdere pentru activele clasificate drept active financiare evaluate la valoarea justă prin profit sau pierdere; şi se recunoaşte în alte elemente ale rezultatului global pentru activele financiare evaluate la valoarea justă prin alte elemente ale rezultatului global, în conformitate cu punctul 4.1.2A şi pentru investiţiile în instrumente de capitaluri proprii contabilizate în conformitate cu punctul 5.7.5.</w:t>
      </w:r>
      <w:bookmarkEnd w:id="503"/>
    </w:p>
    <w:p w:rsidR="00AC292A" w:rsidRDefault="00AC292A">
      <w:pPr>
        <w:pStyle w:val="IASBSectionTitle2Ind"/>
      </w:pPr>
      <w:r>
        <w:br w:type="page"/>
      </w:r>
      <w:bookmarkStart w:id="504" w:name="F32570849"/>
      <w:r>
        <w:lastRenderedPageBreak/>
        <w:t>Derecunoaşterea activelor financiare (secţiunea 3.2)</w:t>
      </w:r>
      <w:bookmarkEnd w:id="504"/>
    </w:p>
    <w:p w:rsidR="00AC292A" w:rsidRDefault="00AC292A">
      <w:pPr>
        <w:pStyle w:val="IASBNormalnpara"/>
      </w:pPr>
      <w:r>
        <w:t>B3.2.1</w:t>
      </w:r>
      <w:r>
        <w:tab/>
      </w:r>
      <w:bookmarkStart w:id="505" w:name="F32570850"/>
      <w:r>
        <w:t>Următorul grafic ilustrează modul în care se evaluează eventualitatea şi amploarea derecunoaşterii unui activ financiar.</w:t>
      </w:r>
      <w:bookmarkEnd w:id="505"/>
    </w:p>
    <w:p w:rsidR="005B553B" w:rsidRDefault="005B553B">
      <w:pPr>
        <w:pStyle w:val="IASBNormalnpara"/>
      </w:pPr>
    </w:p>
    <w:p w:rsidR="005B553B" w:rsidRDefault="00567D54">
      <w:pPr>
        <w:pStyle w:val="IASBNormalnpara"/>
      </w:pPr>
      <w:r w:rsidRPr="004F65BD">
        <w:rPr>
          <w:noProof/>
          <w:lang w:val="en-GB" w:eastAsia="en-GB" w:bidi="ar-SA"/>
        </w:rPr>
        <mc:AlternateContent>
          <mc:Choice Requires="wpg">
            <w:drawing>
              <wp:anchor distT="0" distB="0" distL="114300" distR="114300" simplePos="0" relativeHeight="251659264" behindDoc="0" locked="0" layoutInCell="1" allowOverlap="1" wp14:anchorId="3594407A" wp14:editId="137A54D3">
                <wp:simplePos x="0" y="0"/>
                <wp:positionH relativeFrom="column">
                  <wp:posOffset>707366</wp:posOffset>
                </wp:positionH>
                <wp:positionV relativeFrom="paragraph">
                  <wp:posOffset>169629</wp:posOffset>
                </wp:positionV>
                <wp:extent cx="5486400" cy="7495540"/>
                <wp:effectExtent l="0" t="0" r="0" b="10160"/>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6400" cy="7495540"/>
                          <a:chOff x="0" y="0"/>
                          <a:chExt cx="5486676" cy="7495540"/>
                        </a:xfrm>
                      </wpg:grpSpPr>
                      <wpg:grpSp>
                        <wpg:cNvPr id="190" name="Group 190"/>
                        <wpg:cNvGrpSpPr/>
                        <wpg:grpSpPr>
                          <a:xfrm>
                            <a:off x="156486" y="0"/>
                            <a:ext cx="5330190" cy="7495540"/>
                            <a:chOff x="331415" y="0"/>
                            <a:chExt cx="5330190" cy="7495540"/>
                          </a:xfrm>
                        </wpg:grpSpPr>
                        <wps:wsp>
                          <wps:cNvPr id="178" name="Text Box 51"/>
                          <wps:cNvSpPr txBox="1">
                            <a:spLocks noChangeArrowheads="1"/>
                          </wps:cNvSpPr>
                          <wps:spPr bwMode="auto">
                            <a:xfrm>
                              <a:off x="954156" y="6321287"/>
                              <a:ext cx="2395855" cy="564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A păstrat entitatea controlul asupra activului?</w:t>
                                </w:r>
                                <w:r>
                                  <w:rPr>
                                    <w:rFonts w:ascii="Arial" w:hAnsi="Arial"/>
                                    <w:sz w:val="15"/>
                                    <w:szCs w:val="15"/>
                                  </w:rPr>
                                  <w:br/>
                                </w:r>
                                <w:r>
                                  <w:rPr>
                                    <w:rFonts w:ascii="Arial" w:hAnsi="Arial"/>
                                    <w:sz w:val="15"/>
                                  </w:rPr>
                                  <w:t>[Punctul 3.2.6 litera (c)]</w:t>
                                </w:r>
                              </w:p>
                              <w:p w:rsidR="00190D26" w:rsidRDefault="00190D26" w:rsidP="00567D54"/>
                            </w:txbxContent>
                          </wps:txbx>
                          <wps:bodyPr rot="0" vert="horz" wrap="square" lIns="91440" tIns="45720" rIns="91440" bIns="45720" anchor="t" anchorCtr="0" upright="1">
                            <a:noAutofit/>
                          </wps:bodyPr>
                        </wps:wsp>
                        <wpg:grpSp>
                          <wpg:cNvPr id="188" name="Group 188"/>
                          <wpg:cNvGrpSpPr/>
                          <wpg:grpSpPr>
                            <a:xfrm>
                              <a:off x="331415" y="0"/>
                              <a:ext cx="5330190" cy="7495540"/>
                              <a:chOff x="-2540" y="0"/>
                              <a:chExt cx="5330190" cy="7495540"/>
                            </a:xfrm>
                          </wpg:grpSpPr>
                          <wpg:grpSp>
                            <wpg:cNvPr id="179" name="Group 190"/>
                            <wpg:cNvGrpSpPr>
                              <a:grpSpLocks/>
                            </wpg:cNvGrpSpPr>
                            <wpg:grpSpPr bwMode="auto">
                              <a:xfrm>
                                <a:off x="1844702" y="3967701"/>
                                <a:ext cx="452755" cy="277495"/>
                                <a:chOff x="5401" y="9289"/>
                                <a:chExt cx="713" cy="437"/>
                              </a:xfrm>
                            </wpg:grpSpPr>
                            <wps:wsp>
                              <wps:cNvPr id="180" name="Text Box 44"/>
                              <wps:cNvSpPr txBox="1">
                                <a:spLocks noChangeArrowheads="1"/>
                              </wps:cNvSpPr>
                              <wps:spPr bwMode="auto">
                                <a:xfrm>
                                  <a:off x="5401" y="9358"/>
                                  <a:ext cx="713"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jc w:val="center"/>
                                    </w:pPr>
                                    <w:r>
                                      <w:rPr>
                                        <w:rFonts w:ascii="Arial" w:hAnsi="Arial"/>
                                        <w:sz w:val="15"/>
                                      </w:rPr>
                                      <w:t>Da</w:t>
                                    </w:r>
                                  </w:p>
                                  <w:p w:rsidR="00190D26" w:rsidRDefault="00190D26" w:rsidP="00567D54"/>
                                </w:txbxContent>
                              </wps:txbx>
                              <wps:bodyPr rot="0" vert="horz" wrap="square" lIns="91440" tIns="45720" rIns="91440" bIns="45720" anchor="t" anchorCtr="0" upright="1">
                                <a:noAutofit/>
                              </wps:bodyPr>
                            </wps:wsp>
                            <wps:wsp>
                              <wps:cNvPr id="181" name="Straight Arrow Connector 45"/>
                              <wps:cNvCnPr>
                                <a:cxnSpLocks noChangeShapeType="1"/>
                              </wps:cNvCnPr>
                              <wps:spPr bwMode="auto">
                                <a:xfrm rot="16200000" flipH="1">
                                  <a:off x="5193" y="9507"/>
                                  <a:ext cx="437" cy="1"/>
                                </a:xfrm>
                                <a:prstGeom prst="bentConnector3">
                                  <a:avLst>
                                    <a:gd name="adj1" fmla="val 4988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87" name="Group 187"/>
                            <wpg:cNvGrpSpPr/>
                            <wpg:grpSpPr>
                              <a:xfrm>
                                <a:off x="-2540" y="0"/>
                                <a:ext cx="5330190" cy="7495540"/>
                                <a:chOff x="-2540" y="0"/>
                                <a:chExt cx="5330190" cy="7495540"/>
                              </a:xfrm>
                            </wpg:grpSpPr>
                            <wpg:grpSp>
                              <wpg:cNvPr id="175" name="Group 186"/>
                              <wpg:cNvGrpSpPr>
                                <a:grpSpLocks/>
                              </wpg:cNvGrpSpPr>
                              <wpg:grpSpPr bwMode="auto">
                                <a:xfrm>
                                  <a:off x="1836751" y="1956021"/>
                                  <a:ext cx="335915" cy="301625"/>
                                  <a:chOff x="5392" y="6201"/>
                                  <a:chExt cx="529" cy="475"/>
                                </a:xfrm>
                              </wpg:grpSpPr>
                              <wps:wsp>
                                <wps:cNvPr id="176" name="Straight Arrow Connector 30"/>
                                <wps:cNvCnPr>
                                  <a:cxnSpLocks noChangeShapeType="1"/>
                                </wps:cNvCnPr>
                                <wps:spPr bwMode="auto">
                                  <a:xfrm rot="16200000" flipH="1">
                                    <a:off x="5175" y="6438"/>
                                    <a:ext cx="475" cy="1"/>
                                  </a:xfrm>
                                  <a:prstGeom prst="bentConnector3">
                                    <a:avLst>
                                      <a:gd name="adj1" fmla="val 4989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7" name="Text Box 35"/>
                                <wps:cNvSpPr txBox="1">
                                  <a:spLocks noChangeArrowheads="1"/>
                                </wps:cNvSpPr>
                                <wps:spPr bwMode="auto">
                                  <a:xfrm>
                                    <a:off x="5392" y="6216"/>
                                    <a:ext cx="529"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Nu transferat entitatea drepturile sale de a primi fluxurile de trezorerie provenite din activ?</w:t>
                                      </w:r>
                                      <w:r>
                                        <w:rPr>
                                          <w:rFonts w:ascii="Arial" w:hAnsi="Arial"/>
                                          <w:sz w:val="15"/>
                                          <w:szCs w:val="15"/>
                                        </w:rPr>
                                        <w:br/>
                                      </w:r>
                                      <w:r>
                                        <w:rPr>
                                          <w:rFonts w:ascii="Arial" w:hAnsi="Arial"/>
                                          <w:sz w:val="15"/>
                                        </w:rPr>
                                        <w:t>[Punctul 3.2.4 litera (a)]</w:t>
                                      </w:r>
                                    </w:p>
                                    <w:p w:rsidR="00190D26" w:rsidRDefault="00190D26" w:rsidP="00567D54"/>
                                  </w:txbxContent>
                                </wps:txbx>
                                <wps:bodyPr rot="0" vert="horz" wrap="square" lIns="91440" tIns="45720" rIns="91440" bIns="45720" anchor="t" anchorCtr="0" upright="1">
                                  <a:noAutofit/>
                                </wps:bodyPr>
                              </wps:wsp>
                            </wpg:grpSp>
                            <wpg:grpSp>
                              <wpg:cNvPr id="186" name="Group 186"/>
                              <wpg:cNvGrpSpPr/>
                              <wpg:grpSpPr>
                                <a:xfrm>
                                  <a:off x="-2540" y="0"/>
                                  <a:ext cx="5330190" cy="7495540"/>
                                  <a:chOff x="-2540" y="0"/>
                                  <a:chExt cx="5330190" cy="7495540"/>
                                </a:xfrm>
                              </wpg:grpSpPr>
                              <wpg:grpSp>
                                <wpg:cNvPr id="100" name="Group 100"/>
                                <wpg:cNvGrpSpPr>
                                  <a:grpSpLocks/>
                                </wpg:cNvGrpSpPr>
                                <wpg:grpSpPr bwMode="auto">
                                  <a:xfrm>
                                    <a:off x="-2540" y="0"/>
                                    <a:ext cx="5330190" cy="7495540"/>
                                    <a:chOff x="2497" y="3075"/>
                                    <a:chExt cx="8394" cy="11804"/>
                                  </a:xfrm>
                                </wpg:grpSpPr>
                                <wps:wsp>
                                  <wps:cNvPr id="101" name="Flowchart: Connector 66"/>
                                  <wps:cNvSpPr>
                                    <a:spLocks noChangeArrowheads="1"/>
                                  </wps:cNvSpPr>
                                  <wps:spPr bwMode="auto">
                                    <a:xfrm>
                                      <a:off x="3798" y="5133"/>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pPr>
                                          <w:rPr>
                                            <w:rFonts w:ascii="Arial" w:hAnsi="Arial"/>
                                            <w:sz w:val="15"/>
                                            <w:szCs w:val="15"/>
                                          </w:rPr>
                                        </w:pPr>
                                      </w:p>
                                    </w:txbxContent>
                                  </wps:txbx>
                                  <wps:bodyPr rot="0" vert="horz" wrap="square" lIns="91440" tIns="45720" rIns="91440" bIns="45720" anchor="t" anchorCtr="0" upright="1">
                                    <a:noAutofit/>
                                  </wps:bodyPr>
                                </wps:wsp>
                                <wpg:grpSp>
                                  <wpg:cNvPr id="102" name="Group 113"/>
                                  <wpg:cNvGrpSpPr>
                                    <a:grpSpLocks/>
                                  </wpg:cNvGrpSpPr>
                                  <wpg:grpSpPr bwMode="auto">
                                    <a:xfrm>
                                      <a:off x="3036" y="3075"/>
                                      <a:ext cx="4903" cy="690"/>
                                      <a:chOff x="3036" y="3075"/>
                                      <a:chExt cx="4903" cy="690"/>
                                    </a:xfrm>
                                  </wpg:grpSpPr>
                                  <wps:wsp>
                                    <wps:cNvPr id="103" name="Rectangle 19"/>
                                    <wps:cNvSpPr>
                                      <a:spLocks noChangeArrowheads="1"/>
                                    </wps:cNvSpPr>
                                    <wps:spPr bwMode="auto">
                                      <a:xfrm>
                                        <a:off x="3036" y="3075"/>
                                        <a:ext cx="4903"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Text Box 20"/>
                                    <wps:cNvSpPr txBox="1">
                                      <a:spLocks noChangeArrowheads="1"/>
                                    </wps:cNvSpPr>
                                    <wps:spPr bwMode="auto">
                                      <a:xfrm>
                                        <a:off x="3082" y="3075"/>
                                        <a:ext cx="4677"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B62E0F" w:rsidRDefault="00190D26" w:rsidP="00567D54">
                                          <w:pPr>
                                            <w:jc w:val="center"/>
                                          </w:pPr>
                                          <w:r>
                                            <w:rPr>
                                              <w:rFonts w:ascii="Arial" w:hAnsi="Arial"/>
                                              <w:sz w:val="15"/>
                                            </w:rPr>
                                            <w:t xml:space="preserve">Consolidarea tuturor filialelor </w:t>
                                          </w:r>
                                          <w:r>
                                            <w:rPr>
                                              <w:rFonts w:ascii="Arial" w:hAnsi="Arial"/>
                                              <w:sz w:val="15"/>
                                              <w:lang w:val="en-US"/>
                                            </w:rPr>
                                            <w:t>[Punctul 3.2.1]</w:t>
                                          </w:r>
                                        </w:p>
                                      </w:txbxContent>
                                    </wps:txbx>
                                    <wps:bodyPr rot="0" vert="horz" wrap="square" lIns="91440" tIns="45720" rIns="91440" bIns="45720" anchor="t" anchorCtr="0" upright="1">
                                      <a:noAutofit/>
                                    </wps:bodyPr>
                                  </wps:wsp>
                                </wpg:grpSp>
                                <wpg:grpSp>
                                  <wpg:cNvPr id="105" name="Group 116"/>
                                  <wpg:cNvGrpSpPr>
                                    <a:grpSpLocks/>
                                  </wpg:cNvGrpSpPr>
                                  <wpg:grpSpPr bwMode="auto">
                                    <a:xfrm>
                                      <a:off x="2927" y="4012"/>
                                      <a:ext cx="4928" cy="782"/>
                                      <a:chOff x="2451" y="4026"/>
                                      <a:chExt cx="4928" cy="782"/>
                                    </a:xfrm>
                                  </wpg:grpSpPr>
                                  <wps:wsp>
                                    <wps:cNvPr id="106" name="Rectangle 21"/>
                                    <wps:cNvSpPr>
                                      <a:spLocks noChangeArrowheads="1"/>
                                    </wps:cNvSpPr>
                                    <wps:spPr bwMode="auto">
                                      <a:xfrm>
                                        <a:off x="2451" y="4026"/>
                                        <a:ext cx="4914" cy="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Text Box 22"/>
                                    <wps:cNvSpPr txBox="1">
                                      <a:spLocks noChangeArrowheads="1"/>
                                    </wps:cNvSpPr>
                                    <wps:spPr bwMode="auto">
                                      <a:xfrm>
                                        <a:off x="2522" y="4089"/>
                                        <a:ext cx="4857" cy="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B62E0F" w:rsidRDefault="00190D26" w:rsidP="00567D54">
                                          <w:pPr>
                                            <w:jc w:val="center"/>
                                          </w:pPr>
                                          <w:r>
                                            <w:rPr>
                                              <w:rFonts w:ascii="Arial" w:hAnsi="Arial"/>
                                              <w:sz w:val="15"/>
                                            </w:rPr>
                                            <w:t>Determinarea măsurii în care principiile de derecunoaştere de mai jos sunt aplicate unei părți dintr-un activ sau întregului activ (sau grup de active similare) [Punctul 3.2.2]</w:t>
                                          </w:r>
                                        </w:p>
                                        <w:p w:rsidR="00190D26" w:rsidRDefault="00190D26" w:rsidP="00567D54"/>
                                      </w:txbxContent>
                                    </wps:txbx>
                                    <wps:bodyPr rot="0" vert="horz" wrap="square" lIns="91440" tIns="45720" rIns="91440" bIns="45720" anchor="t" anchorCtr="0" upright="1">
                                      <a:noAutofit/>
                                    </wps:bodyPr>
                                  </wps:wsp>
                                </wpg:grpSp>
                                <wpg:grpSp>
                                  <wpg:cNvPr id="108" name="Group 119"/>
                                  <wpg:cNvGrpSpPr>
                                    <a:grpSpLocks/>
                                  </wpg:cNvGrpSpPr>
                                  <wpg:grpSpPr bwMode="auto">
                                    <a:xfrm>
                                      <a:off x="3522" y="11274"/>
                                      <a:ext cx="3773" cy="1121"/>
                                      <a:chOff x="3046" y="11848"/>
                                      <a:chExt cx="3773" cy="1121"/>
                                    </a:xfrm>
                                  </wpg:grpSpPr>
                                  <wps:wsp>
                                    <wps:cNvPr id="109" name="Flowchart: Connector 68"/>
                                    <wps:cNvSpPr>
                                      <a:spLocks noChangeArrowheads="1"/>
                                    </wps:cNvSpPr>
                                    <wps:spPr bwMode="auto">
                                      <a:xfrm>
                                        <a:off x="3336" y="11848"/>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pPr>
                                            <w:rPr>
                                              <w:rFonts w:ascii="Arial" w:hAnsi="Arial"/>
                                              <w:sz w:val="15"/>
                                              <w:szCs w:val="15"/>
                                            </w:rPr>
                                          </w:pPr>
                                        </w:p>
                                      </w:txbxContent>
                                    </wps:txbx>
                                    <wps:bodyPr rot="0" vert="horz" wrap="square" lIns="91440" tIns="45720" rIns="91440" bIns="45720" anchor="t" anchorCtr="0" upright="1">
                                      <a:noAutofit/>
                                    </wps:bodyPr>
                                  </wps:wsp>
                                  <wps:wsp>
                                    <wps:cNvPr id="110" name="Text Box 47"/>
                                    <wps:cNvSpPr txBox="1">
                                      <a:spLocks noChangeArrowheads="1"/>
                                    </wps:cNvSpPr>
                                    <wps:spPr bwMode="auto">
                                      <a:xfrm>
                                        <a:off x="3046" y="12080"/>
                                        <a:ext cx="3773"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A păstrat entitatea majoritatea riscurilor şi recompenselor?</w:t>
                                          </w:r>
                                          <w:r>
                                            <w:rPr>
                                              <w:rFonts w:ascii="Arial" w:hAnsi="Arial"/>
                                              <w:sz w:val="15"/>
                                              <w:szCs w:val="15"/>
                                            </w:rPr>
                                            <w:br/>
                                          </w:r>
                                          <w:r>
                                            <w:rPr>
                                              <w:rFonts w:ascii="Arial" w:hAnsi="Arial"/>
                                              <w:sz w:val="15"/>
                                            </w:rPr>
                                            <w:t>[punctul 3.2.6 litera (b)]</w:t>
                                          </w:r>
                                        </w:p>
                                        <w:p w:rsidR="00190D26" w:rsidRDefault="00190D26" w:rsidP="00567D54"/>
                                      </w:txbxContent>
                                    </wps:txbx>
                                    <wps:bodyPr rot="0" vert="horz" wrap="square" lIns="91440" tIns="45720" rIns="91440" bIns="45720" anchor="t" anchorCtr="0" upright="1">
                                      <a:noAutofit/>
                                    </wps:bodyPr>
                                  </wps:wsp>
                                </wpg:grpSp>
                                <wps:wsp>
                                  <wps:cNvPr id="111" name="Straight Arrow Connector 10"/>
                                  <wps:cNvCnPr>
                                    <a:cxnSpLocks noChangeShapeType="1"/>
                                  </wps:cNvCnPr>
                                  <wps:spPr bwMode="auto">
                                    <a:xfrm>
                                      <a:off x="5407" y="3615"/>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12" name="Group 123"/>
                                  <wpg:cNvGrpSpPr>
                                    <a:grpSpLocks/>
                                  </wpg:cNvGrpSpPr>
                                  <wpg:grpSpPr bwMode="auto">
                                    <a:xfrm>
                                      <a:off x="3478" y="9637"/>
                                      <a:ext cx="3773" cy="1227"/>
                                      <a:chOff x="3478" y="10071"/>
                                      <a:chExt cx="3773" cy="1227"/>
                                    </a:xfrm>
                                  </wpg:grpSpPr>
                                  <wps:wsp>
                                    <wps:cNvPr id="113" name="Flowchart: Connector 67"/>
                                    <wps:cNvSpPr>
                                      <a:spLocks noChangeArrowheads="1"/>
                                    </wps:cNvSpPr>
                                    <wps:spPr bwMode="auto">
                                      <a:xfrm>
                                        <a:off x="3716" y="10071"/>
                                        <a:ext cx="3301" cy="1155"/>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txbxContent>
                                    </wps:txbx>
                                    <wps:bodyPr rot="0" vert="horz" wrap="square" lIns="91440" tIns="45720" rIns="91440" bIns="45720" anchor="t" anchorCtr="0" upright="1">
                                      <a:noAutofit/>
                                    </wps:bodyPr>
                                  </wps:wsp>
                                  <wps:wsp>
                                    <wps:cNvPr id="114" name="Text Box 43"/>
                                    <wps:cNvSpPr txBox="1">
                                      <a:spLocks noChangeArrowheads="1"/>
                                    </wps:cNvSpPr>
                                    <wps:spPr bwMode="auto">
                                      <a:xfrm>
                                        <a:off x="3478" y="10409"/>
                                        <a:ext cx="3773"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A transferat entitatea majoritatea riscurilor şi recompenselor?</w:t>
                                          </w:r>
                                          <w:r>
                                            <w:rPr>
                                              <w:rFonts w:ascii="Arial" w:hAnsi="Arial"/>
                                              <w:sz w:val="15"/>
                                              <w:szCs w:val="15"/>
                                            </w:rPr>
                                            <w:br/>
                                          </w:r>
                                          <w:r>
                                            <w:rPr>
                                              <w:rFonts w:ascii="Arial" w:hAnsi="Arial"/>
                                              <w:sz w:val="15"/>
                                            </w:rPr>
                                            <w:t>[Punctul 3.2.6 litera (a)]</w:t>
                                          </w:r>
                                        </w:p>
                                        <w:p w:rsidR="00190D26" w:rsidRDefault="00190D26" w:rsidP="00567D54"/>
                                      </w:txbxContent>
                                    </wps:txbx>
                                    <wps:bodyPr rot="0" vert="horz" wrap="square" lIns="91440" tIns="45720" rIns="91440" bIns="45720" anchor="t" anchorCtr="0" upright="1">
                                      <a:noAutofit/>
                                    </wps:bodyPr>
                                  </wps:wsp>
                                </wpg:grpSp>
                                <wpg:grpSp>
                                  <wpg:cNvPr id="115" name="Group 126"/>
                                  <wpg:cNvGrpSpPr>
                                    <a:grpSpLocks/>
                                  </wpg:cNvGrpSpPr>
                                  <wpg:grpSpPr bwMode="auto">
                                    <a:xfrm>
                                      <a:off x="2873" y="14339"/>
                                      <a:ext cx="5077" cy="540"/>
                                      <a:chOff x="2313" y="14913"/>
                                      <a:chExt cx="5077" cy="540"/>
                                    </a:xfrm>
                                  </wpg:grpSpPr>
                                  <wps:wsp>
                                    <wps:cNvPr id="116" name="Rectangle 58"/>
                                    <wps:cNvSpPr>
                                      <a:spLocks noChangeArrowheads="1"/>
                                    </wps:cNvSpPr>
                                    <wps:spPr bwMode="auto">
                                      <a:xfrm>
                                        <a:off x="2392" y="14913"/>
                                        <a:ext cx="4903"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Text Box 59"/>
                                    <wps:cNvSpPr txBox="1">
                                      <a:spLocks noChangeArrowheads="1"/>
                                    </wps:cNvSpPr>
                                    <wps:spPr bwMode="auto">
                                      <a:xfrm>
                                        <a:off x="2313" y="14913"/>
                                        <a:ext cx="5077"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B62E0F" w:rsidRDefault="00190D26" w:rsidP="00567D54">
                                          <w:r>
                                            <w:rPr>
                                              <w:rFonts w:ascii="Arial" w:hAnsi="Arial"/>
                                              <w:sz w:val="15"/>
                                            </w:rPr>
                                            <w:t>Continuă să recunoască activul în măsura implicării continue a entităţii</w:t>
                                          </w:r>
                                        </w:p>
                                      </w:txbxContent>
                                    </wps:txbx>
                                    <wps:bodyPr rot="0" vert="horz" wrap="square" lIns="91440" tIns="45720" rIns="91440" bIns="45720" anchor="t" anchorCtr="0" upright="1">
                                      <a:noAutofit/>
                                    </wps:bodyPr>
                                  </wps:wsp>
                                </wpg:grpSp>
                                <wps:wsp>
                                  <wps:cNvPr id="118" name="Flowchart: Connector 66"/>
                                  <wps:cNvSpPr>
                                    <a:spLocks noChangeArrowheads="1"/>
                                  </wps:cNvSpPr>
                                  <wps:spPr bwMode="auto">
                                    <a:xfrm>
                                      <a:off x="3716" y="8218"/>
                                      <a:ext cx="3309" cy="1071"/>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pPr>
                                          <w:rPr>
                                            <w:rFonts w:ascii="Arial" w:hAnsi="Arial"/>
                                            <w:sz w:val="15"/>
                                            <w:szCs w:val="15"/>
                                          </w:rPr>
                                        </w:pPr>
                                      </w:p>
                                    </w:txbxContent>
                                  </wps:txbx>
                                  <wps:bodyPr rot="0" vert="horz" wrap="square" lIns="91440" tIns="45720" rIns="91440" bIns="45720" anchor="t" anchorCtr="0" upright="1">
                                    <a:noAutofit/>
                                  </wps:bodyPr>
                                </wps:wsp>
                                <wps:wsp>
                                  <wps:cNvPr id="119" name="Flowchart: Connector 69"/>
                                  <wps:cNvSpPr>
                                    <a:spLocks noChangeArrowheads="1"/>
                                  </wps:cNvSpPr>
                                  <wps:spPr bwMode="auto">
                                    <a:xfrm>
                                      <a:off x="3812" y="12824"/>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pPr>
                                          <w:rPr>
                                            <w:rFonts w:ascii="Arial" w:hAnsi="Arial"/>
                                            <w:sz w:val="15"/>
                                            <w:szCs w:val="15"/>
                                          </w:rPr>
                                        </w:pPr>
                                      </w:p>
                                    </w:txbxContent>
                                  </wps:txbx>
                                  <wps:bodyPr rot="0" vert="horz" wrap="square" lIns="91440" tIns="45720" rIns="91440" bIns="45720" anchor="t" anchorCtr="0" upright="1">
                                    <a:noAutofit/>
                                  </wps:bodyPr>
                                </wps:wsp>
                                <wpg:grpSp>
                                  <wpg:cNvPr id="120" name="Group 131"/>
                                  <wpg:cNvGrpSpPr>
                                    <a:grpSpLocks/>
                                  </wpg:cNvGrpSpPr>
                                  <wpg:grpSpPr bwMode="auto">
                                    <a:xfrm>
                                      <a:off x="5407" y="10798"/>
                                      <a:ext cx="558" cy="437"/>
                                      <a:chOff x="5407" y="10798"/>
                                      <a:chExt cx="558" cy="437"/>
                                    </a:xfrm>
                                  </wpg:grpSpPr>
                                  <wps:wsp>
                                    <wps:cNvPr id="121" name="Text Box 48"/>
                                    <wps:cNvSpPr txBox="1">
                                      <a:spLocks noChangeArrowheads="1"/>
                                    </wps:cNvSpPr>
                                    <wps:spPr bwMode="auto">
                                      <a:xfrm>
                                        <a:off x="5425" y="10875"/>
                                        <a:ext cx="5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jc w:val="center"/>
                                          </w:pPr>
                                          <w:r>
                                            <w:rPr>
                                              <w:rFonts w:ascii="Arial" w:hAnsi="Arial"/>
                                              <w:sz w:val="15"/>
                                            </w:rPr>
                                            <w:t>Nu</w:t>
                                          </w:r>
                                        </w:p>
                                        <w:p w:rsidR="00190D26" w:rsidRDefault="00190D26" w:rsidP="00567D54"/>
                                      </w:txbxContent>
                                    </wps:txbx>
                                    <wps:bodyPr rot="0" vert="horz" wrap="square" lIns="91440" tIns="45720" rIns="91440" bIns="45720" anchor="t" anchorCtr="0" upright="1">
                                      <a:noAutofit/>
                                    </wps:bodyPr>
                                  </wps:wsp>
                                  <wps:wsp>
                                    <wps:cNvPr id="122" name="Straight Arrow Connector 45"/>
                                    <wps:cNvCnPr>
                                      <a:cxnSpLocks noChangeShapeType="1"/>
                                    </wps:cNvCnPr>
                                    <wps:spPr bwMode="auto">
                                      <a:xfrm rot="16200000" flipH="1">
                                        <a:off x="5189" y="11016"/>
                                        <a:ext cx="437" cy="1"/>
                                      </a:xfrm>
                                      <a:prstGeom prst="bentConnector3">
                                        <a:avLst>
                                          <a:gd name="adj1" fmla="val 4988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23" name="Group 134"/>
                                  <wpg:cNvGrpSpPr>
                                    <a:grpSpLocks/>
                                  </wpg:cNvGrpSpPr>
                                  <wpg:grpSpPr bwMode="auto">
                                    <a:xfrm>
                                      <a:off x="5418" y="12321"/>
                                      <a:ext cx="540" cy="437"/>
                                      <a:chOff x="5418" y="12321"/>
                                      <a:chExt cx="540" cy="437"/>
                                    </a:xfrm>
                                  </wpg:grpSpPr>
                                  <wps:wsp>
                                    <wps:cNvPr id="124" name="Text Box 52"/>
                                    <wps:cNvSpPr txBox="1">
                                      <a:spLocks noChangeArrowheads="1"/>
                                    </wps:cNvSpPr>
                                    <wps:spPr bwMode="auto">
                                      <a:xfrm>
                                        <a:off x="5418" y="12394"/>
                                        <a:ext cx="5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jc w:val="center"/>
                                          </w:pPr>
                                          <w:r>
                                            <w:rPr>
                                              <w:rFonts w:ascii="Arial" w:hAnsi="Arial"/>
                                              <w:sz w:val="15"/>
                                            </w:rPr>
                                            <w:t>Nu</w:t>
                                          </w:r>
                                        </w:p>
                                        <w:p w:rsidR="00190D26" w:rsidRDefault="00190D26" w:rsidP="00567D54"/>
                                      </w:txbxContent>
                                    </wps:txbx>
                                    <wps:bodyPr rot="0" vert="horz" wrap="square" lIns="91440" tIns="45720" rIns="91440" bIns="45720" anchor="t" anchorCtr="0" upright="1">
                                      <a:noAutofit/>
                                    </wps:bodyPr>
                                  </wps:wsp>
                                  <wps:wsp>
                                    <wps:cNvPr id="125" name="Straight Arrow Connector 45"/>
                                    <wps:cNvCnPr>
                                      <a:cxnSpLocks noChangeShapeType="1"/>
                                    </wps:cNvCnPr>
                                    <wps:spPr bwMode="auto">
                                      <a:xfrm rot="16200000" flipH="1">
                                        <a:off x="5201" y="12539"/>
                                        <a:ext cx="437" cy="1"/>
                                      </a:xfrm>
                                      <a:prstGeom prst="bentConnector3">
                                        <a:avLst>
                                          <a:gd name="adj1" fmla="val 4988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26" name="Group 137"/>
                                  <wpg:cNvGrpSpPr>
                                    <a:grpSpLocks/>
                                  </wpg:cNvGrpSpPr>
                                  <wpg:grpSpPr bwMode="auto">
                                    <a:xfrm>
                                      <a:off x="5397" y="13860"/>
                                      <a:ext cx="713" cy="437"/>
                                      <a:chOff x="5397" y="13860"/>
                                      <a:chExt cx="713" cy="437"/>
                                    </a:xfrm>
                                  </wpg:grpSpPr>
                                  <wps:wsp>
                                    <wps:cNvPr id="127" name="Text Box 71"/>
                                    <wps:cNvSpPr txBox="1">
                                      <a:spLocks noChangeArrowheads="1"/>
                                    </wps:cNvSpPr>
                                    <wps:spPr bwMode="auto">
                                      <a:xfrm>
                                        <a:off x="5397" y="13923"/>
                                        <a:ext cx="713"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jc w:val="center"/>
                                          </w:pPr>
                                          <w:r>
                                            <w:rPr>
                                              <w:rFonts w:ascii="Arial" w:hAnsi="Arial"/>
                                              <w:sz w:val="15"/>
                                            </w:rPr>
                                            <w:t>Da</w:t>
                                          </w:r>
                                        </w:p>
                                        <w:p w:rsidR="00190D26" w:rsidRDefault="00190D26" w:rsidP="00567D54"/>
                                      </w:txbxContent>
                                    </wps:txbx>
                                    <wps:bodyPr rot="0" vert="horz" wrap="square" lIns="91440" tIns="45720" rIns="91440" bIns="45720" anchor="t" anchorCtr="0" upright="1">
                                      <a:noAutofit/>
                                    </wps:bodyPr>
                                  </wps:wsp>
                                  <wps:wsp>
                                    <wps:cNvPr id="128" name="Straight Arrow Connector 45"/>
                                    <wps:cNvCnPr>
                                      <a:cxnSpLocks noChangeShapeType="1"/>
                                    </wps:cNvCnPr>
                                    <wps:spPr bwMode="auto">
                                      <a:xfrm rot="16200000" flipH="1">
                                        <a:off x="5201" y="14078"/>
                                        <a:ext cx="437" cy="1"/>
                                      </a:xfrm>
                                      <a:prstGeom prst="bentConnector3">
                                        <a:avLst>
                                          <a:gd name="adj1" fmla="val 4988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129" name="Straight Arrow Connector 10"/>
                                  <wps:cNvCnPr>
                                    <a:cxnSpLocks noChangeShapeType="1"/>
                                  </wps:cNvCnPr>
                                  <wps:spPr bwMode="auto">
                                    <a:xfrm>
                                      <a:off x="5415" y="4738"/>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30" name="Group 141"/>
                                  <wpg:cNvGrpSpPr>
                                    <a:grpSpLocks/>
                                  </wpg:cNvGrpSpPr>
                                  <wpg:grpSpPr bwMode="auto">
                                    <a:xfrm>
                                      <a:off x="6998" y="5374"/>
                                      <a:ext cx="3893" cy="8251"/>
                                      <a:chOff x="6998" y="5374"/>
                                      <a:chExt cx="3893" cy="8251"/>
                                    </a:xfrm>
                                  </wpg:grpSpPr>
                                  <wpg:grpSp>
                                    <wpg:cNvPr id="131" name="Group 142"/>
                                    <wpg:cNvGrpSpPr>
                                      <a:grpSpLocks/>
                                    </wpg:cNvGrpSpPr>
                                    <wpg:grpSpPr bwMode="auto">
                                      <a:xfrm>
                                        <a:off x="8358" y="5374"/>
                                        <a:ext cx="2056" cy="538"/>
                                        <a:chOff x="8386" y="5346"/>
                                        <a:chExt cx="2056" cy="538"/>
                                      </a:xfrm>
                                    </wpg:grpSpPr>
                                    <wps:wsp>
                                      <wps:cNvPr id="132" name="Rectangle 6"/>
                                      <wps:cNvSpPr>
                                        <a:spLocks noChangeArrowheads="1"/>
                                      </wps:cNvSpPr>
                                      <wps:spPr bwMode="auto">
                                        <a:xfrm>
                                          <a:off x="8461" y="5346"/>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Text Box 14"/>
                                      <wps:cNvSpPr txBox="1">
                                        <a:spLocks noChangeArrowheads="1"/>
                                      </wps:cNvSpPr>
                                      <wps:spPr bwMode="auto">
                                        <a:xfrm>
                                          <a:off x="8386" y="5459"/>
                                          <a:ext cx="2056"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jc w:val="center"/>
                                              <w:rPr>
                                                <w:sz w:val="15"/>
                                                <w:szCs w:val="15"/>
                                              </w:rPr>
                                            </w:pPr>
                                            <w:r>
                                              <w:rPr>
                                                <w:rFonts w:ascii="Arial" w:hAnsi="Arial"/>
                                                <w:sz w:val="15"/>
                                              </w:rPr>
                                              <w:t>Derecunoaște activul</w:t>
                                            </w:r>
                                          </w:p>
                                        </w:txbxContent>
                                      </wps:txbx>
                                      <wps:bodyPr rot="0" vert="horz" wrap="square" lIns="91440" tIns="45720" rIns="91440" bIns="45720" anchor="t" anchorCtr="0" upright="1">
                                        <a:noAutofit/>
                                      </wps:bodyPr>
                                    </wps:wsp>
                                  </wpg:grpSp>
                                  <wpg:grpSp>
                                    <wpg:cNvPr id="134" name="Group 145"/>
                                    <wpg:cNvGrpSpPr>
                                      <a:grpSpLocks/>
                                    </wpg:cNvGrpSpPr>
                                    <wpg:grpSpPr bwMode="auto">
                                      <a:xfrm>
                                        <a:off x="8238" y="8473"/>
                                        <a:ext cx="2653" cy="538"/>
                                        <a:chOff x="8154" y="8823"/>
                                        <a:chExt cx="2653" cy="538"/>
                                      </a:xfrm>
                                    </wpg:grpSpPr>
                                    <wps:wsp>
                                      <wps:cNvPr id="135" name="Rectangle 6"/>
                                      <wps:cNvSpPr>
                                        <a:spLocks noChangeArrowheads="1"/>
                                      </wps:cNvSpPr>
                                      <wps:spPr bwMode="auto">
                                        <a:xfrm>
                                          <a:off x="8348" y="8823"/>
                                          <a:ext cx="2336"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Text Box 14"/>
                                      <wps:cNvSpPr txBox="1">
                                        <a:spLocks noChangeArrowheads="1"/>
                                      </wps:cNvSpPr>
                                      <wps:spPr bwMode="auto">
                                        <a:xfrm>
                                          <a:off x="8154" y="8936"/>
                                          <a:ext cx="2653"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jc w:val="center"/>
                                              <w:rPr>
                                                <w:sz w:val="15"/>
                                                <w:szCs w:val="15"/>
                                              </w:rPr>
                                            </w:pPr>
                                            <w:r>
                                              <w:rPr>
                                                <w:rFonts w:ascii="Arial" w:hAnsi="Arial"/>
                                                <w:sz w:val="15"/>
                                              </w:rPr>
                                              <w:t>Continuă să recunoască activul</w:t>
                                            </w:r>
                                          </w:p>
                                          <w:p w:rsidR="00190D26" w:rsidRPr="00B62E0F" w:rsidRDefault="00190D26" w:rsidP="00567D54">
                                            <w:pPr>
                                              <w:jc w:val="center"/>
                                            </w:pPr>
                                          </w:p>
                                        </w:txbxContent>
                                      </wps:txbx>
                                      <wps:bodyPr rot="0" vert="horz" wrap="square" lIns="91440" tIns="45720" rIns="91440" bIns="45720" anchor="t" anchorCtr="0" upright="1">
                                        <a:noAutofit/>
                                      </wps:bodyPr>
                                    </wps:wsp>
                                  </wpg:grpSp>
                                  <wpg:grpSp>
                                    <wpg:cNvPr id="137" name="Group 148"/>
                                    <wpg:cNvGrpSpPr>
                                      <a:grpSpLocks/>
                                    </wpg:cNvGrpSpPr>
                                    <wpg:grpSpPr bwMode="auto">
                                      <a:xfrm>
                                        <a:off x="8358" y="10021"/>
                                        <a:ext cx="2056" cy="538"/>
                                        <a:chOff x="8540" y="10441"/>
                                        <a:chExt cx="2056" cy="538"/>
                                      </a:xfrm>
                                    </wpg:grpSpPr>
                                    <wps:wsp>
                                      <wps:cNvPr id="138" name="Rectangle 6"/>
                                      <wps:cNvSpPr>
                                        <a:spLocks noChangeArrowheads="1"/>
                                      </wps:cNvSpPr>
                                      <wps:spPr bwMode="auto">
                                        <a:xfrm>
                                          <a:off x="8615" y="10441"/>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4"/>
                                      <wps:cNvSpPr txBox="1">
                                        <a:spLocks noChangeArrowheads="1"/>
                                      </wps:cNvSpPr>
                                      <wps:spPr bwMode="auto">
                                        <a:xfrm>
                                          <a:off x="8540" y="10554"/>
                                          <a:ext cx="2056"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jc w:val="center"/>
                                              <w:rPr>
                                                <w:sz w:val="15"/>
                                                <w:szCs w:val="15"/>
                                              </w:rPr>
                                            </w:pPr>
                                            <w:r>
                                              <w:rPr>
                                                <w:rFonts w:ascii="Arial" w:hAnsi="Arial"/>
                                                <w:sz w:val="15"/>
                                              </w:rPr>
                                              <w:t>Derecunoaște activul</w:t>
                                            </w:r>
                                          </w:p>
                                          <w:p w:rsidR="00190D26" w:rsidRPr="007F6460" w:rsidRDefault="00190D26" w:rsidP="00567D54">
                                            <w:pPr>
                                              <w:jc w:val="center"/>
                                              <w:rPr>
                                                <w:sz w:val="15"/>
                                                <w:szCs w:val="15"/>
                                              </w:rPr>
                                            </w:pPr>
                                          </w:p>
                                        </w:txbxContent>
                                      </wps:txbx>
                                      <wps:bodyPr rot="0" vert="horz" wrap="square" lIns="91440" tIns="45720" rIns="91440" bIns="45720" anchor="t" anchorCtr="0" upright="1">
                                        <a:noAutofit/>
                                      </wps:bodyPr>
                                    </wps:wsp>
                                  </wpg:grpSp>
                                  <wpg:grpSp>
                                    <wpg:cNvPr id="140" name="Group 151"/>
                                    <wpg:cNvGrpSpPr>
                                      <a:grpSpLocks/>
                                    </wpg:cNvGrpSpPr>
                                    <wpg:grpSpPr bwMode="auto">
                                      <a:xfrm>
                                        <a:off x="8237" y="11515"/>
                                        <a:ext cx="2653" cy="538"/>
                                        <a:chOff x="7803" y="12131"/>
                                        <a:chExt cx="2653" cy="538"/>
                                      </a:xfrm>
                                    </wpg:grpSpPr>
                                    <wps:wsp>
                                      <wps:cNvPr id="141" name="Rectangle 6"/>
                                      <wps:cNvSpPr>
                                        <a:spLocks noChangeArrowheads="1"/>
                                      </wps:cNvSpPr>
                                      <wps:spPr bwMode="auto">
                                        <a:xfrm>
                                          <a:off x="7997" y="12131"/>
                                          <a:ext cx="2336"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Text Box 14"/>
                                      <wps:cNvSpPr txBox="1">
                                        <a:spLocks noChangeArrowheads="1"/>
                                      </wps:cNvSpPr>
                                      <wps:spPr bwMode="auto">
                                        <a:xfrm>
                                          <a:off x="7803" y="12244"/>
                                          <a:ext cx="2653"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jc w:val="center"/>
                                              <w:rPr>
                                                <w:sz w:val="15"/>
                                                <w:szCs w:val="15"/>
                                              </w:rPr>
                                            </w:pPr>
                                            <w:r>
                                              <w:rPr>
                                                <w:rFonts w:ascii="Arial" w:hAnsi="Arial"/>
                                                <w:sz w:val="15"/>
                                              </w:rPr>
                                              <w:t>Continuă să recunoască activul</w:t>
                                            </w:r>
                                          </w:p>
                                          <w:p w:rsidR="00190D26" w:rsidRDefault="00190D26" w:rsidP="00567D54">
                                            <w:pPr>
                                              <w:shd w:val="clear" w:color="auto" w:fill="FFFFFF"/>
                                              <w:jc w:val="center"/>
                                            </w:pPr>
                                          </w:p>
                                        </w:txbxContent>
                                      </wps:txbx>
                                      <wps:bodyPr rot="0" vert="horz" wrap="square" lIns="91440" tIns="45720" rIns="91440" bIns="45720" anchor="t" anchorCtr="0" upright="1">
                                        <a:noAutofit/>
                                      </wps:bodyPr>
                                    </wps:wsp>
                                  </wpg:grpSp>
                                  <wpg:grpSp>
                                    <wpg:cNvPr id="143" name="Group 154"/>
                                    <wpg:cNvGrpSpPr>
                                      <a:grpSpLocks/>
                                    </wpg:cNvGrpSpPr>
                                    <wpg:grpSpPr bwMode="auto">
                                      <a:xfrm>
                                        <a:off x="6998" y="5450"/>
                                        <a:ext cx="1417" cy="375"/>
                                        <a:chOff x="6998" y="5450"/>
                                        <a:chExt cx="1417" cy="375"/>
                                      </a:xfrm>
                                    </wpg:grpSpPr>
                                    <wps:wsp>
                                      <wps:cNvPr id="144" name="Straight Arrow Connector 9"/>
                                      <wps:cNvCnPr>
                                        <a:cxnSpLocks noChangeShapeType="1"/>
                                      </wps:cNvCnPr>
                                      <wps:spPr bwMode="auto">
                                        <a:xfrm>
                                          <a:off x="6998" y="5649"/>
                                          <a:ext cx="1417"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5" name="Text Box 16"/>
                                      <wps:cNvSpPr txBox="1">
                                        <a:spLocks noChangeArrowheads="1"/>
                                      </wps:cNvSpPr>
                                      <wps:spPr bwMode="auto">
                                        <a:xfrm>
                                          <a:off x="7411" y="5450"/>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F46F37" w:rsidRDefault="00190D26" w:rsidP="00567D54">
                                            <w:pPr>
                                              <w:shd w:val="clear" w:color="auto" w:fill="FFFFFF"/>
                                              <w:jc w:val="center"/>
                                            </w:pPr>
                                            <w:r>
                                              <w:rPr>
                                                <w:rFonts w:ascii="Arial" w:hAnsi="Arial"/>
                                                <w:sz w:val="15"/>
                                              </w:rPr>
                                              <w:t>Da</w:t>
                                            </w:r>
                                          </w:p>
                                        </w:txbxContent>
                                      </wps:txbx>
                                      <wps:bodyPr rot="0" vert="horz" wrap="square" lIns="91440" tIns="45720" rIns="91440" bIns="45720" anchor="t" anchorCtr="0" upright="1">
                                        <a:noAutofit/>
                                      </wps:bodyPr>
                                    </wps:wsp>
                                  </wpg:grpSp>
                                  <wpg:grpSp>
                                    <wpg:cNvPr id="146" name="Group 157"/>
                                    <wpg:cNvGrpSpPr>
                                      <a:grpSpLocks/>
                                    </wpg:cNvGrpSpPr>
                                    <wpg:grpSpPr bwMode="auto">
                                      <a:xfrm>
                                        <a:off x="7010" y="10083"/>
                                        <a:ext cx="1425" cy="1713"/>
                                        <a:chOff x="7010" y="10083"/>
                                        <a:chExt cx="1425" cy="1713"/>
                                      </a:xfrm>
                                    </wpg:grpSpPr>
                                    <wps:wsp>
                                      <wps:cNvPr id="147" name="Straight Arrow Connector 9"/>
                                      <wps:cNvCnPr>
                                        <a:cxnSpLocks noChangeShapeType="1"/>
                                      </wps:cNvCnPr>
                                      <wps:spPr bwMode="auto">
                                        <a:xfrm>
                                          <a:off x="7018" y="11792"/>
                                          <a:ext cx="141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48" name="Group 159"/>
                                      <wpg:cNvGrpSpPr>
                                        <a:grpSpLocks/>
                                      </wpg:cNvGrpSpPr>
                                      <wpg:grpSpPr bwMode="auto">
                                        <a:xfrm>
                                          <a:off x="7010" y="10083"/>
                                          <a:ext cx="1417" cy="375"/>
                                          <a:chOff x="7010" y="10083"/>
                                          <a:chExt cx="1417" cy="375"/>
                                        </a:xfrm>
                                      </wpg:grpSpPr>
                                      <wps:wsp>
                                        <wps:cNvPr id="149" name="Straight Arrow Connector 9"/>
                                        <wps:cNvCnPr>
                                          <a:cxnSpLocks noChangeShapeType="1"/>
                                        </wps:cNvCnPr>
                                        <wps:spPr bwMode="auto">
                                          <a:xfrm>
                                            <a:off x="7010" y="10283"/>
                                            <a:ext cx="1417" cy="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0" name="Text Box 16"/>
                                        <wps:cNvSpPr txBox="1">
                                          <a:spLocks noChangeArrowheads="1"/>
                                        </wps:cNvSpPr>
                                        <wps:spPr bwMode="auto">
                                          <a:xfrm>
                                            <a:off x="7411" y="1008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shd w:val="clear" w:color="auto" w:fill="FFFFFF"/>
                                                <w:jc w:val="center"/>
                                              </w:pPr>
                                              <w:r>
                                                <w:rPr>
                                                  <w:rFonts w:ascii="Arial" w:hAnsi="Arial"/>
                                                  <w:sz w:val="15"/>
                                                </w:rPr>
                                                <w:t>Da</w:t>
                                              </w:r>
                                            </w:p>
                                          </w:txbxContent>
                                        </wps:txbx>
                                        <wps:bodyPr rot="0" vert="horz" wrap="square" lIns="91440" tIns="45720" rIns="91440" bIns="45720" anchor="t" anchorCtr="0" upright="1">
                                          <a:noAutofit/>
                                        </wps:bodyPr>
                                      </wps:wsp>
                                    </wpg:grpSp>
                                    <wps:wsp>
                                      <wps:cNvPr id="151" name="Text Box 16"/>
                                      <wps:cNvSpPr txBox="1">
                                        <a:spLocks noChangeArrowheads="1"/>
                                      </wps:cNvSpPr>
                                      <wps:spPr bwMode="auto">
                                        <a:xfrm>
                                          <a:off x="7423" y="11421"/>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B62E0F" w:rsidRDefault="00190D26" w:rsidP="00567D54">
                                            <w:pPr>
                                              <w:jc w:val="center"/>
                                            </w:pPr>
                                            <w:r>
                                              <w:rPr>
                                                <w:rFonts w:ascii="Arial" w:hAnsi="Arial"/>
                                                <w:sz w:val="15"/>
                                              </w:rPr>
                                              <w:t>Da</w:t>
                                            </w:r>
                                          </w:p>
                                        </w:txbxContent>
                                      </wps:txbx>
                                      <wps:bodyPr rot="0" vert="horz" wrap="square" lIns="91440" tIns="45720" rIns="91440" bIns="45720" anchor="t" anchorCtr="0" upright="1">
                                        <a:noAutofit/>
                                      </wps:bodyPr>
                                    </wps:wsp>
                                  </wpg:grpSp>
                                  <wpg:grpSp>
                                    <wpg:cNvPr id="152" name="Group 163"/>
                                    <wpg:cNvGrpSpPr>
                                      <a:grpSpLocks/>
                                    </wpg:cNvGrpSpPr>
                                    <wpg:grpSpPr bwMode="auto">
                                      <a:xfrm>
                                        <a:off x="7022" y="13087"/>
                                        <a:ext cx="3391" cy="538"/>
                                        <a:chOff x="7022" y="13087"/>
                                        <a:chExt cx="3391" cy="538"/>
                                      </a:xfrm>
                                    </wpg:grpSpPr>
                                    <wpg:grpSp>
                                      <wpg:cNvPr id="153" name="Group 164"/>
                                      <wpg:cNvGrpSpPr>
                                        <a:grpSpLocks/>
                                      </wpg:cNvGrpSpPr>
                                      <wpg:grpSpPr bwMode="auto">
                                        <a:xfrm>
                                          <a:off x="8356" y="13087"/>
                                          <a:ext cx="2057" cy="538"/>
                                          <a:chOff x="8608" y="13661"/>
                                          <a:chExt cx="2057" cy="538"/>
                                        </a:xfrm>
                                      </wpg:grpSpPr>
                                      <wps:wsp>
                                        <wps:cNvPr id="154" name="Rectangle 6"/>
                                        <wps:cNvSpPr>
                                          <a:spLocks noChangeArrowheads="1"/>
                                        </wps:cNvSpPr>
                                        <wps:spPr bwMode="auto">
                                          <a:xfrm>
                                            <a:off x="8684" y="13661"/>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Text Box 14"/>
                                        <wps:cNvSpPr txBox="1">
                                          <a:spLocks noChangeArrowheads="1"/>
                                        </wps:cNvSpPr>
                                        <wps:spPr bwMode="auto">
                                          <a:xfrm>
                                            <a:off x="8608" y="13774"/>
                                            <a:ext cx="2056"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jc w:val="center"/>
                                                <w:rPr>
                                                  <w:sz w:val="15"/>
                                                  <w:szCs w:val="15"/>
                                                </w:rPr>
                                              </w:pPr>
                                              <w:r>
                                                <w:rPr>
                                                  <w:rFonts w:ascii="Arial" w:hAnsi="Arial"/>
                                                  <w:sz w:val="15"/>
                                                </w:rPr>
                                                <w:t>Derecunoaște activul</w:t>
                                              </w:r>
                                            </w:p>
                                            <w:p w:rsidR="00190D26" w:rsidRPr="007F6460" w:rsidRDefault="00190D26" w:rsidP="00567D54">
                                              <w:pPr>
                                                <w:shd w:val="clear" w:color="auto" w:fill="FFFFFF"/>
                                                <w:jc w:val="center"/>
                                              </w:pPr>
                                            </w:p>
                                          </w:txbxContent>
                                        </wps:txbx>
                                        <wps:bodyPr rot="0" vert="horz" wrap="square" lIns="91440" tIns="45720" rIns="91440" bIns="45720" anchor="t" anchorCtr="0" upright="1">
                                          <a:noAutofit/>
                                        </wps:bodyPr>
                                      </wps:wsp>
                                    </wpg:grpSp>
                                    <wpg:grpSp>
                                      <wpg:cNvPr id="156" name="Group 167"/>
                                      <wpg:cNvGrpSpPr>
                                        <a:grpSpLocks/>
                                      </wpg:cNvGrpSpPr>
                                      <wpg:grpSpPr bwMode="auto">
                                        <a:xfrm>
                                          <a:off x="7022" y="13163"/>
                                          <a:ext cx="1417" cy="375"/>
                                          <a:chOff x="7022" y="13163"/>
                                          <a:chExt cx="1417" cy="375"/>
                                        </a:xfrm>
                                      </wpg:grpSpPr>
                                      <wps:wsp>
                                        <wps:cNvPr id="157" name="Straight Arrow Connector 9"/>
                                        <wps:cNvCnPr>
                                          <a:cxnSpLocks noChangeShapeType="1"/>
                                        </wps:cNvCnPr>
                                        <wps:spPr bwMode="auto">
                                          <a:xfrm>
                                            <a:off x="7022" y="13357"/>
                                            <a:ext cx="1417" cy="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8" name="Text Box 16"/>
                                        <wps:cNvSpPr txBox="1">
                                          <a:spLocks noChangeArrowheads="1"/>
                                        </wps:cNvSpPr>
                                        <wps:spPr bwMode="auto">
                                          <a:xfrm>
                                            <a:off x="7414" y="1316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7F6460" w:rsidRDefault="00190D26" w:rsidP="00567D54">
                                              <w:pPr>
                                                <w:shd w:val="clear" w:color="auto" w:fill="FFFFFF"/>
                                                <w:jc w:val="center"/>
                                              </w:pPr>
                                              <w:r>
                                                <w:rPr>
                                                  <w:rFonts w:ascii="Arial" w:hAnsi="Arial"/>
                                                  <w:sz w:val="15"/>
                                                </w:rPr>
                                                <w:t>Nu</w:t>
                                              </w:r>
                                            </w:p>
                                          </w:txbxContent>
                                        </wps:txbx>
                                        <wps:bodyPr rot="0" vert="horz" wrap="square" lIns="91440" tIns="45720" rIns="91440" bIns="45720" anchor="t" anchorCtr="0" upright="1">
                                          <a:noAutofit/>
                                        </wps:bodyPr>
                                      </wps:wsp>
                                    </wpg:grpSp>
                                  </wpg:grpSp>
                                  <wpg:grpSp>
                                    <wpg:cNvPr id="159" name="Group 170"/>
                                    <wpg:cNvGrpSpPr>
                                      <a:grpSpLocks/>
                                    </wpg:cNvGrpSpPr>
                                    <wpg:grpSpPr bwMode="auto">
                                      <a:xfrm>
                                        <a:off x="7010" y="8563"/>
                                        <a:ext cx="1417" cy="375"/>
                                        <a:chOff x="7010" y="8563"/>
                                        <a:chExt cx="1417" cy="375"/>
                                      </a:xfrm>
                                    </wpg:grpSpPr>
                                    <wps:wsp>
                                      <wps:cNvPr id="160" name="Straight Arrow Connector 9"/>
                                      <wps:cNvCnPr>
                                        <a:cxnSpLocks noChangeShapeType="1"/>
                                      </wps:cNvCnPr>
                                      <wps:spPr bwMode="auto">
                                        <a:xfrm>
                                          <a:off x="7010" y="8761"/>
                                          <a:ext cx="141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Text Box 16"/>
                                      <wps:cNvSpPr txBox="1">
                                        <a:spLocks noChangeArrowheads="1"/>
                                      </wps:cNvSpPr>
                                      <wps:spPr bwMode="auto">
                                        <a:xfrm>
                                          <a:off x="7397" y="856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F46F37" w:rsidRDefault="00190D26" w:rsidP="00567D54">
                                            <w:pPr>
                                              <w:shd w:val="clear" w:color="auto" w:fill="FFFFFF"/>
                                              <w:jc w:val="center"/>
                                            </w:pPr>
                                            <w:r>
                                              <w:rPr>
                                                <w:rFonts w:ascii="Arial" w:hAnsi="Arial"/>
                                                <w:sz w:val="15"/>
                                              </w:rPr>
                                              <w:t>Nu</w:t>
                                            </w:r>
                                          </w:p>
                                        </w:txbxContent>
                                      </wps:txbx>
                                      <wps:bodyPr rot="0" vert="horz" wrap="square" lIns="91440" tIns="45720" rIns="91440" bIns="45720" anchor="t" anchorCtr="0" upright="1">
                                        <a:noAutofit/>
                                      </wps:bodyPr>
                                    </wps:wsp>
                                  </wpg:grpSp>
                                </wpg:grpSp>
                                <wps:wsp>
                                  <wps:cNvPr id="162" name="Arc 173"/>
                                  <wps:cNvSpPr>
                                    <a:spLocks/>
                                  </wps:cNvSpPr>
                                  <wps:spPr bwMode="auto">
                                    <a:xfrm rot="7014148" flipV="1">
                                      <a:off x="2060" y="7704"/>
                                      <a:ext cx="2841" cy="1968"/>
                                    </a:xfrm>
                                    <a:custGeom>
                                      <a:avLst/>
                                      <a:gdLst>
                                        <a:gd name="G0" fmla="+- 17656 0 0"/>
                                        <a:gd name="G1" fmla="+- 21600 0 0"/>
                                        <a:gd name="G2" fmla="+- 21600 0 0"/>
                                        <a:gd name="T0" fmla="*/ 0 w 39256"/>
                                        <a:gd name="T1" fmla="*/ 9157 h 30469"/>
                                        <a:gd name="T2" fmla="*/ 37351 w 39256"/>
                                        <a:gd name="T3" fmla="*/ 30469 h 30469"/>
                                        <a:gd name="T4" fmla="*/ 17656 w 39256"/>
                                        <a:gd name="T5" fmla="*/ 21600 h 30469"/>
                                      </a:gdLst>
                                      <a:ahLst/>
                                      <a:cxnLst>
                                        <a:cxn ang="0">
                                          <a:pos x="T0" y="T1"/>
                                        </a:cxn>
                                        <a:cxn ang="0">
                                          <a:pos x="T2" y="T3"/>
                                        </a:cxn>
                                        <a:cxn ang="0">
                                          <a:pos x="T4" y="T5"/>
                                        </a:cxn>
                                      </a:cxnLst>
                                      <a:rect l="0" t="0" r="r" b="b"/>
                                      <a:pathLst>
                                        <a:path w="39256" h="30469" fill="none" extrusionOk="0">
                                          <a:moveTo>
                                            <a:pt x="0" y="9157"/>
                                          </a:moveTo>
                                          <a:cubicBezTo>
                                            <a:pt x="4046" y="3415"/>
                                            <a:pt x="10631" y="-1"/>
                                            <a:pt x="17656" y="0"/>
                                          </a:cubicBezTo>
                                          <a:cubicBezTo>
                                            <a:pt x="29585" y="0"/>
                                            <a:pt x="39256" y="9670"/>
                                            <a:pt x="39256" y="21600"/>
                                          </a:cubicBezTo>
                                          <a:cubicBezTo>
                                            <a:pt x="39256" y="24657"/>
                                            <a:pt x="38606" y="27680"/>
                                            <a:pt x="37351" y="30469"/>
                                          </a:cubicBezTo>
                                        </a:path>
                                        <a:path w="39256" h="30469" stroke="0" extrusionOk="0">
                                          <a:moveTo>
                                            <a:pt x="0" y="9157"/>
                                          </a:moveTo>
                                          <a:cubicBezTo>
                                            <a:pt x="4046" y="3415"/>
                                            <a:pt x="10631" y="-1"/>
                                            <a:pt x="17656" y="0"/>
                                          </a:cubicBezTo>
                                          <a:cubicBezTo>
                                            <a:pt x="29585" y="0"/>
                                            <a:pt x="39256" y="9670"/>
                                            <a:pt x="39256" y="21600"/>
                                          </a:cubicBezTo>
                                          <a:cubicBezTo>
                                            <a:pt x="39256" y="24657"/>
                                            <a:pt x="38606" y="27680"/>
                                            <a:pt x="37351" y="30469"/>
                                          </a:cubicBezTo>
                                          <a:lnTo>
                                            <a:pt x="17656"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Text Box 7"/>
                                  <wps:cNvSpPr txBox="1">
                                    <a:spLocks noChangeArrowheads="1"/>
                                  </wps:cNvSpPr>
                                  <wps:spPr bwMode="auto">
                                    <a:xfrm>
                                      <a:off x="4155" y="5392"/>
                                      <a:ext cx="2675"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Au expirat drepturile la fluxurile de trezorerie provenite din activ?</w:t>
                                        </w:r>
                                        <w:r>
                                          <w:rPr>
                                            <w:rFonts w:ascii="Arial" w:hAnsi="Arial"/>
                                            <w:sz w:val="15"/>
                                            <w:szCs w:val="15"/>
                                          </w:rPr>
                                          <w:br/>
                                        </w:r>
                                        <w:r>
                                          <w:rPr>
                                            <w:rFonts w:ascii="Arial" w:hAnsi="Arial"/>
                                            <w:sz w:val="15"/>
                                          </w:rPr>
                                          <w:t>[Punctul 3.2.3 litera (a)]</w:t>
                                        </w:r>
                                      </w:p>
                                      <w:p w:rsidR="00190D26" w:rsidRDefault="00190D26" w:rsidP="00567D54"/>
                                    </w:txbxContent>
                                  </wps:txbx>
                                  <wps:bodyPr rot="0" vert="horz" wrap="square" lIns="91440" tIns="45720" rIns="91440" bIns="45720" anchor="t" anchorCtr="0" upright="1">
                                    <a:noAutofit/>
                                  </wps:bodyPr>
                                </wps:wsp>
                                <wps:wsp>
                                  <wps:cNvPr id="164" name="Flowchart: Connector 60"/>
                                  <wps:cNvSpPr>
                                    <a:spLocks noChangeArrowheads="1"/>
                                  </wps:cNvSpPr>
                                  <wps:spPr bwMode="auto">
                                    <a:xfrm>
                                      <a:off x="3805" y="6722"/>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90D26" w:rsidRPr="00B62E0F" w:rsidRDefault="00190D26" w:rsidP="00567D54">
                                        <w:pPr>
                                          <w:rPr>
                                            <w:rFonts w:ascii="Arial" w:hAnsi="Arial"/>
                                            <w:sz w:val="15"/>
                                            <w:szCs w:val="15"/>
                                          </w:rPr>
                                        </w:pPr>
                                      </w:p>
                                    </w:txbxContent>
                                  </wps:txbx>
                                  <wps:bodyPr rot="0" vert="horz" wrap="square" lIns="91440" tIns="45720" rIns="91440" bIns="45720" anchor="t" anchorCtr="0" upright="1">
                                    <a:noAutofit/>
                                  </wps:bodyPr>
                                </wps:wsp>
                              </wpg:grpSp>
                              <wps:wsp>
                                <wps:cNvPr id="174" name="Text Box 37"/>
                                <wps:cNvSpPr txBox="1">
                                  <a:spLocks noChangeArrowheads="1"/>
                                </wps:cNvSpPr>
                                <wps:spPr bwMode="auto">
                                  <a:xfrm>
                                    <a:off x="771276" y="3379304"/>
                                    <a:ext cx="2160270" cy="564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Şi-a asumat entitatea o obligaţie de a plăti fluxurile de trezorerie din activul care întruneşte condiţiile de la punctul 3.2.5?</w:t>
                                      </w:r>
                                      <w:r>
                                        <w:rPr>
                                          <w:rFonts w:ascii="Arial" w:hAnsi="Arial"/>
                                          <w:sz w:val="15"/>
                                          <w:szCs w:val="15"/>
                                        </w:rPr>
                                        <w:br/>
                                      </w:r>
                                      <w:r>
                                        <w:rPr>
                                          <w:rFonts w:ascii="Arial" w:hAnsi="Arial"/>
                                          <w:sz w:val="15"/>
                                        </w:rPr>
                                        <w:t>[Punctul 3.2.4 litera (b)]</w:t>
                                      </w:r>
                                    </w:p>
                                    <w:p w:rsidR="00190D26" w:rsidRDefault="00190D26" w:rsidP="00567D54"/>
                                  </w:txbxContent>
                                </wps:txbx>
                                <wps:bodyPr rot="0" vert="horz" wrap="square" lIns="91440" tIns="45720" rIns="91440" bIns="45720" anchor="t" anchorCtr="0" upright="1">
                                  <a:noAutofit/>
                                </wps:bodyPr>
                              </wps:wsp>
                              <wpg:grpSp>
                                <wpg:cNvPr id="182" name="Group 193"/>
                                <wpg:cNvGrpSpPr>
                                  <a:grpSpLocks/>
                                </wpg:cNvGrpSpPr>
                                <wpg:grpSpPr bwMode="auto">
                                  <a:xfrm>
                                    <a:off x="1852654" y="2997642"/>
                                    <a:ext cx="325120" cy="277495"/>
                                    <a:chOff x="5411" y="7758"/>
                                    <a:chExt cx="512" cy="437"/>
                                  </a:xfrm>
                                </wpg:grpSpPr>
                                <wps:wsp>
                                  <wps:cNvPr id="183" name="Text Box 38"/>
                                  <wps:cNvSpPr txBox="1">
                                    <a:spLocks noChangeArrowheads="1"/>
                                  </wps:cNvSpPr>
                                  <wps:spPr bwMode="auto">
                                    <a:xfrm>
                                      <a:off x="5413" y="7830"/>
                                      <a:ext cx="51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jc w:val="center"/>
                                        </w:pPr>
                                        <w:r>
                                          <w:rPr>
                                            <w:rFonts w:ascii="Arial" w:hAnsi="Arial"/>
                                            <w:sz w:val="15"/>
                                          </w:rPr>
                                          <w:t>Nu</w:t>
                                        </w:r>
                                      </w:p>
                                      <w:p w:rsidR="00190D26" w:rsidRDefault="00190D26" w:rsidP="00567D54"/>
                                    </w:txbxContent>
                                  </wps:txbx>
                                  <wps:bodyPr rot="0" vert="horz" wrap="square" lIns="91440" tIns="45720" rIns="91440" bIns="45720" anchor="t" anchorCtr="0" upright="1">
                                    <a:noAutofit/>
                                  </wps:bodyPr>
                                </wps:wsp>
                                <wps:wsp>
                                  <wps:cNvPr id="184" name="Straight Arrow Connector 45"/>
                                  <wps:cNvCnPr>
                                    <a:cxnSpLocks noChangeShapeType="1"/>
                                  </wps:cNvCnPr>
                                  <wps:spPr bwMode="auto">
                                    <a:xfrm rot="16200000" flipH="1">
                                      <a:off x="5193" y="7976"/>
                                      <a:ext cx="437" cy="1"/>
                                    </a:xfrm>
                                    <a:prstGeom prst="bentConnector3">
                                      <a:avLst>
                                        <a:gd name="adj1" fmla="val 4988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185" name="Text Box 29"/>
                                <wps:cNvSpPr txBox="1">
                                  <a:spLocks noChangeArrowheads="1"/>
                                </wps:cNvSpPr>
                                <wps:spPr bwMode="auto">
                                  <a:xfrm>
                                    <a:off x="811033" y="2464904"/>
                                    <a:ext cx="2091690" cy="564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Pr="000F1A44" w:rsidRDefault="00190D26" w:rsidP="00567D54">
                                      <w:pPr>
                                        <w:jc w:val="center"/>
                                        <w:rPr>
                                          <w:rFonts w:ascii="Arial" w:hAnsi="Arial"/>
                                          <w:sz w:val="15"/>
                                          <w:szCs w:val="15"/>
                                        </w:rPr>
                                      </w:pPr>
                                      <w:r>
                                        <w:rPr>
                                          <w:rFonts w:ascii="Arial" w:hAnsi="Arial"/>
                                          <w:sz w:val="15"/>
                                        </w:rPr>
                                        <w:t>A transferat entitatea drepturile sale de a primi fluxurile de trezorerie provenite din activ?</w:t>
                                      </w:r>
                                      <w:r>
                                        <w:rPr>
                                          <w:rFonts w:ascii="Arial" w:hAnsi="Arial"/>
                                          <w:sz w:val="15"/>
                                          <w:szCs w:val="15"/>
                                        </w:rPr>
                                        <w:br/>
                                      </w:r>
                                      <w:r>
                                        <w:rPr>
                                          <w:rFonts w:ascii="Arial" w:hAnsi="Arial"/>
                                          <w:sz w:val="15"/>
                                        </w:rPr>
                                        <w:t>[Punctul 3.2.4 litera (a)]</w:t>
                                      </w:r>
                                    </w:p>
                                    <w:p w:rsidR="00190D26" w:rsidRDefault="00190D26" w:rsidP="00567D54"/>
                                  </w:txbxContent>
                                </wps:txbx>
                                <wps:bodyPr rot="0" vert="horz" wrap="square" lIns="91440" tIns="45720" rIns="91440" bIns="45720" anchor="t" anchorCtr="0" upright="1">
                                  <a:noAutofit/>
                                </wps:bodyPr>
                              </wps:wsp>
                            </wpg:grpSp>
                          </wpg:grpSp>
                        </wpg:grpSp>
                      </wpg:grpSp>
                      <wps:wsp>
                        <wps:cNvPr id="191" name="Text Box 16"/>
                        <wps:cNvSpPr txBox="1">
                          <a:spLocks noChangeArrowheads="1"/>
                        </wps:cNvSpPr>
                        <wps:spPr bwMode="auto">
                          <a:xfrm>
                            <a:off x="0" y="3482671"/>
                            <a:ext cx="3956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D26" w:rsidRDefault="00190D26" w:rsidP="00567D54">
                              <w:pPr>
                                <w:shd w:val="clear" w:color="auto" w:fill="FFFFFF"/>
                                <w:jc w:val="center"/>
                              </w:pPr>
                              <w:r>
                                <w:rPr>
                                  <w:rFonts w:ascii="Arial" w:hAnsi="Arial"/>
                                  <w:sz w:val="15"/>
                                </w:rPr>
                                <w:t>Da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94407A" id="Group 193" o:spid="_x0000_s1026" style="position:absolute;left:0;text-align:left;margin-left:55.7pt;margin-top:13.35pt;width:6in;height:590.2pt;z-index:251659264" coordsize="54866,74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">
                <v:group id="Group 190" o:spid="_x0000_s1027" style="position:absolute;left:1564;width:53302;height:74955" coordorigin="3314" coordsize="53301,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type id="_x0000_t202" coordsize="21600,21600" o:spt="202" path="m,l,21600r21600,l21600,xe">
                    <v:stroke joinstyle="miter"/>
                    <v:path gradientshapeok="t" o:connecttype="rect"/>
                  </v:shapetype>
                  <v:shape id="Text Box 51" o:spid="_x0000_s1028" type="#_x0000_t202" style="position:absolute;left:9541;top:63212;width:23959;height:5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" filled="f" stroked="f">
                    <v:textbox>
                      <w:txbxContent>
                        <w:p w:rsidR="00190D26" w:rsidRPr="000F1A44" w:rsidRDefault="00190D26" w:rsidP="00567D54">
                          <w:pPr>
                            <w:jc w:val="center"/>
                            <w:rPr>
                              <w:rFonts w:ascii="Arial" w:hAnsi="Arial"/>
                              <w:sz w:val="15"/>
                              <w:szCs w:val="15"/>
                            </w:rPr>
                          </w:pPr>
                          <w:r>
                            <w:rPr>
                              <w:rFonts w:ascii="Arial" w:hAnsi="Arial"/>
                              <w:sz w:val="15"/>
                            </w:rPr>
                            <w:t>A păstrat entitatea controlul asupra activului?</w:t>
                          </w:r>
                          <w:r>
                            <w:rPr>
                              <w:rFonts w:ascii="Arial" w:hAnsi="Arial"/>
                              <w:sz w:val="15"/>
                              <w:szCs w:val="15"/>
                            </w:rPr>
                            <w:br/>
                          </w:r>
                          <w:r>
                            <w:rPr>
                              <w:rFonts w:ascii="Arial" w:hAnsi="Arial"/>
                              <w:sz w:val="15"/>
                            </w:rPr>
                            <w:t>[Punctul 3.2.6 litera (c)]</w:t>
                          </w:r>
                        </w:p>
                        <w:p w:rsidR="00190D26" w:rsidRDefault="00190D26" w:rsidP="00567D54"/>
                      </w:txbxContent>
                    </v:textbox>
                  </v:shape>
                  <v:group id="Group 188" o:spid="_x0000_s1029" style="position:absolute;left:3314;width:53302;height:74955" coordorigin="-25" coordsize="53301,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group id="Group 190" o:spid="_x0000_s1030" style="position:absolute;left:18447;top:39677;width:4527;height:2774" coordorigin="5401,9289" coordsize="713,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Text Box 44" o:spid="_x0000_s1031" type="#_x0000_t202" style="position:absolute;left:5401;top:9358;width:713;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190D26" w:rsidRDefault="00190D26" w:rsidP="00567D54">
                              <w:pPr>
                                <w:jc w:val="center"/>
                              </w:pPr>
                              <w:r>
                                <w:rPr>
                                  <w:rFonts w:ascii="Arial" w:hAnsi="Arial"/>
                                  <w:sz w:val="15"/>
                                </w:rPr>
                                <w:t>Da</w:t>
                              </w:r>
                            </w:p>
                            <w:p w:rsidR="00190D26" w:rsidRDefault="00190D26" w:rsidP="00567D54"/>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45" o:spid="_x0000_s1032" type="#_x0000_t34" style="position:absolute;left:5193;top:9507;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" adj="10775">
                        <v:stroke endarrow="block"/>
                      </v:shape>
                    </v:group>
                    <v:group id="Group 187" o:spid="_x0000_s1033" style="position:absolute;left:-25;width:53301;height:74955" coordorigin="-25" coordsize="53301,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group id="Group 186" o:spid="_x0000_s1034" style="position:absolute;left:18367;top:19560;width:3359;height:3016" coordorigin="5392,6201" coordsize="529,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Straight Arrow Connector 30" o:spid="_x0000_s1035" type="#_x0000_t34" style="position:absolute;left:5175;top:6438;width:475;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" adj="10777">
                          <v:stroke endarrow="block"/>
                        </v:shape>
                        <v:shape id="Text Box 35" o:spid="_x0000_s1036" type="#_x0000_t202" style="position:absolute;left:5392;top:6216;width:529;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" filled="f" stroked="f">
                          <v:textbox>
                            <w:txbxContent>
                              <w:p w:rsidR="00190D26" w:rsidRPr="000F1A44" w:rsidRDefault="00190D26" w:rsidP="00567D54">
                                <w:pPr>
                                  <w:jc w:val="center"/>
                                  <w:rPr>
                                    <w:rFonts w:ascii="Arial" w:hAnsi="Arial"/>
                                    <w:sz w:val="15"/>
                                    <w:szCs w:val="15"/>
                                  </w:rPr>
                                </w:pPr>
                                <w:r>
                                  <w:rPr>
                                    <w:rFonts w:ascii="Arial" w:hAnsi="Arial"/>
                                    <w:sz w:val="15"/>
                                  </w:rPr>
                                  <w:t>Nu transferat entitatea drepturile sale de a primi fluxurile de trezorerie provenite din activ?</w:t>
                                </w:r>
                                <w:r>
                                  <w:rPr>
                                    <w:rFonts w:ascii="Arial" w:hAnsi="Arial"/>
                                    <w:sz w:val="15"/>
                                    <w:szCs w:val="15"/>
                                  </w:rPr>
                                  <w:br/>
                                </w:r>
                                <w:r>
                                  <w:rPr>
                                    <w:rFonts w:ascii="Arial" w:hAnsi="Arial"/>
                                    <w:sz w:val="15"/>
                                  </w:rPr>
                                  <w:t>[Punctul 3.2.4 litera (a)]</w:t>
                                </w:r>
                              </w:p>
                              <w:p w:rsidR="00190D26" w:rsidRDefault="00190D26" w:rsidP="00567D54"/>
                            </w:txbxContent>
                          </v:textbox>
                        </v:shape>
                      </v:group>
                      <v:group id="Group 186" o:spid="_x0000_s1037" style="position:absolute;left:-25;width:53301;height:74955" coordorigin="-25" coordsize="53301,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group id="Group 100" o:spid="_x0000_s1038" style="position:absolute;left:-25;width:53301;height:74955" coordorigin="2497,3075" coordsize="8394,11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6" o:spid="_x0000_s1039" type="#_x0000_t120" style="position:absolute;left:3798;top:5133;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" filled="f">
                            <v:textbox>
                              <w:txbxContent>
                                <w:p w:rsidR="00190D26" w:rsidRPr="00B62E0F" w:rsidRDefault="00190D26" w:rsidP="00567D54">
                                  <w:pPr>
                                    <w:rPr>
                                      <w:rFonts w:ascii="Arial" w:hAnsi="Arial"/>
                                      <w:sz w:val="15"/>
                                      <w:szCs w:val="15"/>
                                    </w:rPr>
                                  </w:pPr>
                                </w:p>
                              </w:txbxContent>
                            </v:textbox>
                          </v:shape>
                          <v:group id="Group 113" o:spid="_x0000_s1040" style="position:absolute;left:3036;top:3075;width:4903;height:690" coordorigin="3036,3075" coordsize="4903,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9" o:spid="_x0000_s1041" style="position:absolute;left:3036;top:3075;width:490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" filled="f"/>
                            <v:shape id="Text Box 20" o:spid="_x0000_s1042" type="#_x0000_t202" style="position:absolute;left:3082;top:3075;width:4677;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" filled="f" stroked="f">
                              <v:textbox>
                                <w:txbxContent>
                                  <w:p w:rsidR="00190D26" w:rsidRPr="00B62E0F" w:rsidRDefault="00190D26" w:rsidP="00567D54">
                                    <w:pPr>
                                      <w:jc w:val="center"/>
                                    </w:pPr>
                                    <w:r>
                                      <w:rPr>
                                        <w:rFonts w:ascii="Arial" w:hAnsi="Arial"/>
                                        <w:sz w:val="15"/>
                                      </w:rPr>
                                      <w:t xml:space="preserve">Consolidarea tuturor filialelor </w:t>
                                    </w:r>
                                    <w:r>
                                      <w:rPr>
                                        <w:rFonts w:ascii="Arial" w:hAnsi="Arial"/>
                                        <w:sz w:val="15"/>
                                        <w:lang w:val="en-US"/>
                                      </w:rPr>
                                      <w:t>[Punctul 3.2.1]</w:t>
                                    </w:r>
                                  </w:p>
                                </w:txbxContent>
                              </v:textbox>
                            </v:shape>
                          </v:group>
                          <v:group id="Group 116" o:spid="_x0000_s1043" style="position:absolute;left:2927;top:4012;width:4928;height:782" coordorigin="2451,4026" coordsize="492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21" o:spid="_x0000_s1044" style="position:absolute;left:2451;top:4026;width:4914;height: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" filled="f"/>
                            <v:shape id="Text Box 22" o:spid="_x0000_s1045" type="#_x0000_t202" style="position:absolute;left:2522;top:4089;width:4857;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" filled="f" stroked="f">
                              <v:textbox>
                                <w:txbxContent>
                                  <w:p w:rsidR="00190D26" w:rsidRPr="00B62E0F" w:rsidRDefault="00190D26" w:rsidP="00567D54">
                                    <w:pPr>
                                      <w:jc w:val="center"/>
                                    </w:pPr>
                                    <w:r>
                                      <w:rPr>
                                        <w:rFonts w:ascii="Arial" w:hAnsi="Arial"/>
                                        <w:sz w:val="15"/>
                                      </w:rPr>
                                      <w:t>Determinarea măsurii în care principiile de derecunoaştere de mai jos sunt aplicate unei părți dintr-un activ sau întregului activ (sau grup de active similare) [Punctul 3.2.2]</w:t>
                                    </w:r>
                                  </w:p>
                                  <w:p w:rsidR="00190D26" w:rsidRDefault="00190D26" w:rsidP="00567D54"/>
                                </w:txbxContent>
                              </v:textbox>
                            </v:shape>
                          </v:group>
                          <v:group id="Group 119" o:spid="_x0000_s1046" style="position:absolute;left:3522;top:11274;width:3773;height:1121" coordorigin="3046,11848" coordsize="3773,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lowchart: Connector 68" o:spid="_x0000_s1047" type="#_x0000_t120" style="position:absolute;left:3336;top:11848;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" filled="f">
                              <v:textbox>
                                <w:txbxContent>
                                  <w:p w:rsidR="00190D26" w:rsidRPr="00B62E0F" w:rsidRDefault="00190D26" w:rsidP="00567D54">
                                    <w:pPr>
                                      <w:rPr>
                                        <w:rFonts w:ascii="Arial" w:hAnsi="Arial"/>
                                        <w:sz w:val="15"/>
                                        <w:szCs w:val="15"/>
                                      </w:rPr>
                                    </w:pPr>
                                  </w:p>
                                </w:txbxContent>
                              </v:textbox>
                            </v:shape>
                            <v:shape id="Text Box 47" o:spid="_x0000_s1048" type="#_x0000_t202" style="position:absolute;left:3046;top:12080;width:3773;height: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" filled="f" stroked="f">
                              <v:textbox>
                                <w:txbxContent>
                                  <w:p w:rsidR="00190D26" w:rsidRPr="000F1A44" w:rsidRDefault="00190D26" w:rsidP="00567D54">
                                    <w:pPr>
                                      <w:jc w:val="center"/>
                                      <w:rPr>
                                        <w:rFonts w:ascii="Arial" w:hAnsi="Arial"/>
                                        <w:sz w:val="15"/>
                                        <w:szCs w:val="15"/>
                                      </w:rPr>
                                    </w:pPr>
                                    <w:r>
                                      <w:rPr>
                                        <w:rFonts w:ascii="Arial" w:hAnsi="Arial"/>
                                        <w:sz w:val="15"/>
                                      </w:rPr>
                                      <w:t>A păstrat entitatea majoritatea riscurilor şi recompenselor?</w:t>
                                    </w:r>
                                    <w:r>
                                      <w:rPr>
                                        <w:rFonts w:ascii="Arial" w:hAnsi="Arial"/>
                                        <w:sz w:val="15"/>
                                        <w:szCs w:val="15"/>
                                      </w:rPr>
                                      <w:br/>
                                    </w:r>
                                    <w:r>
                                      <w:rPr>
                                        <w:rFonts w:ascii="Arial" w:hAnsi="Arial"/>
                                        <w:sz w:val="15"/>
                                      </w:rPr>
                                      <w:t>[punctul 3.2.6 litera (b)]</w:t>
                                    </w:r>
                                  </w:p>
                                  <w:p w:rsidR="00190D26" w:rsidRDefault="00190D26" w:rsidP="00567D54"/>
                                </w:txbxContent>
                              </v:textbox>
                            </v:shape>
                          </v:group>
                          <v:shapetype id="_x0000_t32" coordsize="21600,21600" o:spt="32" o:oned="t" path="m,l21600,21600e" filled="f">
                            <v:path arrowok="t" fillok="f" o:connecttype="none"/>
                            <o:lock v:ext="edit" shapetype="t"/>
                          </v:shapetype>
                          <v:shape id="Straight Arrow Connector 10" o:spid="_x0000_s1049" type="#_x0000_t32" style="position:absolute;left:5407;top:3615;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">
                            <v:stroke endarrow="block"/>
                          </v:shape>
                          <v:group id="Group 123" o:spid="_x0000_s1050" style="position:absolute;left:3478;top:9637;width:3773;height:1227" coordorigin="3478,10071" coordsize="3773,1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lowchart: Connector 67" o:spid="_x0000_s1051" type="#_x0000_t120" style="position:absolute;left:3716;top:10071;width:3301;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" filled="f">
                              <v:textbox>
                                <w:txbxContent>
                                  <w:p w:rsidR="00190D26" w:rsidRPr="00B62E0F" w:rsidRDefault="00190D26" w:rsidP="00567D54"/>
                                </w:txbxContent>
                              </v:textbox>
                            </v:shape>
                            <v:shape id="Text Box 43" o:spid="_x0000_s1052" type="#_x0000_t202" style="position:absolute;left:3478;top:10409;width:3773;height: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rsidR="00190D26" w:rsidRPr="000F1A44" w:rsidRDefault="00190D26" w:rsidP="00567D54">
                                    <w:pPr>
                                      <w:jc w:val="center"/>
                                      <w:rPr>
                                        <w:rFonts w:ascii="Arial" w:hAnsi="Arial"/>
                                        <w:sz w:val="15"/>
                                        <w:szCs w:val="15"/>
                                      </w:rPr>
                                    </w:pPr>
                                    <w:r>
                                      <w:rPr>
                                        <w:rFonts w:ascii="Arial" w:hAnsi="Arial"/>
                                        <w:sz w:val="15"/>
                                      </w:rPr>
                                      <w:t>A transferat entitatea majoritatea riscurilor şi recompenselor?</w:t>
                                    </w:r>
                                    <w:r>
                                      <w:rPr>
                                        <w:rFonts w:ascii="Arial" w:hAnsi="Arial"/>
                                        <w:sz w:val="15"/>
                                        <w:szCs w:val="15"/>
                                      </w:rPr>
                                      <w:br/>
                                    </w:r>
                                    <w:r>
                                      <w:rPr>
                                        <w:rFonts w:ascii="Arial" w:hAnsi="Arial"/>
                                        <w:sz w:val="15"/>
                                      </w:rPr>
                                      <w:t>[Punctul 3.2.6 litera (a)]</w:t>
                                    </w:r>
                                  </w:p>
                                  <w:p w:rsidR="00190D26" w:rsidRDefault="00190D26" w:rsidP="00567D54"/>
                                </w:txbxContent>
                              </v:textbox>
                            </v:shape>
                          </v:group>
                          <v:group id="Group 126" o:spid="_x0000_s1053" style="position:absolute;left:2873;top:14339;width:5077;height:540" coordorigin="2313,14913" coordsize="507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58" o:spid="_x0000_s1054" style="position:absolute;left:2392;top:14913;width:490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" filled="f"/>
                            <v:shape id="Text Box 59" o:spid="_x0000_s1055" type="#_x0000_t202" style="position:absolute;left:2313;top:14913;width:5077;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" filled="f" stroked="f">
                              <v:textbox>
                                <w:txbxContent>
                                  <w:p w:rsidR="00190D26" w:rsidRPr="00B62E0F" w:rsidRDefault="00190D26" w:rsidP="00567D54">
                                    <w:r>
                                      <w:rPr>
                                        <w:rFonts w:ascii="Arial" w:hAnsi="Arial"/>
                                        <w:sz w:val="15"/>
                                      </w:rPr>
                                      <w:t>Continuă să recunoască activul în măsura implicării continue a entităţii</w:t>
                                    </w:r>
                                  </w:p>
                                </w:txbxContent>
                              </v:textbox>
                            </v:shape>
                          </v:group>
                          <v:shape id="Flowchart: Connector 66" o:spid="_x0000_s1056" type="#_x0000_t120" style="position:absolute;left:3716;top:8218;width:3309;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" filled="f">
                            <v:textbox>
                              <w:txbxContent>
                                <w:p w:rsidR="00190D26" w:rsidRPr="00B62E0F" w:rsidRDefault="00190D26" w:rsidP="00567D54">
                                  <w:pPr>
                                    <w:rPr>
                                      <w:rFonts w:ascii="Arial" w:hAnsi="Arial"/>
                                      <w:sz w:val="15"/>
                                      <w:szCs w:val="15"/>
                                    </w:rPr>
                                  </w:pPr>
                                </w:p>
                              </w:txbxContent>
                            </v:textbox>
                          </v:shape>
                          <v:shape id="Flowchart: Connector 69" o:spid="_x0000_s1057" type="#_x0000_t120" style="position:absolute;left:3812;top:12824;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" filled="f">
                            <v:textbox>
                              <w:txbxContent>
                                <w:p w:rsidR="00190D26" w:rsidRPr="00B62E0F" w:rsidRDefault="00190D26" w:rsidP="00567D54">
                                  <w:pPr>
                                    <w:rPr>
                                      <w:rFonts w:ascii="Arial" w:hAnsi="Arial"/>
                                      <w:sz w:val="15"/>
                                      <w:szCs w:val="15"/>
                                    </w:rPr>
                                  </w:pPr>
                                </w:p>
                              </w:txbxContent>
                            </v:textbox>
                          </v:shape>
                          <v:group id="Group 131" o:spid="_x0000_s1058" style="position:absolute;left:5407;top:10798;width:558;height:437" coordorigin="5407,10798" coordsize="558,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shape id="Text Box 48" o:spid="_x0000_s1059" type="#_x0000_t202" style="position:absolute;left:5425;top:10875;width:54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" filled="f" stroked="f">
                              <v:textbox>
                                <w:txbxContent>
                                  <w:p w:rsidR="00190D26" w:rsidRDefault="00190D26" w:rsidP="00567D54">
                                    <w:pPr>
                                      <w:jc w:val="center"/>
                                    </w:pPr>
                                    <w:r>
                                      <w:rPr>
                                        <w:rFonts w:ascii="Arial" w:hAnsi="Arial"/>
                                        <w:sz w:val="15"/>
                                      </w:rPr>
                                      <w:t>Nu</w:t>
                                    </w:r>
                                  </w:p>
                                  <w:p w:rsidR="00190D26" w:rsidRDefault="00190D26" w:rsidP="00567D54"/>
                                </w:txbxContent>
                              </v:textbox>
                            </v:shape>
                            <v:shape id="Straight Arrow Connector 45" o:spid="_x0000_s1060" type="#_x0000_t34" style="position:absolute;left:5189;top:11016;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" adj="10775">
                              <v:stroke endarrow="block"/>
                            </v:shape>
                          </v:group>
                          <v:group id="Group 134" o:spid="_x0000_s1061" style="position:absolute;left:5418;top:12321;width:540;height:437" coordorigin="5418,12321" coordsize="540,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Text Box 52" o:spid="_x0000_s1062" type="#_x0000_t202" style="position:absolute;left:5418;top:12394;width:54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" filled="f" stroked="f">
                              <v:textbox>
                                <w:txbxContent>
                                  <w:p w:rsidR="00190D26" w:rsidRDefault="00190D26" w:rsidP="00567D54">
                                    <w:pPr>
                                      <w:jc w:val="center"/>
                                    </w:pPr>
                                    <w:r>
                                      <w:rPr>
                                        <w:rFonts w:ascii="Arial" w:hAnsi="Arial"/>
                                        <w:sz w:val="15"/>
                                      </w:rPr>
                                      <w:t>Nu</w:t>
                                    </w:r>
                                  </w:p>
                                  <w:p w:rsidR="00190D26" w:rsidRDefault="00190D26" w:rsidP="00567D54"/>
                                </w:txbxContent>
                              </v:textbox>
                            </v:shape>
                            <v:shape id="Straight Arrow Connector 45" o:spid="_x0000_s1063" type="#_x0000_t34" style="position:absolute;left:5201;top:12539;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" adj="10775">
                              <v:stroke endarrow="block"/>
                            </v:shape>
                          </v:group>
                          <v:group id="Group 137" o:spid="_x0000_s1064" style="position:absolute;left:5397;top:13860;width:713;height:437" coordorigin="5397,13860" coordsize="713,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Text Box 71" o:spid="_x0000_s1065" type="#_x0000_t202" style="position:absolute;left:5397;top:13923;width:713;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" filled="f" stroked="f">
                              <v:textbox>
                                <w:txbxContent>
                                  <w:p w:rsidR="00190D26" w:rsidRDefault="00190D26" w:rsidP="00567D54">
                                    <w:pPr>
                                      <w:jc w:val="center"/>
                                    </w:pPr>
                                    <w:r>
                                      <w:rPr>
                                        <w:rFonts w:ascii="Arial" w:hAnsi="Arial"/>
                                        <w:sz w:val="15"/>
                                      </w:rPr>
                                      <w:t>Da</w:t>
                                    </w:r>
                                  </w:p>
                                  <w:p w:rsidR="00190D26" w:rsidRDefault="00190D26" w:rsidP="00567D54"/>
                                </w:txbxContent>
                              </v:textbox>
                            </v:shape>
                            <v:shape id="Straight Arrow Connector 45" o:spid="_x0000_s1066" type="#_x0000_t34" style="position:absolute;left:5201;top:14078;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" adj="10775">
                              <v:stroke endarrow="block"/>
                            </v:shape>
                          </v:group>
                          <v:shape id="Straight Arrow Connector 10" o:spid="_x0000_s1067" type="#_x0000_t32" style="position:absolute;left:5415;top:4738;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">
                            <v:stroke endarrow="block"/>
                          </v:shape>
                          <v:group id="Group 141" o:spid="_x0000_s1068" style="position:absolute;left:6998;top:5374;width:3893;height:8251" coordorigin="6998,5374" coordsize="3893,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group id="Group 142" o:spid="_x0000_s1069" style="position:absolute;left:8358;top:5374;width:2056;height:538" coordorigin="8386,5346" coordsize="205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6" o:spid="_x0000_s1070" style="position:absolute;left:8461;top:5346;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" filled="f"/>
                              <v:shape id="Text Box 14" o:spid="_x0000_s1071" type="#_x0000_t202" style="position:absolute;left:8386;top:5459;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" filled="f" stroked="f">
                                <v:textbox>
                                  <w:txbxContent>
                                    <w:p w:rsidR="00190D26" w:rsidRPr="007F6460" w:rsidRDefault="00190D26" w:rsidP="00567D54">
                                      <w:pPr>
                                        <w:jc w:val="center"/>
                                        <w:rPr>
                                          <w:sz w:val="15"/>
                                          <w:szCs w:val="15"/>
                                        </w:rPr>
                                      </w:pPr>
                                      <w:r>
                                        <w:rPr>
                                          <w:rFonts w:ascii="Arial" w:hAnsi="Arial"/>
                                          <w:sz w:val="15"/>
                                        </w:rPr>
                                        <w:t>Derecunoaște activul</w:t>
                                      </w:r>
                                    </w:p>
                                  </w:txbxContent>
                                </v:textbox>
                              </v:shape>
                            </v:group>
                            <v:group id="Group 145" o:spid="_x0000_s1072" style="position:absolute;left:8238;top:8473;width:2653;height:538" coordorigin="8154,8823" coordsize="2653,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6" o:spid="_x0000_s1073" style="position:absolute;left:8348;top:8823;width:2336;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" filled="f"/>
                              <v:shape id="Text Box 14" o:spid="_x0000_s1074" type="#_x0000_t202" style="position:absolute;left:8154;top:8936;width:2653;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" filled="f" stroked="f">
                                <v:textbox>
                                  <w:txbxContent>
                                    <w:p w:rsidR="00190D26" w:rsidRPr="007F6460" w:rsidRDefault="00190D26" w:rsidP="00567D54">
                                      <w:pPr>
                                        <w:jc w:val="center"/>
                                        <w:rPr>
                                          <w:sz w:val="15"/>
                                          <w:szCs w:val="15"/>
                                        </w:rPr>
                                      </w:pPr>
                                      <w:r>
                                        <w:rPr>
                                          <w:rFonts w:ascii="Arial" w:hAnsi="Arial"/>
                                          <w:sz w:val="15"/>
                                        </w:rPr>
                                        <w:t>Continuă să recunoască activul</w:t>
                                      </w:r>
                                    </w:p>
                                    <w:p w:rsidR="00190D26" w:rsidRPr="00B62E0F" w:rsidRDefault="00190D26" w:rsidP="00567D54">
                                      <w:pPr>
                                        <w:jc w:val="center"/>
                                      </w:pPr>
                                    </w:p>
                                  </w:txbxContent>
                                </v:textbox>
                              </v:shape>
                            </v:group>
                            <v:group id="Group 148" o:spid="_x0000_s1075" style="position:absolute;left:8358;top:10021;width:2056;height:538" coordorigin="8540,10441" coordsize="205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6" o:spid="_x0000_s1076" style="position:absolute;left:8615;top:10441;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" filled="f"/>
                              <v:shape id="Text Box 14" o:spid="_x0000_s1077" type="#_x0000_t202" style="position:absolute;left:8540;top:10554;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" filled="f" stroked="f">
                                <v:textbox>
                                  <w:txbxContent>
                                    <w:p w:rsidR="00190D26" w:rsidRPr="007F6460" w:rsidRDefault="00190D26" w:rsidP="00567D54">
                                      <w:pPr>
                                        <w:jc w:val="center"/>
                                        <w:rPr>
                                          <w:sz w:val="15"/>
                                          <w:szCs w:val="15"/>
                                        </w:rPr>
                                      </w:pPr>
                                      <w:r>
                                        <w:rPr>
                                          <w:rFonts w:ascii="Arial" w:hAnsi="Arial"/>
                                          <w:sz w:val="15"/>
                                        </w:rPr>
                                        <w:t>Derecunoaște activul</w:t>
                                      </w:r>
                                    </w:p>
                                    <w:p w:rsidR="00190D26" w:rsidRPr="007F6460" w:rsidRDefault="00190D26" w:rsidP="00567D54">
                                      <w:pPr>
                                        <w:jc w:val="center"/>
                                        <w:rPr>
                                          <w:sz w:val="15"/>
                                          <w:szCs w:val="15"/>
                                        </w:rPr>
                                      </w:pPr>
                                    </w:p>
                                  </w:txbxContent>
                                </v:textbox>
                              </v:shape>
                            </v:group>
                            <v:group id="Group 151" o:spid="_x0000_s1078" style="position:absolute;left:8237;top:11515;width:2653;height:538" coordorigin="7803,12131" coordsize="2653,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6" o:spid="_x0000_s1079" style="position:absolute;left:7997;top:12131;width:2336;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" filled="f"/>
                              <v:shape id="Text Box 14" o:spid="_x0000_s1080" type="#_x0000_t202" style="position:absolute;left:7803;top:12244;width:2653;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rsidR="00190D26" w:rsidRPr="007F6460" w:rsidRDefault="00190D26" w:rsidP="00567D54">
                                      <w:pPr>
                                        <w:jc w:val="center"/>
                                        <w:rPr>
                                          <w:sz w:val="15"/>
                                          <w:szCs w:val="15"/>
                                        </w:rPr>
                                      </w:pPr>
                                      <w:r>
                                        <w:rPr>
                                          <w:rFonts w:ascii="Arial" w:hAnsi="Arial"/>
                                          <w:sz w:val="15"/>
                                        </w:rPr>
                                        <w:t>Continuă să recunoască activul</w:t>
                                      </w:r>
                                    </w:p>
                                    <w:p w:rsidR="00190D26" w:rsidRDefault="00190D26" w:rsidP="00567D54">
                                      <w:pPr>
                                        <w:shd w:val="clear" w:color="auto" w:fill="FFFFFF"/>
                                        <w:jc w:val="center"/>
                                      </w:pPr>
                                    </w:p>
                                  </w:txbxContent>
                                </v:textbox>
                              </v:shape>
                            </v:group>
                            <v:group id="Group 154" o:spid="_x0000_s1081" style="position:absolute;left:6998;top:5450;width:1417;height:375" coordorigin="6998,5450"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Straight Arrow Connector 9" o:spid="_x0000_s1082" type="#_x0000_t34" style="position:absolute;left:6998;top:5649;width:1417;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">
                                <v:stroke endarrow="block"/>
                              </v:shape>
                              <v:shape id="Text Box 16" o:spid="_x0000_s1083" type="#_x0000_t202" style="position:absolute;left:7411;top:5450;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" filled="f" stroked="f">
                                <v:textbox>
                                  <w:txbxContent>
                                    <w:p w:rsidR="00190D26" w:rsidRPr="00F46F37" w:rsidRDefault="00190D26" w:rsidP="00567D54">
                                      <w:pPr>
                                        <w:shd w:val="clear" w:color="auto" w:fill="FFFFFF"/>
                                        <w:jc w:val="center"/>
                                      </w:pPr>
                                      <w:r>
                                        <w:rPr>
                                          <w:rFonts w:ascii="Arial" w:hAnsi="Arial"/>
                                          <w:sz w:val="15"/>
                                        </w:rPr>
                                        <w:t>Da</w:t>
                                      </w:r>
                                    </w:p>
                                  </w:txbxContent>
                                </v:textbox>
                              </v:shape>
                            </v:group>
                            <v:group id="Group 157" o:spid="_x0000_s1084" style="position:absolute;left:7010;top:10083;width:1425;height:1713" coordorigin="7010,10083" coordsize="1425,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Straight Arrow Connector 9" o:spid="_x0000_s1085" type="#_x0000_t32" style="position:absolute;left:7018;top:11792;width:1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">
                                <v:stroke endarrow="block"/>
                              </v:shape>
                              <v:group id="Group 159" o:spid="_x0000_s1086" style="position:absolute;left:7010;top:10083;width:1417;height:375" coordorigin="7010,1008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Straight Arrow Connector 9" o:spid="_x0000_s1087" type="#_x0000_t34" style="position:absolute;left:7010;top:10283;width:1417;height: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">
                                  <v:stroke endarrow="block"/>
                                </v:shape>
                                <v:shape id="Text Box 16" o:spid="_x0000_s1088" type="#_x0000_t202" style="position:absolute;left:7411;top:1008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" filled="f" stroked="f">
                                  <v:textbox>
                                    <w:txbxContent>
                                      <w:p w:rsidR="00190D26" w:rsidRPr="007F6460" w:rsidRDefault="00190D26" w:rsidP="00567D54">
                                        <w:pPr>
                                          <w:shd w:val="clear" w:color="auto" w:fill="FFFFFF"/>
                                          <w:jc w:val="center"/>
                                        </w:pPr>
                                        <w:r>
                                          <w:rPr>
                                            <w:rFonts w:ascii="Arial" w:hAnsi="Arial"/>
                                            <w:sz w:val="15"/>
                                          </w:rPr>
                                          <w:t>Da</w:t>
                                        </w:r>
                                      </w:p>
                                    </w:txbxContent>
                                  </v:textbox>
                                </v:shape>
                              </v:group>
                              <v:shape id="Text Box 16" o:spid="_x0000_s1089" type="#_x0000_t202" style="position:absolute;left:7423;top:11421;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" filled="f" stroked="f">
                                <v:textbox>
                                  <w:txbxContent>
                                    <w:p w:rsidR="00190D26" w:rsidRPr="00B62E0F" w:rsidRDefault="00190D26" w:rsidP="00567D54">
                                      <w:pPr>
                                        <w:jc w:val="center"/>
                                      </w:pPr>
                                      <w:r>
                                        <w:rPr>
                                          <w:rFonts w:ascii="Arial" w:hAnsi="Arial"/>
                                          <w:sz w:val="15"/>
                                        </w:rPr>
                                        <w:t>Da</w:t>
                                      </w:r>
                                    </w:p>
                                  </w:txbxContent>
                                </v:textbox>
                              </v:shape>
                            </v:group>
                            <v:group id="Group 163" o:spid="_x0000_s1090" style="position:absolute;left:7022;top:13087;width:3391;height:538" coordorigin="7022,13087" coordsize="3391,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up 164" o:spid="_x0000_s1091" style="position:absolute;left:8356;top:13087;width:2057;height:538" coordorigin="8608,13661" coordsize="2057,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6" o:spid="_x0000_s1092" style="position:absolute;left:8684;top:13661;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" filled="f"/>
                                <v:shape id="Text Box 14" o:spid="_x0000_s1093" type="#_x0000_t202" style="position:absolute;left:8608;top:13774;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" filled="f" stroked="f">
                                  <v:textbox>
                                    <w:txbxContent>
                                      <w:p w:rsidR="00190D26" w:rsidRPr="007F6460" w:rsidRDefault="00190D26" w:rsidP="00567D54">
                                        <w:pPr>
                                          <w:jc w:val="center"/>
                                          <w:rPr>
                                            <w:sz w:val="15"/>
                                            <w:szCs w:val="15"/>
                                          </w:rPr>
                                        </w:pPr>
                                        <w:r>
                                          <w:rPr>
                                            <w:rFonts w:ascii="Arial" w:hAnsi="Arial"/>
                                            <w:sz w:val="15"/>
                                          </w:rPr>
                                          <w:t>Derecunoaște activul</w:t>
                                        </w:r>
                                      </w:p>
                                      <w:p w:rsidR="00190D26" w:rsidRPr="007F6460" w:rsidRDefault="00190D26" w:rsidP="00567D54">
                                        <w:pPr>
                                          <w:shd w:val="clear" w:color="auto" w:fill="FFFFFF"/>
                                          <w:jc w:val="center"/>
                                        </w:pPr>
                                      </w:p>
                                    </w:txbxContent>
                                  </v:textbox>
                                </v:shape>
                              </v:group>
                              <v:group id="Group 167" o:spid="_x0000_s1094" style="position:absolute;left:7022;top:13163;width:1417;height:375" coordorigin="7022,1316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Straight Arrow Connector 9" o:spid="_x0000_s1095" type="#_x0000_t34" style="position:absolute;left:7022;top:13357;width:1417;height: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">
                                  <v:stroke endarrow="block"/>
                                </v:shape>
                                <v:shape id="Text Box 16" o:spid="_x0000_s1096" type="#_x0000_t202" style="position:absolute;left:7414;top:1316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190D26" w:rsidRPr="007F6460" w:rsidRDefault="00190D26" w:rsidP="00567D54">
                                        <w:pPr>
                                          <w:shd w:val="clear" w:color="auto" w:fill="FFFFFF"/>
                                          <w:jc w:val="center"/>
                                        </w:pPr>
                                        <w:r>
                                          <w:rPr>
                                            <w:rFonts w:ascii="Arial" w:hAnsi="Arial"/>
                                            <w:sz w:val="15"/>
                                          </w:rPr>
                                          <w:t>Nu</w:t>
                                        </w:r>
                                      </w:p>
                                    </w:txbxContent>
                                  </v:textbox>
                                </v:shape>
                              </v:group>
                            </v:group>
                            <v:group id="Group 170" o:spid="_x0000_s1097" style="position:absolute;left:7010;top:8563;width:1417;height:375" coordorigin="7010,856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Straight Arrow Connector 9" o:spid="_x0000_s1098" type="#_x0000_t32" style="position:absolute;left:7010;top:8761;width:1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">
                                <v:stroke endarrow="block"/>
                              </v:shape>
                              <v:shape id="Text Box 16" o:spid="_x0000_s1099" type="#_x0000_t202" style="position:absolute;left:7397;top:856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" filled="f" stroked="f">
                                <v:textbox>
                                  <w:txbxContent>
                                    <w:p w:rsidR="00190D26" w:rsidRPr="00F46F37" w:rsidRDefault="00190D26" w:rsidP="00567D54">
                                      <w:pPr>
                                        <w:shd w:val="clear" w:color="auto" w:fill="FFFFFF"/>
                                        <w:jc w:val="center"/>
                                      </w:pPr>
                                      <w:r>
                                        <w:rPr>
                                          <w:rFonts w:ascii="Arial" w:hAnsi="Arial"/>
                                          <w:sz w:val="15"/>
                                        </w:rPr>
                                        <w:t>Nu</w:t>
                                      </w:r>
                                    </w:p>
                                  </w:txbxContent>
                                </v:textbox>
                              </v:shape>
                            </v:group>
                          </v:group>
                          <v:shape id="Arc 173" o:spid="_x0000_s1100" style="position:absolute;left:2060;top:7704;width:2841;height:1968;rotation:-7661320fd;flip:y;visibility:visible;mso-wrap-style:square;v-text-anchor:top" coordsize="39256,3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" path="m,9157nfc4046,3415,10631,-1,17656,,29585,,39256,9670,39256,21600v,3057,-650,6080,-1905,8869em,9157nsc4046,3415,10631,-1,17656,,29585,,39256,9670,39256,21600v,3057,-650,6080,-1905,8869l17656,21600,,9157xe" filled="f">
                            <v:stroke endarrow="block"/>
                            <v:path arrowok="t" o:extrusionok="f" o:connecttype="custom" o:connectlocs="0,591;2703,1968;1278,1395" o:connectangles="0,0,0"/>
                          </v:shape>
                          <v:shape id="Text Box 7" o:spid="_x0000_s1101" type="#_x0000_t202" style="position:absolute;left:4155;top:5392;width:2675;height: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" filled="f" stroked="f">
                            <v:textbox>
                              <w:txbxContent>
                                <w:p w:rsidR="00190D26" w:rsidRPr="000F1A44" w:rsidRDefault="00190D26" w:rsidP="00567D54">
                                  <w:pPr>
                                    <w:jc w:val="center"/>
                                    <w:rPr>
                                      <w:rFonts w:ascii="Arial" w:hAnsi="Arial"/>
                                      <w:sz w:val="15"/>
                                      <w:szCs w:val="15"/>
                                    </w:rPr>
                                  </w:pPr>
                                  <w:r>
                                    <w:rPr>
                                      <w:rFonts w:ascii="Arial" w:hAnsi="Arial"/>
                                      <w:sz w:val="15"/>
                                    </w:rPr>
                                    <w:t>Au expirat drepturile la fluxurile de trezorerie provenite din activ?</w:t>
                                  </w:r>
                                  <w:r>
                                    <w:rPr>
                                      <w:rFonts w:ascii="Arial" w:hAnsi="Arial"/>
                                      <w:sz w:val="15"/>
                                      <w:szCs w:val="15"/>
                                    </w:rPr>
                                    <w:br/>
                                  </w:r>
                                  <w:r>
                                    <w:rPr>
                                      <w:rFonts w:ascii="Arial" w:hAnsi="Arial"/>
                                      <w:sz w:val="15"/>
                                    </w:rPr>
                                    <w:t>[Punctul 3.2.3 litera (a)]</w:t>
                                  </w:r>
                                </w:p>
                                <w:p w:rsidR="00190D26" w:rsidRDefault="00190D26" w:rsidP="00567D54"/>
                              </w:txbxContent>
                            </v:textbox>
                          </v:shape>
                          <v:shape id="Flowchart: Connector 60" o:spid="_x0000_s1102" type="#_x0000_t120" style="position:absolute;left:3805;top:6722;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" filled="f">
                            <v:textbox>
                              <w:txbxContent>
                                <w:p w:rsidR="00190D26" w:rsidRPr="00B62E0F" w:rsidRDefault="00190D26" w:rsidP="00567D54">
                                  <w:pPr>
                                    <w:rPr>
                                      <w:rFonts w:ascii="Arial" w:hAnsi="Arial"/>
                                      <w:sz w:val="15"/>
                                      <w:szCs w:val="15"/>
                                    </w:rPr>
                                  </w:pPr>
                                </w:p>
                              </w:txbxContent>
                            </v:textbox>
                          </v:shape>
                        </v:group>
                        <v:shape id="Text Box 37" o:spid="_x0000_s1103" type="#_x0000_t202" style="position:absolute;left:7712;top:33793;width:21603;height:5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" filled="f" stroked="f">
                          <v:textbox>
                            <w:txbxContent>
                              <w:p w:rsidR="00190D26" w:rsidRPr="000F1A44" w:rsidRDefault="00190D26" w:rsidP="00567D54">
                                <w:pPr>
                                  <w:jc w:val="center"/>
                                  <w:rPr>
                                    <w:rFonts w:ascii="Arial" w:hAnsi="Arial"/>
                                    <w:sz w:val="15"/>
                                    <w:szCs w:val="15"/>
                                  </w:rPr>
                                </w:pPr>
                                <w:r>
                                  <w:rPr>
                                    <w:rFonts w:ascii="Arial" w:hAnsi="Arial"/>
                                    <w:sz w:val="15"/>
                                  </w:rPr>
                                  <w:t>Şi-a asumat entitatea o obligaţie de a plăti fluxurile de trezorerie din activul care întruneşte condiţiile de la punctul 3.2.5?</w:t>
                                </w:r>
                                <w:r>
                                  <w:rPr>
                                    <w:rFonts w:ascii="Arial" w:hAnsi="Arial"/>
                                    <w:sz w:val="15"/>
                                    <w:szCs w:val="15"/>
                                  </w:rPr>
                                  <w:br/>
                                </w:r>
                                <w:r>
                                  <w:rPr>
                                    <w:rFonts w:ascii="Arial" w:hAnsi="Arial"/>
                                    <w:sz w:val="15"/>
                                  </w:rPr>
                                  <w:t>[Punctul 3.2.4 litera (b)]</w:t>
                                </w:r>
                              </w:p>
                              <w:p w:rsidR="00190D26" w:rsidRDefault="00190D26" w:rsidP="00567D54"/>
                            </w:txbxContent>
                          </v:textbox>
                        </v:shape>
                        <v:group id="_x0000_s1104" style="position:absolute;left:18526;top:29976;width:3251;height:2775" coordorigin="5411,7758" coordsize="51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Text Box 38" o:spid="_x0000_s1105" type="#_x0000_t202" style="position:absolute;left:5413;top:7830;width:51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" filled="f" stroked="f">
                            <v:textbox>
                              <w:txbxContent>
                                <w:p w:rsidR="00190D26" w:rsidRDefault="00190D26" w:rsidP="00567D54">
                                  <w:pPr>
                                    <w:jc w:val="center"/>
                                  </w:pPr>
                                  <w:r>
                                    <w:rPr>
                                      <w:rFonts w:ascii="Arial" w:hAnsi="Arial"/>
                                      <w:sz w:val="15"/>
                                    </w:rPr>
                                    <w:t>Nu</w:t>
                                  </w:r>
                                </w:p>
                                <w:p w:rsidR="00190D26" w:rsidRDefault="00190D26" w:rsidP="00567D54"/>
                              </w:txbxContent>
                            </v:textbox>
                          </v:shape>
                          <v:shape id="Straight Arrow Connector 45" o:spid="_x0000_s1106" type="#_x0000_t34" style="position:absolute;left:5193;top:7976;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" adj="10775">
                            <v:stroke endarrow="block"/>
                          </v:shape>
                        </v:group>
                        <v:shape id="Text Box 29" o:spid="_x0000_s1107" type="#_x0000_t202" style="position:absolute;left:8110;top:24649;width:20917;height:5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" filled="f" stroked="f">
                          <v:textbox>
                            <w:txbxContent>
                              <w:p w:rsidR="00190D26" w:rsidRPr="000F1A44" w:rsidRDefault="00190D26" w:rsidP="00567D54">
                                <w:pPr>
                                  <w:jc w:val="center"/>
                                  <w:rPr>
                                    <w:rFonts w:ascii="Arial" w:hAnsi="Arial"/>
                                    <w:sz w:val="15"/>
                                    <w:szCs w:val="15"/>
                                  </w:rPr>
                                </w:pPr>
                                <w:r>
                                  <w:rPr>
                                    <w:rFonts w:ascii="Arial" w:hAnsi="Arial"/>
                                    <w:sz w:val="15"/>
                                  </w:rPr>
                                  <w:t>A transferat entitatea drepturile sale de a primi fluxurile de trezorerie provenite din activ?</w:t>
                                </w:r>
                                <w:r>
                                  <w:rPr>
                                    <w:rFonts w:ascii="Arial" w:hAnsi="Arial"/>
                                    <w:sz w:val="15"/>
                                    <w:szCs w:val="15"/>
                                  </w:rPr>
                                  <w:br/>
                                </w:r>
                                <w:r>
                                  <w:rPr>
                                    <w:rFonts w:ascii="Arial" w:hAnsi="Arial"/>
                                    <w:sz w:val="15"/>
                                  </w:rPr>
                                  <w:t>[Punctul 3.2.4 litera (a)]</w:t>
                                </w:r>
                              </w:p>
                              <w:p w:rsidR="00190D26" w:rsidRDefault="00190D26" w:rsidP="00567D54"/>
                            </w:txbxContent>
                          </v:textbox>
                        </v:shape>
                      </v:group>
                    </v:group>
                  </v:group>
                </v:group>
                <v:shape id="Text Box 16" o:spid="_x0000_s1108" type="#_x0000_t202" style="position:absolute;top:34826;width:3956;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" filled="f" stroked="f">
                  <v:textbox>
                    <w:txbxContent>
                      <w:p w:rsidR="00190D26" w:rsidRDefault="00190D26" w:rsidP="00567D54">
                        <w:pPr>
                          <w:shd w:val="clear" w:color="auto" w:fill="FFFFFF"/>
                          <w:jc w:val="center"/>
                        </w:pPr>
                        <w:r>
                          <w:rPr>
                            <w:rFonts w:ascii="Arial" w:hAnsi="Arial"/>
                            <w:sz w:val="15"/>
                          </w:rPr>
                          <w:t>Da</w:t>
                        </w:r>
                      </w:p>
                    </w:txbxContent>
                  </v:textbox>
                </v:shape>
              </v:group>
            </w:pict>
          </mc:Fallback>
        </mc:AlternateContent>
      </w: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5B553B" w:rsidRDefault="005B553B">
      <w:pPr>
        <w:pStyle w:val="IASBNormalnpara"/>
      </w:pPr>
    </w:p>
    <w:p w:rsidR="00AC292A" w:rsidRDefault="00AC292A">
      <w:pPr>
        <w:pStyle w:val="IASBSectionTitle4Ind"/>
      </w:pPr>
      <w:bookmarkStart w:id="506" w:name="F32570878"/>
      <w:r>
        <w:lastRenderedPageBreak/>
        <w:t>Angajamente conform cărora o entitate păstrează drepturile contractuale de a primi fluxurile de trezorerie dintr-un activ financiar, dar îşi asumă o obligaţie contractuală de a plăti fluxurile de trezorerie unuia sau mai multor beneficiari (punctul 3.2.4 litera (b))</w:t>
      </w:r>
      <w:bookmarkEnd w:id="506"/>
    </w:p>
    <w:p w:rsidR="00AC292A" w:rsidRDefault="00AC292A">
      <w:pPr>
        <w:pStyle w:val="IASBNormalnpara"/>
      </w:pPr>
      <w:r>
        <w:t>B3.2.2</w:t>
      </w:r>
      <w:r>
        <w:tab/>
      </w:r>
      <w:bookmarkStart w:id="507" w:name="F32570879"/>
      <w:r>
        <w:t>Situația descrisă la punctul 3.2.4 litera (b) (atunci când o entitate păstrează drepturile contractuale de a primi fluxurile de trezorerie din activul financiar, dar își asumă o obligație contractuală de a plăti fluxurile de trezorerie unuia sau mai multor beneficiari) are loc dacă, de exemplu, o entitate este un trust și emite investitorilor săi interese generatoare de beneficii în activele financiare de bază pe care le deține și oferă servicii pentru activele financiare respective. În acest caz, activele financiare îndeplinesc condiţiile pentru derecunoaştere dacă sunt îndeplinite condiţiile de la punctele 3.2.5 şi 3.2.6.</w:t>
      </w:r>
      <w:bookmarkEnd w:id="507"/>
    </w:p>
    <w:p w:rsidR="00AC292A" w:rsidRDefault="00AC292A">
      <w:pPr>
        <w:pStyle w:val="IASBNormalnpara"/>
      </w:pPr>
      <w:r>
        <w:t>B3.2.3</w:t>
      </w:r>
      <w:r>
        <w:tab/>
      </w:r>
      <w:bookmarkStart w:id="508" w:name="F32570880"/>
      <w:r>
        <w:t>La aplicarea punctului 3.2.5, entitatea poate fi, de exemplu, inițiatorul activului financiar sau poate fi un grup care include o filială care a achiziționat activul financiar și care transferă fluxurile de trezorerie unor investitori terți neafiliați.</w:t>
      </w:r>
      <w:bookmarkEnd w:id="508"/>
    </w:p>
    <w:p w:rsidR="00AC292A" w:rsidRDefault="00AC292A">
      <w:pPr>
        <w:pStyle w:val="IASBSectionTitle4Ind"/>
      </w:pPr>
      <w:bookmarkStart w:id="509" w:name="F32570884"/>
      <w:r>
        <w:t>Evaluarea transferului riscurilor şi recompenselor aferente dreptului de proprietate (punctul 3.2.6)</w:t>
      </w:r>
      <w:bookmarkEnd w:id="509"/>
    </w:p>
    <w:p w:rsidR="00AC292A" w:rsidRDefault="00AC292A">
      <w:pPr>
        <w:pStyle w:val="IASBNormalnpara"/>
      </w:pPr>
      <w:r>
        <w:t>B3.2.4</w:t>
      </w:r>
      <w:r>
        <w:tab/>
      </w:r>
      <w:bookmarkStart w:id="510" w:name="F32570885"/>
      <w:r>
        <w:t xml:space="preserve">Exemple de cazuri în care o entitate a transferat majoritatea riscurilor şi recompenselor aferente dreptului de proprietate sunt: </w:t>
      </w:r>
      <w:bookmarkEnd w:id="510"/>
    </w:p>
    <w:p w:rsidR="00AC292A" w:rsidRDefault="00AC292A">
      <w:pPr>
        <w:pStyle w:val="IASBNormalnparaL1"/>
      </w:pPr>
      <w:r>
        <w:t>(a)</w:t>
      </w:r>
      <w:r>
        <w:tab/>
      </w:r>
      <w:bookmarkStart w:id="511" w:name="F32570888"/>
      <w:r>
        <w:t>o vânzare necondiţionată a unui activ financiar;</w:t>
      </w:r>
      <w:bookmarkEnd w:id="511"/>
    </w:p>
    <w:p w:rsidR="00AC292A" w:rsidRDefault="00AC292A">
      <w:pPr>
        <w:pStyle w:val="IASBNormalnparaL1"/>
      </w:pPr>
      <w:r>
        <w:t>(b)</w:t>
      </w:r>
      <w:r>
        <w:tab/>
      </w:r>
      <w:bookmarkStart w:id="512" w:name="F32570890"/>
      <w:r>
        <w:t>o vânzare a unui activ financiar împreună cu o opţiune de a răscumpăra activul financiar la valoarea sa justă de la momentul răscumpărării; și</w:t>
      </w:r>
      <w:bookmarkEnd w:id="512"/>
    </w:p>
    <w:p w:rsidR="00AC292A" w:rsidRDefault="00AC292A">
      <w:pPr>
        <w:pStyle w:val="IASBNormalnparaL1"/>
      </w:pPr>
      <w:r>
        <w:t>(c)</w:t>
      </w:r>
      <w:r>
        <w:tab/>
      </w:r>
      <w:bookmarkStart w:id="513" w:name="F32570892"/>
      <w:r>
        <w:t>o vânzare a unui activ financiar împreună cu o opţiune put sau call care este foarte mult în afara banilor („deeply out of the money”) (adică o opţiune care este atât de mult în afara banilor („so far out of the money”) încât este foarte puţin probabil să ajungă în bani („into the money”) înainte de expirare).</w:t>
      </w:r>
      <w:bookmarkEnd w:id="513"/>
    </w:p>
    <w:p w:rsidR="00AC292A" w:rsidRDefault="00AC292A">
      <w:pPr>
        <w:pStyle w:val="IASBNormalnpara"/>
      </w:pPr>
      <w:r>
        <w:t>B3.2.5</w:t>
      </w:r>
      <w:r>
        <w:tab/>
      </w:r>
      <w:bookmarkStart w:id="514" w:name="F32570895"/>
      <w:r>
        <w:t xml:space="preserve">Exemple de cazuri în care o entitate a păstrat majoritatea riscurilor şi recompenselor aferente dreptului de proprietate sunt: </w:t>
      </w:r>
      <w:bookmarkEnd w:id="514"/>
    </w:p>
    <w:p w:rsidR="00AC292A" w:rsidRDefault="00AC292A">
      <w:pPr>
        <w:pStyle w:val="IASBNormalnparaL1"/>
      </w:pPr>
      <w:r>
        <w:t>(a)</w:t>
      </w:r>
      <w:r>
        <w:tab/>
      </w:r>
      <w:bookmarkStart w:id="515" w:name="F32570898"/>
      <w:r>
        <w:t>o tranzacţie de vânzare şi răscumpărare acolo unde preţul de răscumpărare este un preţ fix sau preţul de vânzare plus rentabilitatea creditorului;</w:t>
      </w:r>
      <w:bookmarkEnd w:id="515"/>
    </w:p>
    <w:p w:rsidR="00AC292A" w:rsidRDefault="00AC292A">
      <w:pPr>
        <w:pStyle w:val="IASBNormalnparaL1"/>
      </w:pPr>
      <w:r>
        <w:t>(b)</w:t>
      </w:r>
      <w:r>
        <w:tab/>
      </w:r>
      <w:bookmarkStart w:id="516" w:name="F32570900"/>
      <w:r>
        <w:t>un acord de împrumut de titluri de valoare;</w:t>
      </w:r>
      <w:bookmarkEnd w:id="516"/>
    </w:p>
    <w:p w:rsidR="00AC292A" w:rsidRDefault="00AC292A">
      <w:pPr>
        <w:pStyle w:val="IASBNormalnparaL1"/>
      </w:pPr>
      <w:r>
        <w:t>(c)</w:t>
      </w:r>
      <w:r>
        <w:tab/>
      </w:r>
      <w:bookmarkStart w:id="517" w:name="F32570902"/>
      <w:r>
        <w:t>o vânzare a unui activ financiar împreună cu un swap global de randament care transferă înapoi entităţii expunerea la riscurile pieţei;</w:t>
      </w:r>
      <w:bookmarkEnd w:id="517"/>
    </w:p>
    <w:p w:rsidR="00AC292A" w:rsidRDefault="00AC292A">
      <w:pPr>
        <w:pStyle w:val="IASBNormalnparaL1"/>
      </w:pPr>
      <w:r>
        <w:t>(d)</w:t>
      </w:r>
      <w:r>
        <w:tab/>
      </w:r>
      <w:bookmarkStart w:id="518" w:name="F32570904"/>
      <w:r>
        <w:t>o vânzare a unui activ financiar împreună cu o opţiune put sau call foarte mult în bani („deep in the money”) (adică o opţiune care este atât de mult în bani („so far in the money”) încât este foarte puţin probabil să ajungă în afara banilor („out of the money”) înainte de expirare); și</w:t>
      </w:r>
      <w:bookmarkEnd w:id="518"/>
    </w:p>
    <w:p w:rsidR="00AC292A" w:rsidRDefault="00AC292A">
      <w:pPr>
        <w:pStyle w:val="IASBNormalnparaL1"/>
      </w:pPr>
      <w:r>
        <w:t>(e)</w:t>
      </w:r>
      <w:r>
        <w:tab/>
      </w:r>
      <w:bookmarkStart w:id="519" w:name="F32570906"/>
      <w:r>
        <w:t>o vânzare a creanţelor pe termen scurt în care entitatea garantează să compenseze entitatea căreia i se transferă activul pentru pierderile probabile din creditare.</w:t>
      </w:r>
      <w:bookmarkEnd w:id="519"/>
    </w:p>
    <w:p w:rsidR="00AC292A" w:rsidRDefault="00AC292A">
      <w:pPr>
        <w:pStyle w:val="IASBNormalnpara"/>
      </w:pPr>
      <w:r>
        <w:t>B3.2.6</w:t>
      </w:r>
      <w:r>
        <w:tab/>
      </w:r>
      <w:bookmarkStart w:id="520" w:name="F32570909"/>
      <w:r>
        <w:t>Dacă o entitate determină că, drept rezultat al transferului, a transferat majoritatea riscurilor şi recompenselor aferente dreptului de proprietate asupra activului transferat, ea nu recunoaşte din nou activul transferat într-o perioadă viitoare decât dacă reachiziţionează activul transferat printr-o nouă tranzacţie.</w:t>
      </w:r>
      <w:bookmarkEnd w:id="520"/>
    </w:p>
    <w:p w:rsidR="00AC292A" w:rsidRDefault="00AC292A">
      <w:pPr>
        <w:pStyle w:val="IASBSectionTitle4Ind"/>
      </w:pPr>
      <w:bookmarkStart w:id="521" w:name="F32570911"/>
      <w:r>
        <w:t>Evaluarea transferului de control</w:t>
      </w:r>
      <w:bookmarkEnd w:id="521"/>
    </w:p>
    <w:p w:rsidR="00AC292A" w:rsidRDefault="00AC292A">
      <w:pPr>
        <w:pStyle w:val="IASBNormalnpara"/>
      </w:pPr>
      <w:r>
        <w:t>B3.2.7</w:t>
      </w:r>
      <w:r>
        <w:tab/>
      </w:r>
      <w:bookmarkStart w:id="522" w:name="F32570914"/>
      <w:r>
        <w:t xml:space="preserve">O entitate nu a păstrat controlul asupra unui activ transferat dacă entitatea căreia i se transferă activul are capacitatea practică de a vinde activul transferat. O entitate a păstrat controlul asupra unui activ transferat dacă entitatea căreia i se transferă activul nu are capacitatea practică de a vinde activul transferat. O entitate căreia i se transferă activul are capacitatea practică de a vinde activul transferat dacă acesta este tranzacţionat pe o piaţă activă, deoarece entitatea căreia i se transferă activul ar putea răscumpăra activul transferat pe piaţă dacă ar trebui să returneze activul entităţii. De exemplu, o entitate căreia i se transferă activul poate avea capacitatea practică de a vinde un activ transferat dacă activul transferat face obiectul unei opţiuni care îi permite entităţii să îl răscumpere, dar entitatea căreia i se transferă activul poate să obţină foarte uşor activul transferat pe piaţă dacă opţiunea este exercitată. Entitatea căreia i se transferă activul nu are capacitatea practică de a vinde un activ transferat dacă entitatea păstrează o astfel de opţiune, </w:t>
      </w:r>
      <w:r>
        <w:lastRenderedPageBreak/>
        <w:t>iar entitatea căreia i se transferă activul nu poate să obţină uşor activul transferat pe piaţă dacă entitatea îşi exercită opţiunea.</w:t>
      </w:r>
      <w:bookmarkEnd w:id="522"/>
    </w:p>
    <w:p w:rsidR="00AC292A" w:rsidRDefault="00AC292A">
      <w:pPr>
        <w:pStyle w:val="IASBNormalnpara"/>
      </w:pPr>
      <w:r>
        <w:t>B3.2.8</w:t>
      </w:r>
      <w:r>
        <w:tab/>
      </w:r>
      <w:bookmarkStart w:id="523" w:name="F32570919"/>
      <w:r>
        <w:t xml:space="preserve">Entitatea căreia i se transferă activul are capacitatea practică de a vinde activul transferat doar dacă entitatea căreia i se transferă activul poate vinde activul transferat în întregime unui terţ neafiliat şi dacă poate să îşi exercite acea capacitate unilateral şi fără a impune restricţii suplimentare transferului. Problema critică este ce poate face în practică entitatea căreia i se transferă activul, şi nu ce drepturi contractuale are aceasta cu privire la ce poate face cu activul transferat sau la interdicţiile contractuale care există. În special: </w:t>
      </w:r>
      <w:bookmarkEnd w:id="523"/>
    </w:p>
    <w:p w:rsidR="00AC292A" w:rsidRDefault="00AC292A">
      <w:pPr>
        <w:pStyle w:val="IASBNormalnparaL1"/>
      </w:pPr>
      <w:r>
        <w:t>(a)</w:t>
      </w:r>
      <w:r>
        <w:tab/>
      </w:r>
      <w:bookmarkStart w:id="524" w:name="F32570922"/>
      <w:r>
        <w:t>un drept contractual de a ceda activul transferat are un efect practic nesemnificativ dacă nu există o piaţă pentru activul transferat, şi</w:t>
      </w:r>
      <w:bookmarkEnd w:id="524"/>
    </w:p>
    <w:p w:rsidR="00AC292A" w:rsidRDefault="00AC292A">
      <w:pPr>
        <w:pStyle w:val="IASBNormalnparaL1"/>
      </w:pPr>
      <w:r>
        <w:t>(b)</w:t>
      </w:r>
      <w:r>
        <w:tab/>
      </w:r>
      <w:bookmarkStart w:id="525" w:name="F32570924"/>
      <w:r>
        <w:t>capacitatea de a ceda activul transferat are un efect practic nesemnificativ dacă nu poate fi exercitată liber. Din acest motiv:</w:t>
      </w:r>
      <w:bookmarkEnd w:id="525"/>
    </w:p>
    <w:p w:rsidR="00AC292A" w:rsidRDefault="00AC292A">
      <w:pPr>
        <w:pStyle w:val="IASBNormalnparaL2"/>
      </w:pPr>
      <w:r>
        <w:t>(i)</w:t>
      </w:r>
      <w:r>
        <w:tab/>
      </w:r>
      <w:bookmarkStart w:id="526" w:name="F32570927"/>
      <w:r>
        <w:t>capacitatea entităţii căreia i se transferă activul de a ceda activul transferat trebuie să fie independentă de acţiunile altora (adică trebuie să fie o capacitate unilaterală), şi</w:t>
      </w:r>
      <w:bookmarkEnd w:id="526"/>
    </w:p>
    <w:p w:rsidR="00AC292A" w:rsidRDefault="00AC292A">
      <w:pPr>
        <w:pStyle w:val="IASBNormalnparaL2"/>
      </w:pPr>
      <w:r>
        <w:t>(ii)</w:t>
      </w:r>
      <w:r>
        <w:tab/>
      </w:r>
      <w:bookmarkStart w:id="527" w:name="F32570929"/>
      <w:r>
        <w:t>entitatea căreia i se transferă activul trebuie să fie capabilă să cedeze activul transferat fără a trebui să impună transferului condiţii restrictive sau „obligaţii conexe” (de exemplu, condiţii privind modul de administrare a unui împrumut sau a unei opţiuni care să îi dea entităţii căreia i se transferă activul dreptul de a răscumpăra activul).</w:t>
      </w:r>
      <w:bookmarkEnd w:id="527"/>
    </w:p>
    <w:p w:rsidR="00AC292A" w:rsidRDefault="00AC292A">
      <w:pPr>
        <w:pStyle w:val="IASBNormalnpara"/>
      </w:pPr>
      <w:r>
        <w:t>B3.2.9</w:t>
      </w:r>
      <w:r>
        <w:tab/>
      </w:r>
      <w:bookmarkStart w:id="528" w:name="F32570934"/>
      <w:r>
        <w:t>Faptul că este improbabil ca entitatea căreia i se transferă activul să vândă activul transferat nu înseamnă, în sine, că entitatea care transferă activul a păstrat controlul asupra activului transferat. Totuși, dacă o opţiune put sau o garanţie împiedică entitatea căreia i se transferă activul să vândă activul transferat, entitatea care transferă activul a păstrat controlul asupra activului transferat. De exemplu, dacă o opţiune put sau o garanţie este suficient de valoroasă, ea împiedică entitatea căreia i se transferă activul să vândă activul transferat deoarece entitatea căreia i se transferă activul, în practică, nu ar vinde activul transferat unui terţ fără a-i ataşa o opţiune similară sau alte condiţii restrictive. În schimb, entitatea căreia i se transferă activul ar păstra activul transferat astfel încât să obţină plăţi în baza garanţiei sau a opţiunii put. În aceste condiţii, entitatea care transferă activul a păstrat controlul asupra activului transferat.</w:t>
      </w:r>
      <w:bookmarkEnd w:id="528"/>
    </w:p>
    <w:p w:rsidR="00AC292A" w:rsidRDefault="00AC292A">
      <w:pPr>
        <w:pStyle w:val="IASBSectionTitle3Ind"/>
      </w:pPr>
      <w:bookmarkStart w:id="529" w:name="F32570941"/>
      <w:r>
        <w:t>Transferuri care îndeplinesc condiţiile pentru derecunoaştere</w:t>
      </w:r>
      <w:bookmarkEnd w:id="529"/>
    </w:p>
    <w:p w:rsidR="00AC292A" w:rsidRDefault="00AC292A">
      <w:pPr>
        <w:pStyle w:val="IASBNormalnpara"/>
      </w:pPr>
      <w:r>
        <w:t>B3.2.10</w:t>
      </w:r>
      <w:r>
        <w:tab/>
      </w:r>
      <w:bookmarkStart w:id="530" w:name="F32570942"/>
      <w:r>
        <w:t>O entitate poate păstra dreptul asupra unei părţi din plăţile dobânzii din activele transferate drept compensare pentru administrarea acelor active. Partea din plăţile dobânzii la care entitatea ar renunţa la rezilierea sau la transferul contractului de administrare este alocată activului administrat sau datoriei administrate. Partea din plăţile dobânzii la care entitatea nu ar renunţa este o creanţă cu componentă de dobândă. De exemplu, dacă entitatea nu ar renunţa la nicio dobândă la rezilierea sau transferul contractului de administrare, întreaga dobândă este o creanţă cu componentă de dobândă. În sensul aplicării punctului 3.2.13, valorile juste ale activului de administrare şi ale creanţei cu componentă de dobândă sunt utilizate pentru a împărţi valoarea contabilă a creanţei între partea activului care este derecunoscută şi partea care continuă să fie recunoscută. Dacă nu există niciun comision specificat pentru administrare sau comisionul ce trebuie primit nu se preconizează să compenseze entitatea în mod adecvat pentru administrare, o datorie pentru obligaţia de administrare este recunoscută la valoarea justă.</w:t>
      </w:r>
      <w:bookmarkEnd w:id="530"/>
    </w:p>
    <w:p w:rsidR="00AC292A" w:rsidRDefault="00AC292A">
      <w:pPr>
        <w:pStyle w:val="IASBNormalnpara"/>
      </w:pPr>
      <w:r>
        <w:t>B3.2.11</w:t>
      </w:r>
      <w:r>
        <w:tab/>
      </w:r>
      <w:bookmarkStart w:id="531" w:name="F32570946"/>
      <w:r>
        <w:t xml:space="preserve">Atunci când se evaluează valoarea justă a părţii care continuă să fie recunoscută şi a părţii care este derecunoscută în scopul aplicării punctului 3.2.13, o entitate aplică dispoziţiile de evaluare la valoarea justă din IFRS 13 </w:t>
      </w:r>
      <w:r>
        <w:rPr>
          <w:i/>
        </w:rPr>
        <w:t>Evaluarea la valoarea justă</w:t>
      </w:r>
      <w:r>
        <w:t xml:space="preserve"> suplimentar faţă de cele de la punctul 3.2.14.</w:t>
      </w:r>
      <w:bookmarkEnd w:id="531"/>
    </w:p>
    <w:p w:rsidR="00AC292A" w:rsidRDefault="00AC292A">
      <w:pPr>
        <w:pStyle w:val="IASBSectionTitle3Ind"/>
      </w:pPr>
      <w:bookmarkStart w:id="532" w:name="F32570951"/>
      <w:r>
        <w:t>Transferuri care nu îndeplinesc condiţiile pentru derecunoaştere</w:t>
      </w:r>
      <w:bookmarkEnd w:id="532"/>
    </w:p>
    <w:p w:rsidR="00AC292A" w:rsidRDefault="00AC292A">
      <w:pPr>
        <w:pStyle w:val="IASBNormalnpara"/>
      </w:pPr>
      <w:r>
        <w:t>B3.2.12</w:t>
      </w:r>
      <w:r>
        <w:tab/>
      </w:r>
      <w:bookmarkStart w:id="533" w:name="F32570952"/>
      <w:r>
        <w:t>Ceea ce urmează este o aplicare a principiului prezentat la punctul 3.2.15. Dacă o garanţie oferită de entitate pentru pierderile din neîndeplinirea obligaţiilor pentru activul transferat împiedică derecunoaşterea activului transferat deoarece entitatea a păstrat majoritatea riscurilor şi recompenselor aferente dreptului de proprietate asupra activului transferat, activul transferat continuă să fie recunoscut în întregime, iar contravaloarea primită este recunoscută ca datorie.</w:t>
      </w:r>
      <w:bookmarkEnd w:id="533"/>
    </w:p>
    <w:p w:rsidR="00AC292A" w:rsidRDefault="00AC292A">
      <w:pPr>
        <w:pStyle w:val="IASBSectionTitle3Ind"/>
      </w:pPr>
      <w:bookmarkStart w:id="534" w:name="F32570956"/>
      <w:r>
        <w:t>Implicarea continuă în activele transferate</w:t>
      </w:r>
      <w:bookmarkEnd w:id="534"/>
    </w:p>
    <w:p w:rsidR="00AC292A" w:rsidRDefault="00AC292A">
      <w:pPr>
        <w:pStyle w:val="IASBNormalnpara"/>
      </w:pPr>
      <w:r>
        <w:t>B3.2.13</w:t>
      </w:r>
      <w:r>
        <w:tab/>
      </w:r>
      <w:bookmarkStart w:id="535" w:name="F32570957"/>
      <w:r>
        <w:t xml:space="preserve">Următoarele sunt exemple de moduri în care o entitate evaluează un activ transferat şi datoria asociată în conformitate cu punctul 3.2.16. </w:t>
      </w:r>
      <w:bookmarkEnd w:id="535"/>
    </w:p>
    <w:p w:rsidR="00AC292A" w:rsidRDefault="00AC292A">
      <w:pPr>
        <w:pStyle w:val="IASBSectionTitle4Ind"/>
      </w:pPr>
      <w:bookmarkStart w:id="536" w:name="F32570959"/>
      <w:r>
        <w:lastRenderedPageBreak/>
        <w:t>Toate activele</w:t>
      </w:r>
      <w:bookmarkEnd w:id="536"/>
    </w:p>
    <w:p w:rsidR="00AC292A" w:rsidRDefault="00AC292A">
      <w:pPr>
        <w:pStyle w:val="IASBNormalnparaL1"/>
      </w:pPr>
      <w:r>
        <w:t>(a)</w:t>
      </w:r>
      <w:r>
        <w:tab/>
      </w:r>
      <w:bookmarkStart w:id="537" w:name="F32570963"/>
      <w:r>
        <w:t>Dacă o garanţie oferită de entitate pentru a plăti pentru pierderile din neîndeplinirea obligaţiilor pentru activul transferat împiedică derecunoaşterea activului transferat în măsura implicării continue, activul transferat este evaluat la data transferului la cea mai mică valoare dintre (i) valoarea contabilă a activului şi (ii) valoarea maximă a contravalorii primite în transfer pe care entitatea ar putea să fie nevoită să o ramburseze („valoarea garanţiei”). Datoria asociată este evaluată iniţial la valoarea garanţiei plus valoarea justă a garanţiei (care este în mod normal contravaloarea primită pentru garanţie). Ulterior, valoarea justă iniţială a garanţiei este recunoscută în profit sau pierdere atunci când (sau pe măsură ce) obligaţia este îndeplinită (în conformitate cu principiile din IFRS 15), iar valoarea contabilă a activului este redusă prin orice ajustare pentru pierderi.</w:t>
      </w:r>
      <w:bookmarkEnd w:id="537"/>
    </w:p>
    <w:p w:rsidR="00AC292A" w:rsidRDefault="00AC292A">
      <w:pPr>
        <w:pStyle w:val="IASBSectionTitle4Ind"/>
      </w:pPr>
      <w:bookmarkStart w:id="538" w:name="F32570965"/>
      <w:r>
        <w:t>Active evaluate la costul amortizat</w:t>
      </w:r>
      <w:bookmarkEnd w:id="538"/>
    </w:p>
    <w:p w:rsidR="00AC292A" w:rsidRDefault="00AC292A">
      <w:pPr>
        <w:pStyle w:val="IASBNormalnparaL1"/>
      </w:pPr>
      <w:r>
        <w:t>(b)</w:t>
      </w:r>
      <w:r>
        <w:tab/>
      </w:r>
      <w:bookmarkStart w:id="539" w:name="F32570969"/>
      <w:r>
        <w:t>Dacă o obligaţie de opţiune put emisă de o entitate sau un drept de opţiune call deţinut de entitate împiedică derecunoaşterea unui activ transferat, iar entitatea evaluează activul transferat la costul amortizat, datoria asociată este evaluată la costul său (adică contravaloarea primită) ajustat pentru amortizarea oricărei diferenţe dintre acel cost şi valoarea contabilă brută a activului transferat la data expirării opţiunii. De exemplu, să presupunem că acea valoare contabilă brută a activului la data transferului este de 98 u.m., iar contravaloarea primită este de 95 u.m. Valoarea contabilă brută a activului la data de exercitare a opţiunii va fi de 100 u.m. Valoarea contabilă iniţială a datoriei asociate este de 95 u.m., iar diferenţa dintre 95 u.m. şi 100 u.m. este recunoscută în profit sau pierdere utilizându-se metoda dobânzii efective. Dacă opţiunea este exercitată, orice diferenţă dintre valoarea contabilă a datoriei asociate şi preţul de exercitare este recunoscută în profit sau pierdere.</w:t>
      </w:r>
      <w:bookmarkEnd w:id="539"/>
    </w:p>
    <w:p w:rsidR="00AC292A" w:rsidRDefault="00AC292A">
      <w:pPr>
        <w:pStyle w:val="IASBSectionTitle4Ind"/>
      </w:pPr>
      <w:bookmarkStart w:id="540" w:name="F32570971"/>
      <w:r>
        <w:t>Active evaluate la valoarea justă</w:t>
      </w:r>
      <w:bookmarkEnd w:id="540"/>
    </w:p>
    <w:p w:rsidR="00AC292A" w:rsidRDefault="00AC292A">
      <w:pPr>
        <w:pStyle w:val="IASBNormalnparaL1"/>
      </w:pPr>
      <w:r>
        <w:t>(c)</w:t>
      </w:r>
      <w:r>
        <w:tab/>
      </w:r>
      <w:bookmarkStart w:id="541" w:name="SL32570975"/>
      <w:r>
        <w:t>Dacă un drept de opţiune call păstrat de o entitate împiedică derecunoaşterea unui activ transferat, iar entitatea evaluează activul transferat la valoarea justă, activul continuă să fie evaluat la valoarea sa justă. Datoria asociată este evaluată la (i) preţul de exercitare al opţiunii minus valoarea-timp a opţiunii dacă opţiunea este în sau la paritate („in or at the money”) sau (ii) valoarea justă a activului transferat minus valoarea-timp a opţiunii dacă opţiunea este în afara banilor („out of the money”). Ajustarea evaluării datoriei asociate asigură faptul că valoarea contabilă netă a activului şi a datoriei asociate este valoarea justă a dreptului de opţiune call. De exemplu, dacă valoarea justă a activului-suport este 80 u.m., preţul de exercitare al opţiunii este 95 u.m., iar valoarea-timp a opţiunii este 5 u.m., valoarea contabilă a datoriei asociate este 75 u.m. (80 u.m. - 5 u.m.), iar valoarea contabilă a activului transferat este 80 u.m. (adică valoarea sa justă).</w:t>
      </w:r>
      <w:bookmarkEnd w:id="541"/>
    </w:p>
    <w:p w:rsidR="00AC292A" w:rsidRDefault="00AC292A">
      <w:pPr>
        <w:pStyle w:val="IASBNormalnparaL1"/>
      </w:pPr>
      <w:r>
        <w:t>(d)</w:t>
      </w:r>
      <w:r>
        <w:tab/>
      </w:r>
      <w:bookmarkStart w:id="542" w:name="F32570977"/>
      <w:r>
        <w:t>Dacă o opţiune put emisă de o entitate împiedică derecunoaşterea unui activ transferat, iar entitatea evaluează activul transferat la valoarea justă, datoria asociată este evaluată la preţul de exercitare al opţiunii plus valoarea-timp a opţiunii. Evaluarea activului la valoarea justă este limitată la valoarea mai mică dintre valoarea justă şi preţul de exercitare al opţiunii deoarece entitatea nu are niciun drept asupra creşterilor valorii juste a activului transferat peste preţul de exercitare al opţiunii. Acest lucru asigură faptul că valoarea contabilă netă a activului şi a datoriei asociate este valoarea justă a obligaţiei opţiunii put. De exemplu, dacă valoarea justă a activului-suport este 120 u.m., preţul de exercitare al opţiunii este 100 u.m., iar valoarea-timp a opţiunii este 5 u.m., valoarea contabilă a datoriei asociate este 105 u.m. (100 u.m. + 5 u.m.), iar valoarea contabilă a activului este 100 u.m. (în acest caz, preţul de exercitare al opţiunii).</w:t>
      </w:r>
      <w:bookmarkEnd w:id="542"/>
    </w:p>
    <w:p w:rsidR="00AC292A" w:rsidRDefault="00AC292A">
      <w:pPr>
        <w:pStyle w:val="IASBNormalnparaL1"/>
      </w:pPr>
      <w:r>
        <w:t>(e)</w:t>
      </w:r>
      <w:r>
        <w:tab/>
      </w:r>
      <w:bookmarkStart w:id="543" w:name="F32570979"/>
      <w:r>
        <w:t xml:space="preserve">Dacă un „collar” sub forma unei opţiuni call cumpărate şi a unei opţiuni put emise împiedică derecunoaşterea unui activ transferat, iar entitatea evaluează activul la valoarea justă, ea continuă să evalueze activul la valoarea justă. Datoria asociată este evaluată la (i) suma dintre preţul de exercitare al opţiunii call şi valoarea justă a opţiunii put minus valoarea-timp a opţiunii call dacă aceasta din urmă este în bani sau la paritate („in or at the money”) sau (ii) suma dintre valoarea justă a activului şi valoarea justă a opţiunii put minus valoarea-timp a opţiunii call dacă opţiunea call este în afara banilor („out of the money”). Ajustarea datoriei asociate asigură faptul că valoarea contabilă netă a activului şi a datoriei asociate este valoarea justă a opţiunilor deţinute şi emise de entitate. De exemplu, să presupunem că o entitate transferă un activ financiar care este evaluat la valoarea justă cumpărând simultan o opţiune call cu un preţ de exercitare de 120 u.m. şi </w:t>
      </w:r>
      <w:r>
        <w:lastRenderedPageBreak/>
        <w:t>emițând o opţiune put cu un preţ de exercitare de 80 u.m. Să presupunem, de asemenea, că valoarea justă a activului este 100 u.m. la data transferului. Valorile-timp ale opţiunilor put şi call sunt 1 u.m. și respectiv 5 u.m. În acest caz, entitatea recunoaşte un activ de 100 u.m. (valoarea justă a activului) şi o datorie de 96 u.m. [(100 u.m. + 1 u.m.) – 5 u.m.]. Acest lucru duce la o valoare netă a activului de 4 u.m., care este valoarea justă a opţiunilor deţinute şi emise de entitate.</w:t>
      </w:r>
      <w:bookmarkEnd w:id="543"/>
    </w:p>
    <w:p w:rsidR="00AC292A" w:rsidRDefault="00AC292A">
      <w:pPr>
        <w:pStyle w:val="IASBSectionTitle3Ind"/>
      </w:pPr>
      <w:bookmarkStart w:id="544" w:name="F32570983"/>
      <w:r>
        <w:t>Toate transferurile</w:t>
      </w:r>
      <w:bookmarkEnd w:id="544"/>
    </w:p>
    <w:p w:rsidR="00AC292A" w:rsidRDefault="00AC292A">
      <w:pPr>
        <w:pStyle w:val="IASBNormalnpara"/>
      </w:pPr>
      <w:r>
        <w:t>B3.2.14</w:t>
      </w:r>
      <w:r>
        <w:tab/>
      </w:r>
      <w:bookmarkStart w:id="545" w:name="F32570984"/>
      <w:r>
        <w:t>În măsura în care un transfer al unui activ financiar nu îndeplineşte condiţiile pentru derecunoaştere, drepturile sau obligaţiile contractuale legate de transfer ale entităţii care transferă activul nu sunt contabilizate separat ca instrumente derivate dacă recunoaşterea atât a instrumentului derivat, cât şi fie a activului transferat, fie a datoriei transferate generate de transfer ar avea ca rezultat recunoaşterea aceloraşi drepturi sau obligaţii de două ori. De exemplu, o opţiune call păstrată de entitatea care transferă activul poate împiedica contabilizarea ca vânzare a unui transfer de active financiare. În acest caz, opţiunea call nu este recunoscută separat ca un activ aferent instrumentelor derivate.</w:t>
      </w:r>
      <w:bookmarkEnd w:id="545"/>
    </w:p>
    <w:p w:rsidR="00AC292A" w:rsidRDefault="00AC292A">
      <w:pPr>
        <w:pStyle w:val="IASBNormalnpara"/>
      </w:pPr>
      <w:r>
        <w:t>B3.2.15</w:t>
      </w:r>
      <w:r>
        <w:tab/>
      </w:r>
      <w:bookmarkStart w:id="546" w:name="F32570985"/>
      <w:r>
        <w:t>În măsura în care un transfer al unui activ financiar nu îndeplineşte condiţiile pentru derecunoaştere, entitatea căreia i se transferă activul nu recunoaşte activul transferat ca pe activul său. Entitatea căreia i se transferă activul derecunoaşte numerarul sau altă contravaloare plătită şi recunoaşte o creanţă de la entitatea care transferă activul. Dacă entitatea care transferă activul are atât un drept, cât şi o obligaţie de a redobândi controlul asupra întregului activ transferat pentru o sumă fixă (de exemplu, în cadrul unui acord de răscumpărare), entitatea căreia i se transferă activul poate să îşi evalueze creanţa la costul amortizat dacă întruneşte criteriile de la punctul 4.1.2.</w:t>
      </w:r>
      <w:bookmarkEnd w:id="546"/>
    </w:p>
    <w:p w:rsidR="00AC292A" w:rsidRDefault="00AC292A">
      <w:pPr>
        <w:pStyle w:val="IASBSectionTitle3Ind"/>
      </w:pPr>
      <w:bookmarkStart w:id="547" w:name="F32570987"/>
      <w:r>
        <w:t>Exemple</w:t>
      </w:r>
      <w:bookmarkEnd w:id="547"/>
    </w:p>
    <w:p w:rsidR="00AC292A" w:rsidRDefault="00AC292A">
      <w:pPr>
        <w:pStyle w:val="IASBNormalnpara"/>
      </w:pPr>
      <w:r>
        <w:t>B3.2.16</w:t>
      </w:r>
      <w:r>
        <w:tab/>
      </w:r>
      <w:bookmarkStart w:id="548" w:name="F32570990"/>
      <w:r>
        <w:t>Următoarele exemple ilustrează aplicarea principiilor de derecunoaştere ale prezentului standard.</w:t>
      </w:r>
      <w:bookmarkEnd w:id="548"/>
    </w:p>
    <w:p w:rsidR="00AC292A" w:rsidRDefault="00AC292A">
      <w:pPr>
        <w:pStyle w:val="IASBNormalnparaL1"/>
      </w:pPr>
      <w:r>
        <w:t>(a)</w:t>
      </w:r>
      <w:r>
        <w:tab/>
      </w:r>
      <w:bookmarkStart w:id="549" w:name="F32570993"/>
      <w:r>
        <w:rPr>
          <w:i/>
        </w:rPr>
        <w:t>Acordurile de răscumpărare şi împrumutul titlurilor de valoare</w:t>
      </w:r>
      <w:r>
        <w:t>. Dacă un activ financiar este vândut în baza unui acord de răscumpărare a sa la un preţ fix sau la preţul de vânzare plus rentabilitatea creditorului ori dacă este împrumutat în baza unui acord de înapoiere a sa la entitatea care îl transferă, acesta nu este derecunoscut deoarece entitatea care îl transferă păstrează majoritatea riscurilor şi recompenselor aferente dreptului de proprietate. Dacă entitatea căreia i se transferă activul obţine dreptul de a vinde sau de a gaja activul, entitatea care transferă activul reclasifică activul în situaţia poziţiei financiare, de exemplu, drept activ împrumutat sau creanţă de răscumpărare.</w:t>
      </w:r>
      <w:bookmarkEnd w:id="549"/>
    </w:p>
    <w:p w:rsidR="00AC292A" w:rsidRDefault="00AC292A">
      <w:pPr>
        <w:pStyle w:val="IASBNormalnparaL1"/>
      </w:pPr>
      <w:r>
        <w:t>(b)</w:t>
      </w:r>
      <w:r>
        <w:tab/>
      </w:r>
      <w:bookmarkStart w:id="550" w:name="F32570998"/>
      <w:r>
        <w:rPr>
          <w:i/>
        </w:rPr>
        <w:t>Acordurile de răscumpărare şi împrumutul titlurilor de valoare – active care sunt în mare parte aceleaşi</w:t>
      </w:r>
      <w:r>
        <w:t>. Dacă un activ financiar este vândut în baza unui acord de răscumpărare a aceluiaşi activ sau în mare parte a aceluiaşi activ la un preţ fix sau la preţul de vânzare plus rentabilitatea creditorului, ori dacă activul financiar este împrumutat sau dat cu împrumut în baza unui acord de returnare a aceluiaşi activ sau în mare parte a aceluiaşi activ entităţii care transferă activul, acesta nu este derecunoscut deoarece entitatea care transferă activul păstrează majoritatea riscurilor şi recompenselor aferente dreptului de proprietate.</w:t>
      </w:r>
      <w:bookmarkEnd w:id="550"/>
    </w:p>
    <w:p w:rsidR="00AC292A" w:rsidRDefault="00AC292A">
      <w:pPr>
        <w:pStyle w:val="IASBNormalnparaL1"/>
      </w:pPr>
      <w:r>
        <w:t>(c)</w:t>
      </w:r>
      <w:r>
        <w:tab/>
      </w:r>
      <w:bookmarkStart w:id="551" w:name="F32571003"/>
      <w:r>
        <w:rPr>
          <w:i/>
        </w:rPr>
        <w:t>Acordurile de răscumpărare şi împrumutul titlurilor de valoare - dreptul de substituire</w:t>
      </w:r>
      <w:r>
        <w:t>. Dacă un acord de răscumpărare la un preţ fix de răscumpărare sau la un preţ egal cu preţul de vânzare plus rentabilitatea creditorului ori o tranzacţie similară de împrumut al titlurilor de valoare oferă entităţii căreia i se transferă dreptul de a substitui active care sunt similare şi care au o valoare justă egală cu activul transferat la data răscumpărării, activul vândut sau împrumutat într-o tranzacţie de răscumpărare sau de împrumut al titlurilor valoare nu este derecunoscut deoarece entitatea care transferă activul păstrează majoritatea riscurilor şi recompenselor aferente dreptului de proprietate.</w:t>
      </w:r>
      <w:bookmarkEnd w:id="551"/>
    </w:p>
    <w:p w:rsidR="00AC292A" w:rsidRDefault="00AC292A">
      <w:pPr>
        <w:pStyle w:val="IASBNormalnparaL1"/>
      </w:pPr>
      <w:r>
        <w:t>(d)</w:t>
      </w:r>
      <w:r>
        <w:tab/>
      </w:r>
      <w:bookmarkStart w:id="552" w:name="F32571009"/>
      <w:r>
        <w:rPr>
          <w:i/>
        </w:rPr>
        <w:t>Dreptul de preemţiune asupra răscumpărării la valoarea justă</w:t>
      </w:r>
      <w:r>
        <w:t>. Dacă o entitate vinde un activ financiar şi păstrează doar dreptul de preemţiune asupra răscumpărării activului transferat la valoarea justă în cazul în care entitatea căreia i se transferă activul îl vinde ulterior, entitatea derecunoaşte activul deoarece ea a transferat majoritatea riscurilor şi recompenselor aferente dreptului de proprietate.</w:t>
      </w:r>
      <w:bookmarkEnd w:id="552"/>
    </w:p>
    <w:p w:rsidR="00AC292A" w:rsidRDefault="00AC292A">
      <w:pPr>
        <w:pStyle w:val="IASBNormalnparaL1"/>
      </w:pPr>
      <w:r>
        <w:t>(e)</w:t>
      </w:r>
      <w:r>
        <w:tab/>
      </w:r>
      <w:bookmarkStart w:id="553" w:name="F32571014"/>
      <w:r>
        <w:rPr>
          <w:i/>
        </w:rPr>
        <w:t>Tranzacţia de vânzare fictivă</w:t>
      </w:r>
      <w:r>
        <w:t xml:space="preserve">. Răscumpărarea unui activ financiar la scurt timp după ce acesta a fost vândut este numită uneori vânzare fictivă. O astfel de răscumpărare nu împiedică derecunoaşterea, cu condiţia ca tranzacţia iniţială să îndeplinească dispoziţiile pentru derecunoaştere. Cu toate acestea, dacă un acord de vânzare a unui activ financiar este încheiat </w:t>
      </w:r>
      <w:r>
        <w:lastRenderedPageBreak/>
        <w:t>concomitent cu un acord de răscumpărare a aceluiaşi activ la un preţ fix sau la preţul de vânzare plus rentabilitatea creditorului, activul nu este derecunoscut.</w:t>
      </w:r>
      <w:bookmarkEnd w:id="553"/>
    </w:p>
    <w:p w:rsidR="00AC292A" w:rsidRDefault="00AC292A">
      <w:pPr>
        <w:pStyle w:val="IASBNormalnparaL1"/>
      </w:pPr>
      <w:r>
        <w:t>(f)</w:t>
      </w:r>
      <w:r>
        <w:tab/>
      </w:r>
      <w:bookmarkStart w:id="554" w:name="F32571021"/>
      <w:r>
        <w:rPr>
          <w:i/>
        </w:rPr>
        <w:t>Opţiunile put şi opţiunile call care sunt foarte mult în bani („deeply in the money”)</w:t>
      </w:r>
      <w:r>
        <w:t>. Dacă un activ financiar transferat poate fi cumpărat înapoi de către entitatea care îl transferă, iar opţiunea call este foarte mult în bani („deeply in the money”), transferul nu îndeplineşte condiţiile pentru derecunoaştere deoarece entitatea care transferă activul a păstrat majoritatea riscurilor şi recompenselor aferente dreptului de proprietate. În mod similar, dacă un activ financiar poate fi vândut înapoi („put back”) de către entitatea căreia i se transferă activul şi opţiunea put este foarte mult în bani („deeply in the money”), transferul nu îndeplineşte condiţiile pentru derecunoaştere deoarece entitatea care transferă activul a păstrat majoritatea riscurilor şi recompenselor aferente dreptului de proprietate.</w:t>
      </w:r>
      <w:bookmarkEnd w:id="554"/>
    </w:p>
    <w:p w:rsidR="00AC292A" w:rsidRDefault="00AC292A">
      <w:pPr>
        <w:pStyle w:val="IASBNormalnparaL1"/>
      </w:pPr>
      <w:r>
        <w:t>(g)</w:t>
      </w:r>
      <w:r>
        <w:tab/>
      </w:r>
      <w:bookmarkStart w:id="555" w:name="F32571026"/>
      <w:r>
        <w:rPr>
          <w:i/>
        </w:rPr>
        <w:t>Opţiunile put şi opţiunile call care sunt foarte mult în afara banilor („deeply out of the money”)</w:t>
      </w:r>
      <w:r>
        <w:t>. Un activ financiar transferat ca obiect al unei opţiuni put care este foarte mult în afara banilor („deeply out of the money”) deţinute de entitatea căreia i se transferă activul sau al unei opţiuni call care este foarte mult în afara banilor („deeply out of the money”) deţinute de entitatea care transferă activul este derecunoscut. Acest lucru se întâmplă pentru că entitatea care transferă activul a transferat majoritatea riscurilor şi recompenselor aferente dreptului de proprietate.</w:t>
      </w:r>
      <w:bookmarkEnd w:id="555"/>
    </w:p>
    <w:p w:rsidR="00AC292A" w:rsidRDefault="00AC292A">
      <w:pPr>
        <w:pStyle w:val="IASBNormalnparaL1"/>
      </w:pPr>
      <w:r>
        <w:t>(h)</w:t>
      </w:r>
      <w:r>
        <w:tab/>
      </w:r>
      <w:bookmarkStart w:id="556" w:name="F32571031"/>
      <w:r>
        <w:rPr>
          <w:i/>
        </w:rPr>
        <w:t>Activele uşor de obţinut care fac obiectul unei opţiuni call care nu este nici foarte mult în bani („deeply in the money”), nici foarte mult în afara banilor („deeply out of the money”)</w:t>
      </w:r>
      <w:r>
        <w:t>. Dacă o entitate păstrează o opţiune call pe un activ care este uşor de obţinut pe piaţă, iar opţiunea nu este nici foarte mult în bani („deeply in the money”), nici foarte mult în afara banilor („deeply out of the money”), activul este derecunoscut. Acest lucru se întâmplă deoarece entitatea (i) nici nu a păstrat, nici nu a transferat majoritatea riscurilor şi recompenselor aferente dreptului de proprietate şi (ii) nu a păstrat controlul. Cu toate acestea, dacă activul nu este uşor de obţinut pe piaţă, derecunoaşterea este împiedicată în măsura valorii activului care face obiectul opţiunii call deoarece entitatea a păstrat controlul asupra activului.</w:t>
      </w:r>
      <w:bookmarkEnd w:id="556"/>
    </w:p>
    <w:p w:rsidR="00AC292A" w:rsidRDefault="00AC292A">
      <w:pPr>
        <w:pStyle w:val="IASBNormalnparaL1"/>
      </w:pPr>
      <w:r>
        <w:t>(i)</w:t>
      </w:r>
      <w:r>
        <w:tab/>
      </w:r>
      <w:bookmarkStart w:id="557" w:name="F32571038"/>
      <w:r>
        <w:rPr>
          <w:i/>
        </w:rPr>
        <w:t>Un activ care nu este uşor de obţinut care face obiectul unei opţiuni put emise de o entitate care nu este nici foarte mult în bani („deeply in the money”), nici foarte mult în afara banilor („deeply out of the money”).</w:t>
      </w:r>
      <w:r>
        <w:t xml:space="preserve"> Dacă o entitate transferă un activ financiar care nu este uşor de obţinut pe piaţă şi emite o opţiune put care nu este foarte mult în afara banilor („deeply out of the money”), entitatea nici nu păstrează, nici nu transferă majoritatea riscurilor şi recompenselor aferente dreptului de proprietate din cauza opţiunii put emise. Entitatea păstrează controlul asupra activului dacă opţiunea put este suficient de valoroasă pentru a împiedica entitatea căreia i se transferă activul să vândă activul, caz în care activul continuă să fie recunoscut în măsura implicării continue a entităţii care transferă activul (a se vedea punctul B3.2.9). Entitatea transferă controlul asupra activului dacă opţiunea put nu este suficient de valoroasă pentru a împiedica entitatea căreia i se transferă activul să vândă activul, caz în care activul este derecunoscut.</w:t>
      </w:r>
      <w:bookmarkEnd w:id="557"/>
    </w:p>
    <w:p w:rsidR="00AC292A" w:rsidRDefault="00AC292A">
      <w:pPr>
        <w:pStyle w:val="IASBNormalnparaL1"/>
      </w:pPr>
      <w:r>
        <w:t>(j)</w:t>
      </w:r>
      <w:r>
        <w:tab/>
      </w:r>
      <w:bookmarkStart w:id="558" w:name="F32571043"/>
      <w:r>
        <w:rPr>
          <w:i/>
        </w:rPr>
        <w:t>Activele care fac obiectul unei opţiuni put sau call la valoarea justă sau al unui acord de răscumpărare forward</w:t>
      </w:r>
      <w:r>
        <w:t>. Transferul unui activ financiar care face obiectul numai al unei opţiuni put sau call sau al unui acord de răscumpărare forward care are un preţ de răscumpărare sau de exercitare egal cu valoarea justă a activului financiar în momentul răscumpărării are drept rezultat derecunoaşterea datorită transferului majorităţii riscurilor şi recompenselor aferente dreptului de proprietate.</w:t>
      </w:r>
      <w:bookmarkEnd w:id="558"/>
    </w:p>
    <w:p w:rsidR="00AC292A" w:rsidRDefault="00AC292A">
      <w:pPr>
        <w:pStyle w:val="IASBNormalnparaL1"/>
      </w:pPr>
      <w:r>
        <w:t>(k)</w:t>
      </w:r>
      <w:r>
        <w:tab/>
      </w:r>
      <w:bookmarkStart w:id="559" w:name="F32571048"/>
      <w:r>
        <w:rPr>
          <w:i/>
        </w:rPr>
        <w:t>Opţiunile call sau put decontate în numerar</w:t>
      </w:r>
      <w:r>
        <w:t>. O entitate evaluează transferul unui activ financiar care face obiectul unei opţiuni put sau call sau al unui acord de răscumpărare forward care va fi decontat(ă) net în numerar pentru a determina dacă a păstrat sau a transferat majoritatea riscurilor şi recompenselor aferente dreptului de proprietate. Dacă entitatea nu a păstrat majoritatea riscurilor şi recompenselor aferente dreptului de proprietate asupra activului transferat, ea determină dacă a păstrat controlul asupra activului transferat. Faptul că opţiunea put sau call sau acordul de răscumpărare forward este decontat(ă) net în numerar nu înseamnă automat că entitatea a transferat controlul (a se vedea punctul B3.2.9 şi literele (g), (h) şi (i) de mai sus).</w:t>
      </w:r>
      <w:bookmarkEnd w:id="559"/>
    </w:p>
    <w:p w:rsidR="00AC292A" w:rsidRDefault="00AC292A">
      <w:pPr>
        <w:pStyle w:val="IASBNormalnparaL1"/>
      </w:pPr>
      <w:r>
        <w:t>(l)</w:t>
      </w:r>
      <w:r>
        <w:tab/>
      </w:r>
      <w:bookmarkStart w:id="560" w:name="F32571053"/>
      <w:r>
        <w:rPr>
          <w:i/>
        </w:rPr>
        <w:t>Prevederile privind eliminarea conturilor</w:t>
      </w:r>
      <w:r>
        <w:t xml:space="preserve">. O prevedere privind eliminarea conturilor este o opţiune (call) de răscumpărare necondiţionată care îi dă unei entităţi dreptul de a pretinde înapoi activele transferate în condiţiile unor restricţii. Cu condiţia ca o astfel de opţiune să nu ducă nici la păstrarea, nici la transferarea de către entitate a majorităţii riscurilor şi recompenselor aferente dreptului de proprietate, ea împiedică derecunoaşterea doar proporţional cu suma care face obiectul răscumpărării (presupunând că entitatea căreia i se transferă activul nu poate vinde activele). De exemplu, dacă valoarea contabilă şi încasările din transferul activelor împrumutate sunt de 100.000 u.m. şi orice împrumut individual ar putea fi cerut înapoi, dar valoarea agregată a </w:t>
      </w:r>
      <w:r>
        <w:lastRenderedPageBreak/>
        <w:t>împrumuturilor care ar putea fi răscumpărate nu ar putea depăşi 10.000 u.m., 90.000 u.m. din împrumuturi ar îndeplini condiţiile pentru derecunoaştere.</w:t>
      </w:r>
      <w:bookmarkEnd w:id="560"/>
    </w:p>
    <w:p w:rsidR="00AC292A" w:rsidRDefault="00AC292A">
      <w:pPr>
        <w:pStyle w:val="IASBNormalnparaL1"/>
      </w:pPr>
      <w:r>
        <w:t>(m)</w:t>
      </w:r>
      <w:r>
        <w:tab/>
      </w:r>
      <w:bookmarkStart w:id="561" w:name="F32571058"/>
      <w:r>
        <w:rPr>
          <w:i/>
        </w:rPr>
        <w:t>Opţiunile call „clean-up”</w:t>
      </w:r>
      <w:r>
        <w:t>. O entitate, care poate fi o entitate care transferă activul, care administrează active transferate poate păstra o opţiune call „clean-up” pentru a cumpăra activele transferate rămase atunci când valoarea activelor în circulaţie scade la un nivel specificat la care costul de administrare a acelor active devine împovărător în raport cu beneficiile administrării. Cu condiţia ca o astfel de opţiune call „clean-up” să aibă drept rezultat faptul că entitatea nici nu păstrează şi nici nu transferă majoritatea riscurilor şi recompenselor aferente dreptului de proprietate, iar entitatea căreia i se transferă activul să nu poată vinde activele, se interzice derecunoaşterea doar în măsura valorii activelor care fac obiectul opţiunii call.</w:t>
      </w:r>
      <w:bookmarkEnd w:id="561"/>
    </w:p>
    <w:p w:rsidR="00AC292A" w:rsidRDefault="00AC292A">
      <w:pPr>
        <w:pStyle w:val="IASBNormalnparaL1"/>
      </w:pPr>
      <w:r>
        <w:t>(n)</w:t>
      </w:r>
      <w:r>
        <w:tab/>
      </w:r>
      <w:bookmarkStart w:id="562" w:name="F32571063"/>
      <w:r>
        <w:rPr>
          <w:i/>
        </w:rPr>
        <w:t>Interesele subordonate păstrate şi garanţiile de credit</w:t>
      </w:r>
      <w:r>
        <w:t>. O entitate îi poate oferi entităţii căreia i se transferă activul o ameliorare a condiţiilor de credit prin subordonarea unora sau tuturor intereselor sale păstrate în activul transferat. Alternativ, o entitate îi poate oferi entităţii căreia i se transferă activul o ameliorare a condiţiilor de credit sub forma unei garanţii de credit care ar putea fi nelimitată sau limitată la o sumă specificată. Dacă entitatea păstrează majoritate riscurilor şi recompenselor aferente dreptului de proprietate asupra activului transferat, activul continuă să fie recunoscut în întregime. Dacă entitatea păstrează unele dintre, dar nu majoritatea riscurilor şi recompenselor aferente dreptului de proprietate şi a păstrat controlul, derecunoaşterea este interzisă în măsura sumei în numerar sau în alte active care ar trebui plătită de către entitate.</w:t>
      </w:r>
      <w:bookmarkEnd w:id="562"/>
    </w:p>
    <w:p w:rsidR="00AC292A" w:rsidRDefault="00AC292A">
      <w:pPr>
        <w:pStyle w:val="IASBNormalnparaL1"/>
      </w:pPr>
      <w:r>
        <w:t>(o)</w:t>
      </w:r>
      <w:r>
        <w:tab/>
      </w:r>
      <w:bookmarkStart w:id="563" w:name="F32571071"/>
      <w:r>
        <w:rPr>
          <w:i/>
        </w:rPr>
        <w:t>Swapurile globale de randament</w:t>
      </w:r>
      <w:r>
        <w:t>. O entitate îi poate vinde un activ financiar unei entități căreia i se transferă activul şi poate încheia un swap global de randament cu entitatea căreia i se transferă activul, conform căruia toate fluxurile de trezorerie din plăţile dobânzii care decurg din activul-suport sunt remise entităţii în schimbul unei plăţi fixe sau al unei plăţi cu rate variabile şi orice creşteri sau descreşteri în valoarea justă a activului-suport sunt absorbite de către entitate. În acest caz, derecunoaşterea în întregime a activului este interzisă.</w:t>
      </w:r>
      <w:bookmarkEnd w:id="563"/>
    </w:p>
    <w:p w:rsidR="00AC292A" w:rsidRDefault="00AC292A">
      <w:pPr>
        <w:pStyle w:val="IASBNormalnparaL1"/>
      </w:pPr>
      <w:r>
        <w:t>(p)</w:t>
      </w:r>
      <w:r>
        <w:tab/>
      </w:r>
      <w:bookmarkStart w:id="564" w:name="F32571076"/>
      <w:r>
        <w:rPr>
          <w:i/>
        </w:rPr>
        <w:t>Swapurile pe rata dobânzii.</w:t>
      </w:r>
      <w:r>
        <w:t xml:space="preserve"> O entitate poate transfera unei alte entităţi un activ financiar cu rată fixă şi poate încheia un contract swap pe rata dobânzii cu entitatea căreia i se transferă activul pentru a încasa o rată fixă a dobânzii şi pentru a plăti o rată variabilă a dobânzii pe baza unei valori de referință care este egală cu valoarea principalului activului financiar transferat. Swapul pe rata dobânzii nu interzice derecunoaşterea activului transferat cu condiţia ca plăţile swapului să nu fie condiţionate de plăţile făcute pentru activul transferat.</w:t>
      </w:r>
      <w:bookmarkEnd w:id="564"/>
    </w:p>
    <w:p w:rsidR="00AC292A" w:rsidRDefault="00AC292A">
      <w:pPr>
        <w:pStyle w:val="IASBNormalnparaL1"/>
      </w:pPr>
      <w:r>
        <w:t>(q)</w:t>
      </w:r>
      <w:r>
        <w:tab/>
      </w:r>
      <w:bookmarkStart w:id="565" w:name="F32571081"/>
      <w:r>
        <w:rPr>
          <w:i/>
        </w:rPr>
        <w:t>Swapurile pe rata dobânzii cu amortizare</w:t>
      </w:r>
      <w:r>
        <w:t>. O entitate poate transfera unei alte entităţi un activ financiar cu rată fixă care este achitat în decursul timpului şi poate încheia un contract swap pe rata dobânzii cu amortizare cu entitatea căreia i se transferă activul pentru a încasa o rată fixă a dobânzii şi pentru a plăti o rată variabilă a dobânzii pe baza unei valori de referință. Dacă valoarea de referință a swapului se amortizează astfel încât devine egală cu valoarea principalului activului financiar transferat rămasă de plată în orice moment, swapul ar avea drept rezultat în general faptul că entitatea păstrează un risc important de plată anticipată, caz în care entitatea fie continuă să recunoască în întregime activul transferat, fie continuă să recunoască activul transferat în măsura implicării sale continue. În mod similar, dacă amortizarea valorii de referință a swapului nu este legată de valoarea neplătită a principalului activului transferat, un astfel de swap nu ar avea drept rezultat păstrarea de către entitate a riscului de plată anticipată aferent activului. Aşadar, derecunoaşterea activului transferat nu este interzisă cu condiţia ca plăţile swapului să nu fie condiţionate de plăţile dobânzii făcute pentru activul transferat, iar swapul să nu aibă drept rezultat faptul că entitatea păstrează orice alte riscuri şi recompense semnificative aferente dreptului de proprietate asupra activului transferat.</w:t>
      </w:r>
      <w:bookmarkEnd w:id="565"/>
    </w:p>
    <w:p w:rsidR="00AC292A" w:rsidRDefault="00AC292A">
      <w:pPr>
        <w:pStyle w:val="IASBNormalnparaL1"/>
      </w:pPr>
      <w:r>
        <w:t>(r)</w:t>
      </w:r>
      <w:r>
        <w:tab/>
      </w:r>
      <w:bookmarkStart w:id="566" w:name="F32570870"/>
      <w:r>
        <w:rPr>
          <w:i/>
        </w:rPr>
        <w:t>Eliminarea</w:t>
      </w:r>
      <w:r>
        <w:t>. O entitate nu are estimări rezonabile de recuperare a fluxurilor de trezorerie contractuale aferente unui activ financiar în întregime sau unei părți din acesta.</w:t>
      </w:r>
      <w:bookmarkEnd w:id="566"/>
    </w:p>
    <w:p w:rsidR="00AC292A" w:rsidRDefault="00AC292A">
      <w:pPr>
        <w:pStyle w:val="IASBNormalnpara"/>
      </w:pPr>
      <w:r>
        <w:t>B3.2.17</w:t>
      </w:r>
      <w:r>
        <w:tab/>
      </w:r>
      <w:bookmarkStart w:id="567" w:name="F32571085"/>
      <w:r>
        <w:t>Acest punct ilustrează aplicarea abordării implicării continue atunci când implicarea continuă a entităţii priveşte o parte a unui activ financiar.</w:t>
      </w:r>
      <w:bookmarkEnd w:id="567"/>
    </w:p>
    <w:p w:rsidR="00AC292A" w:rsidRDefault="00AC292A">
      <w:pPr>
        <w:pStyle w:val="IASBNormalnpara"/>
      </w:pPr>
    </w:p>
    <w:tbl>
      <w:tblPr>
        <w:tblW w:w="0" w:type="auto"/>
        <w:tblInd w:w="848" w:type="dxa"/>
        <w:tblLayout w:type="fixed"/>
        <w:tblLook w:val="0000" w:firstRow="0" w:lastRow="0" w:firstColumn="0" w:lastColumn="0" w:noHBand="0" w:noVBand="0"/>
      </w:tblPr>
      <w:tblGrid>
        <w:gridCol w:w="2784"/>
        <w:gridCol w:w="1547"/>
        <w:gridCol w:w="273"/>
        <w:gridCol w:w="1547"/>
        <w:gridCol w:w="273"/>
        <w:gridCol w:w="1547"/>
        <w:gridCol w:w="273"/>
      </w:tblGrid>
      <w:tr w:rsidR="00AC292A">
        <w:trPr>
          <w:cantSplit/>
        </w:trPr>
        <w:tc>
          <w:tcPr>
            <w:tcW w:w="8244" w:type="dxa"/>
            <w:gridSpan w:val="7"/>
            <w:tcBorders>
              <w:top w:val="single" w:sz="4" w:space="0" w:color="auto"/>
              <w:left w:val="single" w:sz="4" w:space="0" w:color="auto"/>
              <w:right w:val="single" w:sz="4" w:space="0" w:color="auto"/>
            </w:tcBorders>
            <w:vAlign w:val="bottom"/>
          </w:tcPr>
          <w:p w:rsidR="00AC292A" w:rsidRDefault="00AC292A">
            <w:pPr>
              <w:pStyle w:val="IASBTableTNR"/>
            </w:pPr>
            <w:r>
              <w:lastRenderedPageBreak/>
              <w:t>Să presupunem că o entitate are un portofoliu de împrumuturi care pot fi plătite anticipat ale cărui cupon şi rată a dobânzii efective sunt de 10% şi a cărui valoare a principalului şi a costului amortizat este de 10.000 u.m. Aceasta intră într-o tranzacţie în care, în schimbul unei plăţi de 9.115 u.m., entitatea căreia i se transferă activul obţine dreptul la 9.000 u.m. din orice colectare viitoare a principalului plus dobânzile la o rată de 9,5%. Entitatea păstrează drepturile pentru 1.000 u.m. din orice colectări viitoare ale principalului plus dobânzile la o rată de 10%, plus marja suplimentară de 0,5% pentru cele 9.000 u.m. rămase din principal. Colectările din plăţile anticipate sunt alocate între entitate şi entitatea căreia i se transferă activul în mod proporţional conform raportului 1:9, dar orice neîndepliniri ale obligaţiilor sunt deduse din dobânda de 1.000 u.m. a entităţii până când acea dobândă este epuizată. Valoarea justă a împrumuturilor la data tranzacţiei este de 10.100 u.m., iar valoarea justă a marjei suplimentare de 0,5% este de 40 u.m.</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Entitatea determină că a transferat anumite riscuri şi recompense semnificative aferente dreptului de proprietate (de exemplu, riscul semnificativ de plată anticipată), dar şi că a păstrat anumite riscuri şi recompense semnificative aferente dreptului de proprietate (din cauza interesului său subordonat păstrat) şi că a păstrat controlul. Prin urmare, aplică abordarea implicării continue.</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Pentru a aplica prezentul standard, entitatea analizează tranzacţia ca (a) o reţinere a unui interes păstrat complet proporţional de 1.000 u.m., plus (b) subordonarea acelui interes păstrat pentru a oferi ameliorarea condiţiilor de credit ale entităţii căreia i se transferă activul pentru compensarea pierderilor din creditare.</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Entitatea calculează că 9.090 u.m. (90% x 10.100 u.m.) din contravaloarea primită de 9.115 u.m. reprezintă contravaloarea unei părţi de 90% din întreg. Suma rămasă din contravaloarea primită (25 u.m.) reprezintă contravaloarea primită pentru subordonarea interesului său păstrat pentru a oferi ameliorarea condiţiilor de credit pentru entitatea căreia i se transferă activul pentru compensarea pierderilor din creditare. În plus, marja suplimentară de 0,5% reprezintă contravaloarea primită pentru ameliorarea condiţiilor de credit. În consecinţă, contravaloarea totală primită pentru ameliorarea condiţiilor de credit este de 65 u.m. (25 u.m. + 40 u.m.).</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rPr>
                <w:sz w:val="22"/>
              </w:rPr>
            </w:pPr>
            <w:r>
              <w:rPr>
                <w:sz w:val="22"/>
              </w:rPr>
              <w:t>Entitatea calculează pierderea sau câştigul din vânzarea părţii de 90% din fluxurile de trezorerie. Presupunând că valorile juste individuale ale părţii de 90% transferate şi ale părţii de 10% păstrate nu sunt disponibile la data transferului, entitatea alocă valoarea contabilă a activului în conformitate cu punctul 3.2.14 din IFRS 9 după cum urmează:</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p>
        </w:tc>
        <w:tc>
          <w:tcPr>
            <w:tcW w:w="1547" w:type="dxa"/>
            <w:tcBorders>
              <w:top w:val="nil"/>
              <w:left w:val="nil"/>
            </w:tcBorders>
          </w:tcPr>
          <w:p w:rsidR="00AC292A" w:rsidRDefault="00AC292A">
            <w:pPr>
              <w:pStyle w:val="IASBTableArial"/>
              <w:jc w:val="right"/>
            </w:pPr>
            <w:r>
              <w:rPr>
                <w:i/>
              </w:rPr>
              <w:t>Valoarea justă</w:t>
            </w:r>
          </w:p>
        </w:tc>
        <w:tc>
          <w:tcPr>
            <w:tcW w:w="1820" w:type="dxa"/>
            <w:gridSpan w:val="2"/>
            <w:tcBorders>
              <w:top w:val="nil"/>
              <w:left w:val="nil"/>
            </w:tcBorders>
          </w:tcPr>
          <w:p w:rsidR="00AC292A" w:rsidRDefault="00AC292A">
            <w:pPr>
              <w:pStyle w:val="IASBTableArial"/>
              <w:jc w:val="right"/>
            </w:pPr>
            <w:r>
              <w:rPr>
                <w:i/>
              </w:rPr>
              <w:t>Procent</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tcPr>
          <w:p w:rsidR="00AC292A" w:rsidRDefault="00AC292A">
            <w:pPr>
              <w:pStyle w:val="IASBTableArial"/>
              <w:jc w:val="right"/>
            </w:pPr>
            <w:r>
              <w:rPr>
                <w:i/>
              </w:rPr>
              <w:t>Valoarea contabilă alocată</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t>Partea transferată</w:t>
            </w:r>
          </w:p>
        </w:tc>
        <w:tc>
          <w:tcPr>
            <w:tcW w:w="1547" w:type="dxa"/>
            <w:tcBorders>
              <w:top w:val="nil"/>
              <w:left w:val="nil"/>
            </w:tcBorders>
            <w:vAlign w:val="bottom"/>
          </w:tcPr>
          <w:p w:rsidR="00AC292A" w:rsidRDefault="00AC292A">
            <w:pPr>
              <w:pStyle w:val="IASBTableArial"/>
              <w:jc w:val="right"/>
            </w:pPr>
            <w:r>
              <w:t>9.090</w:t>
            </w: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90%</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9.000</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t>Partea păstrată</w:t>
            </w:r>
          </w:p>
        </w:tc>
        <w:tc>
          <w:tcPr>
            <w:tcW w:w="1547" w:type="dxa"/>
            <w:tcBorders>
              <w:top w:val="nil"/>
              <w:left w:val="nil"/>
              <w:bottom w:val="single" w:sz="4" w:space="0" w:color="auto"/>
            </w:tcBorders>
            <w:vAlign w:val="bottom"/>
          </w:tcPr>
          <w:p w:rsidR="00AC292A" w:rsidRDefault="00AC292A">
            <w:pPr>
              <w:pStyle w:val="IASBTableArial"/>
              <w:jc w:val="right"/>
            </w:pPr>
            <w:r>
              <w:t>1.010</w:t>
            </w: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10%</w:t>
            </w:r>
          </w:p>
        </w:tc>
        <w:tc>
          <w:tcPr>
            <w:tcW w:w="273" w:type="dxa"/>
            <w:tcBorders>
              <w:top w:val="nil"/>
              <w:left w:val="nil"/>
            </w:tcBorders>
            <w:vAlign w:val="bottom"/>
          </w:tcPr>
          <w:p w:rsidR="00AC292A" w:rsidRDefault="00AC292A">
            <w:pPr>
              <w:pStyle w:val="IASBTableArial"/>
            </w:pPr>
          </w:p>
        </w:tc>
        <w:tc>
          <w:tcPr>
            <w:tcW w:w="1547" w:type="dxa"/>
            <w:tcBorders>
              <w:top w:val="nil"/>
              <w:left w:val="nil"/>
              <w:bottom w:val="single" w:sz="4" w:space="0" w:color="auto"/>
            </w:tcBorders>
            <w:vAlign w:val="bottom"/>
          </w:tcPr>
          <w:p w:rsidR="00AC292A" w:rsidRDefault="00AC292A">
            <w:pPr>
              <w:pStyle w:val="IASBTableArial"/>
              <w:jc w:val="right"/>
            </w:pPr>
            <w:r>
              <w:t>1.000</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rPr>
                <w:b/>
              </w:rPr>
              <w:t>Total</w:t>
            </w:r>
          </w:p>
        </w:tc>
        <w:tc>
          <w:tcPr>
            <w:tcW w:w="1547" w:type="dxa"/>
            <w:tcBorders>
              <w:top w:val="nil"/>
              <w:left w:val="nil"/>
              <w:bottom w:val="double" w:sz="4" w:space="0" w:color="auto"/>
            </w:tcBorders>
            <w:vAlign w:val="bottom"/>
          </w:tcPr>
          <w:p w:rsidR="00AC292A" w:rsidRDefault="00AC292A">
            <w:pPr>
              <w:pStyle w:val="IASBTableArial"/>
              <w:jc w:val="right"/>
            </w:pPr>
            <w:r>
              <w:rPr>
                <w:b/>
              </w:rPr>
              <w:t>10.100</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p>
        </w:tc>
        <w:tc>
          <w:tcPr>
            <w:tcW w:w="273" w:type="dxa"/>
            <w:tcBorders>
              <w:top w:val="nil"/>
              <w:left w:val="nil"/>
            </w:tcBorders>
            <w:vAlign w:val="bottom"/>
          </w:tcPr>
          <w:p w:rsidR="00AC292A" w:rsidRDefault="00AC292A">
            <w:pPr>
              <w:pStyle w:val="IASBTableArial"/>
            </w:pPr>
          </w:p>
        </w:tc>
        <w:tc>
          <w:tcPr>
            <w:tcW w:w="1547" w:type="dxa"/>
            <w:tcBorders>
              <w:top w:val="nil"/>
              <w:left w:val="nil"/>
              <w:bottom w:val="double" w:sz="4" w:space="0" w:color="auto"/>
            </w:tcBorders>
            <w:vAlign w:val="bottom"/>
          </w:tcPr>
          <w:p w:rsidR="00AC292A" w:rsidRDefault="00AC292A">
            <w:pPr>
              <w:pStyle w:val="IASBTableArial"/>
              <w:jc w:val="right"/>
            </w:pPr>
            <w:r>
              <w:rPr>
                <w:b/>
              </w:rPr>
              <w:t>10.000</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Arial"/>
            </w:pP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Entitatea calculează câştigul sau pierderea din vânzarea părţii de 90% din fluxurile de trezorerie prin deducerea valorii contabile alocate a părţii transferate din contravaloarea primită, adică 90 u.m. (9.090 u.m. – 9.000 u.m.). Valoarea contabilă a părţii păstrate de către entitate este de 1.000 u.m.</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În plus, entitatea recunoaşte implicarea continuă care a rezultat din subordonarea interesului său păstrat pentru pierderile din creditare. În consecinţă, recunoaşte un activ de 1.000 u.m. (care este valoarea maximă a fluxurilor de trezorerie pe care nu ar primi-o ca urmare a subordonării) şi o datorie aferentă de 1.065 u.m. (care este valoarea maximă a fluxurilor de trezorerie pe care nu ar primi-o ca urmare a subordonării, adică 1.000 u.m., plus valoarea justă a subordonării, de 65 u.m.).</w:t>
            </w: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Entitatea utilizează toate informaţiile de mai sus pentru a contabiliza tranzacţia după cum urmează:</w:t>
            </w:r>
          </w:p>
        </w:tc>
      </w:tr>
      <w:tr w:rsidR="00AC292A">
        <w:trPr>
          <w:cantSplit/>
        </w:trPr>
        <w:tc>
          <w:tcPr>
            <w:tcW w:w="2784" w:type="dxa"/>
            <w:tcBorders>
              <w:top w:val="nil"/>
              <w:left w:val="single" w:sz="4" w:space="0" w:color="auto"/>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pP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tcPr>
          <w:p w:rsidR="00AC292A" w:rsidRDefault="00AC292A">
            <w:pPr>
              <w:pStyle w:val="IASBTableArial"/>
              <w:jc w:val="right"/>
            </w:pPr>
            <w:r>
              <w:rPr>
                <w:i/>
              </w:rPr>
              <w:t>Debit</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tcPr>
          <w:p w:rsidR="00AC292A" w:rsidRDefault="00AC292A">
            <w:pPr>
              <w:pStyle w:val="IASBTableArial"/>
              <w:jc w:val="right"/>
            </w:pPr>
            <w:r>
              <w:rPr>
                <w:i/>
              </w:rPr>
              <w:t>Credit</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t>Activul iniţial</w:t>
            </w:r>
          </w:p>
        </w:tc>
        <w:tc>
          <w:tcPr>
            <w:tcW w:w="1547" w:type="dxa"/>
            <w:tcBorders>
              <w:top w:val="nil"/>
              <w:left w:val="nil"/>
            </w:tcBorders>
            <w:vAlign w:val="bottom"/>
          </w:tcPr>
          <w:p w:rsidR="00AC292A" w:rsidRDefault="00AC292A">
            <w:pPr>
              <w:pStyle w:val="IASBTableArial"/>
            </w:pP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9.000</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4331" w:type="dxa"/>
            <w:gridSpan w:val="2"/>
            <w:tcBorders>
              <w:top w:val="nil"/>
              <w:left w:val="single" w:sz="4" w:space="0" w:color="auto"/>
            </w:tcBorders>
            <w:vAlign w:val="bottom"/>
          </w:tcPr>
          <w:p w:rsidR="00AC292A" w:rsidRDefault="00AC292A">
            <w:pPr>
              <w:pStyle w:val="IASBTableArial"/>
            </w:pPr>
            <w:r>
              <w:t>Activul recunoscut pentru subordonare sau interesul rezidual</w:t>
            </w: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1.000</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4331" w:type="dxa"/>
            <w:gridSpan w:val="2"/>
            <w:tcBorders>
              <w:top w:val="nil"/>
              <w:left w:val="single" w:sz="4" w:space="0" w:color="auto"/>
            </w:tcBorders>
            <w:vAlign w:val="bottom"/>
          </w:tcPr>
          <w:p w:rsidR="00AC292A" w:rsidRDefault="00AC292A">
            <w:pPr>
              <w:pStyle w:val="IASBTableArial"/>
            </w:pPr>
            <w:r>
              <w:t>Activul pentru contravaloarea primită sub forma marjei suplimentare</w:t>
            </w: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40</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4331" w:type="dxa"/>
            <w:gridSpan w:val="2"/>
            <w:tcBorders>
              <w:top w:val="nil"/>
              <w:left w:val="single" w:sz="4" w:space="0" w:color="auto"/>
            </w:tcBorders>
            <w:vAlign w:val="bottom"/>
          </w:tcPr>
          <w:p w:rsidR="00AC292A" w:rsidRDefault="00AC292A">
            <w:pPr>
              <w:pStyle w:val="IASBTableArial"/>
            </w:pPr>
            <w:r>
              <w:lastRenderedPageBreak/>
              <w:t>Profit sau pierdere (câştig din transfer)</w:t>
            </w: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90</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t>Datorie</w:t>
            </w:r>
          </w:p>
        </w:tc>
        <w:tc>
          <w:tcPr>
            <w:tcW w:w="1547" w:type="dxa"/>
            <w:tcBorders>
              <w:top w:val="nil"/>
              <w:left w:val="nil"/>
            </w:tcBorders>
            <w:vAlign w:val="bottom"/>
          </w:tcPr>
          <w:p w:rsidR="00AC292A" w:rsidRDefault="00AC292A">
            <w:pPr>
              <w:pStyle w:val="IASBTableArial"/>
            </w:pP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tcBorders>
            <w:vAlign w:val="bottom"/>
          </w:tcPr>
          <w:p w:rsidR="00AC292A" w:rsidRDefault="00AC292A">
            <w:pPr>
              <w:pStyle w:val="IASBTableArial"/>
              <w:jc w:val="right"/>
            </w:pPr>
            <w:r>
              <w:t>—</w:t>
            </w:r>
          </w:p>
        </w:tc>
        <w:tc>
          <w:tcPr>
            <w:tcW w:w="273" w:type="dxa"/>
            <w:tcBorders>
              <w:top w:val="nil"/>
              <w:left w:val="nil"/>
            </w:tcBorders>
            <w:vAlign w:val="bottom"/>
          </w:tcPr>
          <w:p w:rsidR="00AC292A" w:rsidRDefault="00AC292A">
            <w:pPr>
              <w:pStyle w:val="IASBTableArial"/>
            </w:pPr>
          </w:p>
        </w:tc>
        <w:tc>
          <w:tcPr>
            <w:tcW w:w="1547" w:type="dxa"/>
            <w:tcBorders>
              <w:top w:val="nil"/>
              <w:left w:val="nil"/>
            </w:tcBorders>
            <w:vAlign w:val="bottom"/>
          </w:tcPr>
          <w:p w:rsidR="00AC292A" w:rsidRDefault="00AC292A">
            <w:pPr>
              <w:pStyle w:val="IASBTableArial"/>
              <w:jc w:val="right"/>
            </w:pPr>
            <w:r>
              <w:t>1.065</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t>Numerar primit</w:t>
            </w:r>
          </w:p>
        </w:tc>
        <w:tc>
          <w:tcPr>
            <w:tcW w:w="1547" w:type="dxa"/>
            <w:tcBorders>
              <w:top w:val="nil"/>
              <w:left w:val="nil"/>
            </w:tcBorders>
            <w:vAlign w:val="bottom"/>
          </w:tcPr>
          <w:p w:rsidR="00AC292A" w:rsidRDefault="00AC292A">
            <w:pPr>
              <w:pStyle w:val="IASBTableArial"/>
            </w:pP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bottom w:val="single" w:sz="4" w:space="0" w:color="auto"/>
            </w:tcBorders>
            <w:vAlign w:val="bottom"/>
          </w:tcPr>
          <w:p w:rsidR="00AC292A" w:rsidRDefault="00AC292A">
            <w:pPr>
              <w:pStyle w:val="IASBTableArial"/>
              <w:jc w:val="right"/>
            </w:pPr>
            <w:r>
              <w:t>9.115</w:t>
            </w:r>
          </w:p>
        </w:tc>
        <w:tc>
          <w:tcPr>
            <w:tcW w:w="273" w:type="dxa"/>
            <w:tcBorders>
              <w:top w:val="nil"/>
              <w:left w:val="nil"/>
            </w:tcBorders>
            <w:vAlign w:val="bottom"/>
          </w:tcPr>
          <w:p w:rsidR="00AC292A" w:rsidRDefault="00AC292A">
            <w:pPr>
              <w:pStyle w:val="IASBTableArial"/>
            </w:pPr>
          </w:p>
        </w:tc>
        <w:tc>
          <w:tcPr>
            <w:tcW w:w="1547" w:type="dxa"/>
            <w:tcBorders>
              <w:top w:val="nil"/>
              <w:left w:val="nil"/>
              <w:bottom w:val="single" w:sz="4" w:space="0" w:color="auto"/>
            </w:tcBorders>
            <w:vAlign w:val="bottom"/>
          </w:tcPr>
          <w:p w:rsidR="00AC292A" w:rsidRDefault="00AC292A">
            <w:pPr>
              <w:pStyle w:val="IASBTableArial"/>
              <w:jc w:val="right"/>
            </w:pPr>
            <w:r>
              <w:t>—</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2784" w:type="dxa"/>
            <w:tcBorders>
              <w:top w:val="nil"/>
              <w:left w:val="single" w:sz="4" w:space="0" w:color="auto"/>
            </w:tcBorders>
            <w:vAlign w:val="bottom"/>
          </w:tcPr>
          <w:p w:rsidR="00AC292A" w:rsidRDefault="00AC292A">
            <w:pPr>
              <w:pStyle w:val="IASBTableArial"/>
            </w:pPr>
            <w:r>
              <w:rPr>
                <w:b/>
              </w:rPr>
              <w:t>Total</w:t>
            </w:r>
          </w:p>
        </w:tc>
        <w:tc>
          <w:tcPr>
            <w:tcW w:w="1547" w:type="dxa"/>
            <w:tcBorders>
              <w:top w:val="nil"/>
              <w:left w:val="nil"/>
            </w:tcBorders>
            <w:vAlign w:val="bottom"/>
          </w:tcPr>
          <w:p w:rsidR="00AC292A" w:rsidRDefault="00AC292A">
            <w:pPr>
              <w:pStyle w:val="IASBTableArial"/>
            </w:pPr>
          </w:p>
        </w:tc>
        <w:tc>
          <w:tcPr>
            <w:tcW w:w="273" w:type="dxa"/>
            <w:tcBorders>
              <w:top w:val="nil"/>
              <w:left w:val="nil"/>
            </w:tcBorders>
            <w:vAlign w:val="bottom"/>
          </w:tcPr>
          <w:p w:rsidR="00AC292A" w:rsidRDefault="00AC292A">
            <w:pPr>
              <w:pStyle w:val="IASBTableArial"/>
              <w:jc w:val="right"/>
            </w:pPr>
          </w:p>
        </w:tc>
        <w:tc>
          <w:tcPr>
            <w:tcW w:w="1547" w:type="dxa"/>
            <w:tcBorders>
              <w:top w:val="nil"/>
              <w:left w:val="nil"/>
              <w:bottom w:val="double" w:sz="4" w:space="0" w:color="auto"/>
            </w:tcBorders>
            <w:vAlign w:val="bottom"/>
          </w:tcPr>
          <w:p w:rsidR="00AC292A" w:rsidRDefault="00AC292A">
            <w:pPr>
              <w:pStyle w:val="IASBTableArial"/>
              <w:jc w:val="right"/>
            </w:pPr>
            <w:r>
              <w:rPr>
                <w:b/>
              </w:rPr>
              <w:t>10.155</w:t>
            </w:r>
          </w:p>
        </w:tc>
        <w:tc>
          <w:tcPr>
            <w:tcW w:w="273" w:type="dxa"/>
            <w:tcBorders>
              <w:top w:val="nil"/>
              <w:left w:val="nil"/>
            </w:tcBorders>
            <w:vAlign w:val="bottom"/>
          </w:tcPr>
          <w:p w:rsidR="00AC292A" w:rsidRDefault="00AC292A">
            <w:pPr>
              <w:pStyle w:val="IASBTableArial"/>
            </w:pPr>
          </w:p>
        </w:tc>
        <w:tc>
          <w:tcPr>
            <w:tcW w:w="1547" w:type="dxa"/>
            <w:tcBorders>
              <w:top w:val="nil"/>
              <w:left w:val="nil"/>
              <w:bottom w:val="double" w:sz="4" w:space="0" w:color="auto"/>
            </w:tcBorders>
            <w:vAlign w:val="bottom"/>
          </w:tcPr>
          <w:p w:rsidR="00AC292A" w:rsidRDefault="00AC292A">
            <w:pPr>
              <w:pStyle w:val="IASBTableArial"/>
              <w:jc w:val="right"/>
            </w:pPr>
            <w:r>
              <w:rPr>
                <w:b/>
              </w:rPr>
              <w:t>10.155</w:t>
            </w:r>
          </w:p>
        </w:tc>
        <w:tc>
          <w:tcPr>
            <w:tcW w:w="273" w:type="dxa"/>
            <w:tcBorders>
              <w:top w:val="nil"/>
              <w:left w:val="nil"/>
              <w:right w:val="single" w:sz="4" w:space="0" w:color="auto"/>
            </w:tcBorders>
            <w:vAlign w:val="bottom"/>
          </w:tcPr>
          <w:p w:rsidR="00AC292A" w:rsidRDefault="00AC292A">
            <w:pPr>
              <w:pStyle w:val="IASBTableArial"/>
            </w:pP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Arial"/>
            </w:pPr>
          </w:p>
        </w:tc>
      </w:tr>
      <w:tr w:rsidR="00AC292A">
        <w:trPr>
          <w:cantSplit/>
        </w:trPr>
        <w:tc>
          <w:tcPr>
            <w:tcW w:w="8244" w:type="dxa"/>
            <w:gridSpan w:val="7"/>
            <w:tcBorders>
              <w:top w:val="nil"/>
              <w:left w:val="single" w:sz="4" w:space="0" w:color="auto"/>
              <w:right w:val="single" w:sz="4" w:space="0" w:color="auto"/>
            </w:tcBorders>
            <w:vAlign w:val="bottom"/>
          </w:tcPr>
          <w:p w:rsidR="00AC292A" w:rsidRDefault="00AC292A">
            <w:pPr>
              <w:pStyle w:val="IASBTableTNR"/>
            </w:pPr>
            <w:r>
              <w:t>Imediat după tranzacţie, valoarea contabilă a activului este de 2.040 u.m., care cuprind 1.000 u.m. reprezentând costul alocat al părţii păstrate şi 1.040 u.m. reprezentând implicarea continuă suplimentară a entităţii din subordonarea interesului său păstrat pentru pierderile din creditare (care include marja suplimentară de 40 u.m.).</w:t>
            </w:r>
          </w:p>
        </w:tc>
      </w:tr>
      <w:tr w:rsidR="00AC292A">
        <w:trPr>
          <w:cantSplit/>
        </w:trPr>
        <w:tc>
          <w:tcPr>
            <w:tcW w:w="8244" w:type="dxa"/>
            <w:gridSpan w:val="7"/>
            <w:tcBorders>
              <w:top w:val="nil"/>
              <w:left w:val="single" w:sz="4" w:space="0" w:color="auto"/>
              <w:bottom w:val="single" w:sz="4" w:space="0" w:color="auto"/>
              <w:right w:val="single" w:sz="4" w:space="0" w:color="auto"/>
            </w:tcBorders>
            <w:vAlign w:val="bottom"/>
          </w:tcPr>
          <w:p w:rsidR="00AC292A" w:rsidRDefault="00AC292A">
            <w:pPr>
              <w:pStyle w:val="IASBTableTNR"/>
            </w:pPr>
            <w:r>
              <w:t>În perioadele ulterioare, entitatea recunoaşte contravaloarea primită pentru ameliorarea condiţiilor de credit (65 u.m.) pe baza repartizării proporţionale în timp, angajează dobândă pentru activul recunoscut utilizând metoda dobânzii efective şi recunoaşte orice pierderi din deprecierea creditului asupra activelor recunoscute. Pentru a exemplifica situaţia din urmă, să presupunem că în următorul an se înregistrează o pierdere din depreciere pentru împrumuturile de bază de 300 u.m. Entitatea îşi reduce activul recunoscut cu 600 u.m. (300 u.m. aferente interesului său păstrat și 300 u.m. aferente implicării continue suplimentare care apare din subordonarea interesului său păstrat pentru pierderile din depreciere) şi își reduce datoria recunoscută cu 300 u.m. Rezultatul net este o cheltuială înregistrată în profit sau pierdere pentru pierderile din depreciere de 300 u.m.</w:t>
            </w:r>
          </w:p>
        </w:tc>
      </w:tr>
    </w:tbl>
    <w:p w:rsidR="00AC292A" w:rsidRDefault="00AC292A">
      <w:pPr>
        <w:pStyle w:val="IASBNormalnpara"/>
      </w:pPr>
    </w:p>
    <w:p w:rsidR="00AC292A" w:rsidRDefault="00AC292A">
      <w:pPr>
        <w:pStyle w:val="IASBSectionTitle2Ind"/>
      </w:pPr>
      <w:bookmarkStart w:id="568" w:name="F32571199"/>
      <w:r>
        <w:t>Derecunoaşterea datoriilor financiare (secţiunea 3.3)</w:t>
      </w:r>
      <w:bookmarkEnd w:id="568"/>
    </w:p>
    <w:p w:rsidR="00AC292A" w:rsidRDefault="00AC292A">
      <w:pPr>
        <w:pStyle w:val="IASBNormalnpara"/>
      </w:pPr>
      <w:r>
        <w:t>B3.3.1</w:t>
      </w:r>
      <w:r>
        <w:tab/>
      </w:r>
      <w:bookmarkStart w:id="569" w:name="F32571200"/>
      <w:r>
        <w:t xml:space="preserve">O datorie financiară (sau o parte din ea) este stinsă atunci când debitorul fie: </w:t>
      </w:r>
      <w:bookmarkEnd w:id="569"/>
    </w:p>
    <w:p w:rsidR="00AC292A" w:rsidRDefault="00AC292A">
      <w:pPr>
        <w:pStyle w:val="IASBNormalnparaL1"/>
      </w:pPr>
      <w:r>
        <w:t>(a)</w:t>
      </w:r>
      <w:r>
        <w:tab/>
      </w:r>
      <w:bookmarkStart w:id="570" w:name="F32571203"/>
      <w:r>
        <w:t>achită datoria (sau o parte din ea) plătind creditorului, în mod normal în numerar, alte active financiare, bunuri sau servicii; fie</w:t>
      </w:r>
      <w:bookmarkEnd w:id="570"/>
    </w:p>
    <w:p w:rsidR="00AC292A" w:rsidRDefault="00AC292A">
      <w:pPr>
        <w:pStyle w:val="IASBNormalnparaL1"/>
      </w:pPr>
      <w:r>
        <w:t>(b)</w:t>
      </w:r>
      <w:r>
        <w:tab/>
      </w:r>
      <w:bookmarkStart w:id="571" w:name="F32571205"/>
      <w:r>
        <w:t>este eliberat în mod legal de responsabilitatea primară legată de datorie (sau de o parte din ea), fie prin lege, fie de către creditor. (Dacă debitorul a dat o garanţie că această condiţie ar putea fi încă îndeplinită.)</w:t>
      </w:r>
      <w:bookmarkEnd w:id="571"/>
    </w:p>
    <w:p w:rsidR="00AC292A" w:rsidRDefault="00AC292A">
      <w:pPr>
        <w:pStyle w:val="IASBNormalnpara"/>
      </w:pPr>
      <w:r>
        <w:t>B3.3.2</w:t>
      </w:r>
      <w:r>
        <w:tab/>
      </w:r>
      <w:bookmarkStart w:id="572" w:name="F32571206"/>
      <w:r>
        <w:t>Dacă un emitent al unui instrument de datorie răscumpără acel instrument, datoria este stinsă chiar dacă emitentul este un cumpărător sau un vânzător pe piaţă pentru acel instrument sau intenţionează să îl revândă în viitorul apropiat.</w:t>
      </w:r>
      <w:bookmarkEnd w:id="572"/>
    </w:p>
    <w:p w:rsidR="00AC292A" w:rsidRDefault="00AC292A">
      <w:pPr>
        <w:pStyle w:val="IASBNormalnpara"/>
      </w:pPr>
      <w:r>
        <w:t>B3.3.3</w:t>
      </w:r>
      <w:r>
        <w:tab/>
      </w:r>
      <w:bookmarkStart w:id="573" w:name="F32571209"/>
      <w:r>
        <w:t>Plata către un terţ, inclusiv către un trust (uneori numită „ştergere în fond a datoriilor”), nu scuteşte, în sine, debitorul de obligaţia sa primară faţă de creditor, în absenţa unei scutiri legale.</w:t>
      </w:r>
      <w:bookmarkEnd w:id="573"/>
    </w:p>
    <w:p w:rsidR="00AC292A" w:rsidRDefault="00AC292A">
      <w:pPr>
        <w:pStyle w:val="IASBNormalnpara"/>
      </w:pPr>
      <w:r>
        <w:t>B3.3.4</w:t>
      </w:r>
      <w:r>
        <w:tab/>
      </w:r>
      <w:bookmarkStart w:id="574" w:name="F32571212"/>
      <w:r>
        <w:t>Dacă un debitor plăteşte un terţ pentru a-şi asuma o obligaţie şi îşi informează creditorul că terţul şi-a asumat obligaţia aferentă datoriei, debitorul nu derecunoaşte obligaţia aferentă datoriei, cu excepţia cazului în care este îndeplinită condiţia de la punctul B3.3.1 litera (b). Dacă debitorul plăteşte un terţ pentru a-şi asuma o obligaţie şi obţine o scutire legală de la creditorul său, debitorul stinge datoria. Totuşi, dacă debitorul este de acord să facă plăţile asupra datoriei către terţ sau direct creditorului său iniţial, debitorul recunoaşte o nouă obligaţie aferentă datoriei către terţ.</w:t>
      </w:r>
      <w:bookmarkEnd w:id="574"/>
    </w:p>
    <w:p w:rsidR="00AC292A" w:rsidRDefault="00AC292A">
      <w:pPr>
        <w:pStyle w:val="IASBNormalnpara"/>
      </w:pPr>
      <w:r>
        <w:t>B3.3.5</w:t>
      </w:r>
      <w:r>
        <w:tab/>
      </w:r>
      <w:bookmarkStart w:id="575" w:name="F32571215"/>
      <w:r>
        <w:t>Cu toate că scutirea legală, fie ea pe cale juridică sau acordată de creditor, are drept rezultat derecunoaşterea unei datorii, entitatea poate recunoaşte o nouă datorie în cazul în care criteriile de derecunoaştere de la punctele 3.2.1-3.2.23 nu sunt îndeplinite pentru activele financiare transferate. Dacă acele criterii nu sunt îndeplinite, activele transferate nu sunt derecunoscute şi entitatea recunoaşte o nouă datorie aferentă activelor transferate.</w:t>
      </w:r>
      <w:bookmarkEnd w:id="575"/>
    </w:p>
    <w:p w:rsidR="00AC292A" w:rsidRDefault="00AC292A">
      <w:pPr>
        <w:pStyle w:val="IASBNormalnpara"/>
      </w:pPr>
      <w:r>
        <w:t>B3.3.6</w:t>
      </w:r>
      <w:r>
        <w:tab/>
      </w:r>
      <w:bookmarkStart w:id="576" w:name="F32571218"/>
      <w:r>
        <w:t>În sensul punctului 3.3.2, condiţiile sunt semnificativ diferite dacă valoarea prezentă actualizată a fluxurilor de trezorerie conform noilor condiţii, inclusiv orice taxe plătite minus orice taxe primite şi actualizate utilizând rata iniţială a dobânzii efective, este cu cel puţin 10% diferită de valoarea prezentă actualizată a fluxurilor de trezorerie rămase din datoria financiară iniţială. Dacă un schimb de instrumente de datorie sau modificarea condiţiilor este contabilizat(ă) drept o stingere, orice costuri sau onorarii suportate sunt recunoscute ca făcând parte din câştigul sau pierderea din stingere. Dacă schimbul sau modificarea nu este contabilizat(ă) drept o stingere, orice costuri sau onorarii suportate ajustează valoarea contabilă a datoriei şi sunt amortizate pe parcursul termenului rămas al datoriei modificate.</w:t>
      </w:r>
      <w:bookmarkEnd w:id="576"/>
    </w:p>
    <w:p w:rsidR="00AC292A" w:rsidRDefault="00AC292A">
      <w:pPr>
        <w:pStyle w:val="IASBNormalnpara"/>
      </w:pPr>
      <w:r>
        <w:t>B3.3.7</w:t>
      </w:r>
      <w:r>
        <w:tab/>
      </w:r>
      <w:bookmarkStart w:id="577" w:name="F32571219"/>
      <w:r>
        <w:t xml:space="preserve">În anumite cazuri, un creditor îl eliberează pe debitor de obligaţia sa actuală de a face plăţi, dar debitorul îşi asumă o obligaţie-garanţie de a plăti dacă partea care îşi asumă responsabilitatea primară nu reuşeşte să o îndeplinească. În aceste situaţii, debitorul: </w:t>
      </w:r>
      <w:bookmarkEnd w:id="577"/>
    </w:p>
    <w:p w:rsidR="00AC292A" w:rsidRDefault="00AC292A">
      <w:pPr>
        <w:pStyle w:val="IASBNormalnparaL1"/>
      </w:pPr>
      <w:r>
        <w:lastRenderedPageBreak/>
        <w:t>(a)</w:t>
      </w:r>
      <w:r>
        <w:tab/>
      </w:r>
      <w:bookmarkStart w:id="578" w:name="F32571222"/>
      <w:r>
        <w:t>recunoaşte o nouă datorie financiară bazată pe valoarea justă a obligaţiei sale pentru garanţie, şi</w:t>
      </w:r>
      <w:bookmarkEnd w:id="578"/>
    </w:p>
    <w:p w:rsidR="00AC292A" w:rsidRDefault="00AC292A">
      <w:pPr>
        <w:pStyle w:val="IASBNormalnparaL1"/>
      </w:pPr>
      <w:r>
        <w:t>(b)</w:t>
      </w:r>
      <w:r>
        <w:tab/>
      </w:r>
      <w:bookmarkStart w:id="579" w:name="F32571224"/>
      <w:r>
        <w:t>recunoaşte un câştig sau o pierdere bazat(ă) pe diferenţa dintre (i) orice încasări şi (ii) valoarea contabilă a datoriei financiare iniţiale minus valoarea justă a noii datorii financiare.</w:t>
      </w:r>
      <w:bookmarkEnd w:id="579"/>
    </w:p>
    <w:p w:rsidR="00AC292A" w:rsidRDefault="00AC292A">
      <w:pPr>
        <w:pStyle w:val="IASBSectionTitle1NonInd"/>
      </w:pPr>
      <w:bookmarkStart w:id="580" w:name="F32570873"/>
      <w:r>
        <w:t>Clasificare (capitolul 4)</w:t>
      </w:r>
      <w:bookmarkEnd w:id="580"/>
    </w:p>
    <w:p w:rsidR="00AC292A" w:rsidRDefault="00AC292A">
      <w:pPr>
        <w:pStyle w:val="IASBSectionTitle2Ind"/>
      </w:pPr>
      <w:bookmarkStart w:id="581" w:name="F32571264"/>
      <w:r>
        <w:t>Clasificarea activelor financiare (secţiunea 4.1)</w:t>
      </w:r>
      <w:bookmarkEnd w:id="581"/>
    </w:p>
    <w:p w:rsidR="00AC292A" w:rsidRDefault="00AC292A">
      <w:pPr>
        <w:pStyle w:val="IASBSectionTitle3Ind"/>
      </w:pPr>
      <w:bookmarkStart w:id="582" w:name="F32571266"/>
      <w:r>
        <w:t>Modelul de afaceri al entităţii pentru gestionarea activelor financiare</w:t>
      </w:r>
      <w:bookmarkEnd w:id="582"/>
    </w:p>
    <w:p w:rsidR="00AC292A" w:rsidRDefault="00AC292A">
      <w:pPr>
        <w:pStyle w:val="IASBNormalnpara"/>
      </w:pPr>
      <w:r>
        <w:t>B4.1.1</w:t>
      </w:r>
      <w:r>
        <w:tab/>
      </w:r>
      <w:bookmarkStart w:id="583" w:name="F32571267"/>
      <w:r>
        <w:t xml:space="preserve">Punctul 4.1.1 litera (a) prevede ca o entitate să clasifice activele financiare pe baza modelului de afaceri al entităţii pentru gestionarea activelor financiare, exceptând cazul în care se aplică punctul 4.1.5. O entitate evaluează dacă activele sale financiare îndeplinesc condiţia de la punctul 4.1.2 litera (a) sau condiţia de la punctul 4.1.2A litera (a) pe baza modelului de afaceri determinat de personalul-cheie din conducerea entităţii (conform definiţiei din IAS 24 </w:t>
      </w:r>
      <w:r>
        <w:rPr>
          <w:i/>
        </w:rPr>
        <w:t>Prezentarea informaţiilor privind părţile afiliate</w:t>
      </w:r>
      <w:r>
        <w:t>).</w:t>
      </w:r>
      <w:bookmarkEnd w:id="583"/>
    </w:p>
    <w:p w:rsidR="00AC292A" w:rsidRDefault="00AC292A">
      <w:pPr>
        <w:pStyle w:val="IASBNormalnpara"/>
      </w:pPr>
      <w:r>
        <w:t>B4.1.2</w:t>
      </w:r>
      <w:r>
        <w:tab/>
      </w:r>
      <w:bookmarkStart w:id="584" w:name="F32571268"/>
      <w:r>
        <w:t>Modelul de afaceri al unei entităţi este determinat la un nivel care reflectă modalitatea prin care grupurile de active financiare sunt gestionate împreună pentru a obţine un anumit obiectiv al afacerii. Modelul de afaceri al entităţii nu depinde de intenţiile conducerii faţă de un instrument individual. În consecinţă, această condiţie nu reprezintă o abordare de la instrument la instrument şi trebuie stabilită la un nivel superior de agregare. Totuşi, o entitate unică  poate avea mai mult de un singur model de afaceri pentru gestionarea activelor sale financiare. În consecință, nu este necesară stabilirea clasificării la nivelul entităţii raportoare. De exemplu, entitatea poate deţine un portofoliu de investiţii pe care îl gestionează cu scopul de a colecta fluxuri de trezorerie contractuale şi un alt portofoliu de investiţii pe care îl gestionează cu scopul de a-l tranzacţiona în vederea realizării modificărilor la valoarea justă. În mod similar, în anumite circumstanţe, poate fi potrivită separarea unui portofoliu de active financiare în mai multe subportofolii pentru a reflecta nivelul la care o entitate gestionează respectivele active financiare. De exemplu, acesta poate fi cazul dacă o entitate emite sau cumpără un portofoliu de împrumuturi ipotecare şi gestionează o parte din împrumuturi cu obiectivul de a colecta fluxuri de trezorerie contractuale, alte împrumuturi le gestionează cu obiectivul de a le vinde.</w:t>
      </w:r>
      <w:bookmarkEnd w:id="584"/>
    </w:p>
    <w:p w:rsidR="00AC292A" w:rsidRDefault="00AC292A">
      <w:pPr>
        <w:pStyle w:val="IASBNormalnpara"/>
      </w:pPr>
      <w:r>
        <w:t>B4.1.2A</w:t>
      </w:r>
      <w:r>
        <w:tab/>
      </w:r>
      <w:bookmarkStart w:id="585" w:name="F32571269"/>
      <w:r>
        <w:t xml:space="preserve">Modelul de afaceri al unei entităţi se referă la modalitatea prin care o entitate îşi gestionează activele financiare pentru a genera fluxuri de trezorerie. Adică modelul de afaceri al entităţii stabileşte dacă fluxurile de trezorerie vor rezulta din colectarea fluxurilor de trezorerie contractuale, vânzarea activelor financiare sau din ambele. În consecinţă, această evaluare nu este realizată pe baza scenariilor pe care entitatea nu le preconizează în mod rezonabil să apară, aşa-numitele „scenarii pesimiste” sau „scenarii de stres”. De exemplu, dacă o entitate preconizează că va vinde un anumit portofoliu de active financiare doar într-un scenariu de stres, respectivul scenariu nu va afecta evaluarea entităţii privind modelul de afaceri pentru acele active dacă entitatea, în mod rezonabil, preconizează că un astfel de scenariu nu va apărea. Dacă fluxurile de trezorerie sunt realizate într-o manieră diferită de preconizările entităţii la data la care entitatea a evaluat modelul de afaceri (de exemplu, dacă entitatea vinde mai multe sau mai puţine active financiare decât preconizase atunci când şi-a clasificat activele), acest lucru nu are ca rezultat o eroare a perioadei anterioare în situaţiile financiare ale entităţii (a se vedea IAS 8 </w:t>
      </w:r>
      <w:r>
        <w:rPr>
          <w:i/>
        </w:rPr>
        <w:t>Politici contabile, modificări ale estimărilor contabile şi erori</w:t>
      </w:r>
      <w:r>
        <w:t>) şi nici nu schimbă clasificarea activelor financiare rămase deţinute în respectivul model de afaceri (adică acele active pe care entitatea le-a recunoscut în perioade anterioare şi pe care încă le deţine) atâta timp cât entitatea a analizat toate informaţiile relevante care erau disponibile la data la care a realizat evaluarea modelului. Cu toate acestea, atunci când o entitate evaluează modelul de afaceri pentru activele financiare nou-emise sau nou-achiziţionate, ea trebuie să analizeze informaţiile despre modalitatea prin care fluxurile de trezorerie au fost realizate în trecut, împreună cu alte informaţii relevante.</w:t>
      </w:r>
      <w:bookmarkEnd w:id="585"/>
    </w:p>
    <w:p w:rsidR="00AC292A" w:rsidRDefault="00AC292A">
      <w:pPr>
        <w:pStyle w:val="IASBNormalnpara"/>
      </w:pPr>
      <w:r>
        <w:t>B4.1.2B</w:t>
      </w:r>
      <w:r>
        <w:tab/>
      </w:r>
      <w:bookmarkStart w:id="586" w:name="F32571270"/>
      <w:r>
        <w:t>Modelul de afaceri al unei entităţi pentru gestionarea activelor financiare este o realitate, şi nu doar o simplă afirmaţie. Acesta este de obicei observabil prin activitățile pe care entitatea le întreprinde pentru a atinge obiectivul modelului de afaceri. O entitate va trebui să utilizeze raţionamentul atunci când îşi evaluează modelul de afaceri pentru gestionarea activelor financiare şi respectiva evaluare nu este stabilită în baza unui singur factor sau a unei singure activități. În schimb, entitatea trebuie să analizeze toate dovezile relevante care sunt disponibile la data evaluării. Astfel de dovezi relevante includ, fără a se limita la:</w:t>
      </w:r>
      <w:bookmarkEnd w:id="586"/>
    </w:p>
    <w:p w:rsidR="00AC292A" w:rsidRDefault="00AC292A">
      <w:pPr>
        <w:pStyle w:val="IASBNormalnparaL1"/>
      </w:pPr>
      <w:r>
        <w:t>(a)</w:t>
      </w:r>
      <w:r>
        <w:tab/>
      </w:r>
      <w:bookmarkStart w:id="587" w:name="F32571273"/>
      <w:r>
        <w:t>modalitatea prin care performanţa modelului de afaceri şi activele financiare deţinute în cadrul respectivului model de afaceri sunt evaluate şi raportate personalului-cheie din conducerea entităţii;</w:t>
      </w:r>
      <w:bookmarkEnd w:id="587"/>
    </w:p>
    <w:p w:rsidR="00AC292A" w:rsidRDefault="00AC292A">
      <w:pPr>
        <w:pStyle w:val="IASBNormalnparaL1"/>
      </w:pPr>
      <w:r>
        <w:lastRenderedPageBreak/>
        <w:t>(b)</w:t>
      </w:r>
      <w:r>
        <w:tab/>
      </w:r>
      <w:bookmarkStart w:id="588" w:name="F32571275"/>
      <w:r>
        <w:t>riscurile care afectează performanţa modelului de afaceri (şi activele financiare deţinute în cadrul respectivului modelul de afaceri) şi, îndeosebi, modalitatea prin care sunt gestionate respectivele riscuri; și</w:t>
      </w:r>
      <w:bookmarkEnd w:id="588"/>
    </w:p>
    <w:p w:rsidR="00AC292A" w:rsidRDefault="00AC292A">
      <w:pPr>
        <w:pStyle w:val="IASBNormalnparaL1"/>
      </w:pPr>
      <w:r>
        <w:t>(c)</w:t>
      </w:r>
      <w:r>
        <w:tab/>
      </w:r>
      <w:bookmarkStart w:id="589" w:name="F32571277"/>
      <w:r>
        <w:t>modul în care sunt compensaţi managerii afacerii (de exemplu, dacă compensaţia se bazează pe valoarea justă a activelor gestionate sau pe fluxurile de trezorerie contractuale colectate).</w:t>
      </w:r>
      <w:bookmarkEnd w:id="589"/>
    </w:p>
    <w:p w:rsidR="00AC292A" w:rsidRDefault="00AC292A">
      <w:pPr>
        <w:pStyle w:val="IASBSectionTitle4Ind"/>
      </w:pPr>
      <w:bookmarkStart w:id="590" w:name="F32571279"/>
      <w:r>
        <w:t>Un model de afaceri al cărui obiectiv este de a deţine active pentru a colecta fluxuri de trezorerie contractuale</w:t>
      </w:r>
      <w:bookmarkEnd w:id="590"/>
    </w:p>
    <w:p w:rsidR="00AC292A" w:rsidRDefault="00AC292A">
      <w:pPr>
        <w:pStyle w:val="IASBNormalnpara"/>
      </w:pPr>
      <w:r>
        <w:t>B4.1.2C</w:t>
      </w:r>
      <w:r>
        <w:tab/>
      </w:r>
      <w:bookmarkStart w:id="591" w:name="F32571280"/>
      <w:r>
        <w:t>Activele financiare care sunt deţinute în cadrul unui model de afaceri al cărui obiectiv este de a deţine active pentru a colecta fluxuri de trezorerie contractuale sunt gestionate pentru a obţine fluxuri de trezorerie prin colectarea plăţilor contractuale pe durata vieţii instrumentului. Adică entitatea gestionează activele deţinute în portofoliu pentru a colecta acele anumite fluxuri de trezorerie contractuale (în loc să gestioneze rentabilitatea generală a portofoliului atât prin deţinerea, cât şi prin vânzarea activelor). Pentru a stabili dacă fluxurile de trezorerie vor fi obţinute prin colectarea fluxurilor de trezorerie contractuale ale activelor financiare, este necesară analiza frecvenţei, valorii şi timpului de vânzare din perioadele anterioare, a motivelor acelor vânzări şi a preconizărilor cu privire la activitatea de vânzări viitoare. Totuşi, vânzările în sine nu determină modelul de afaceri şi prin urmare nu pot fi analizate izolat. În schimb, informaţiile referitoare la vânzările anterioare şi preconizările cu privire la vânzările viitoare oferă dovezi despre modalitatea prin care este atins obiectivul declarat al entităţii de gestionare a activelor financiare şi în mod deosebit despre cum sunt realizate fluxurile de trezorerie. O entitate trebuie să analizeze informaţiile despre vânzările anterioare în contextul motivelor pentru acele vânzări şi al condiţiilor care existau la data respectivă în comparaţie cu condiţiile curente.</w:t>
      </w:r>
      <w:bookmarkEnd w:id="591"/>
    </w:p>
    <w:p w:rsidR="00AC292A" w:rsidRDefault="00AC292A">
      <w:pPr>
        <w:pStyle w:val="IASBNormalnpara"/>
      </w:pPr>
      <w:r>
        <w:t>B4.1.3</w:t>
      </w:r>
      <w:r>
        <w:tab/>
      </w:r>
      <w:bookmarkStart w:id="592" w:name="F32571281"/>
      <w:r>
        <w:t>Deşi scopul unui model de afaceri al unei entităţi poate fi acela de a deţine active financiare în vederea colectării de fluxuri de trezorerie contractuale, nu este necesar ca entitatea să deţină toate aceste instrumente până la scadenţă. Astfel, modelul de afaceri al unei entităţi poate consta în deţinerea activelor financiare cu scopul de a colecta fluxuri de trezorerie contractuale chiar şi atunci când au loc sau sunt preconizate să aibă loc în viitor vânzări ale activelor financiare.</w:t>
      </w:r>
      <w:bookmarkEnd w:id="592"/>
    </w:p>
    <w:p w:rsidR="00AC292A" w:rsidRDefault="00AC292A">
      <w:pPr>
        <w:pStyle w:val="IASBNormalnpara"/>
      </w:pPr>
      <w:r>
        <w:t>B4.1.3A</w:t>
      </w:r>
      <w:r>
        <w:tab/>
      </w:r>
      <w:bookmarkStart w:id="593" w:name="F32571282"/>
      <w:r>
        <w:t>Modelul de afaceri poate consta în deţinerea activelor cu scopul de a colecta fluxuri de trezorerie contractuale chiar dacă entitatea vinde active financiare atunci când există o creştere a riscului de credit al activelor. Pentru a stabili dacă a existat o creştere în riscul de credit al activelor, entitatea analizează informaţii rezonabile şi justificabile, inclusiv informații cu caracter previzional. Indiferent de frecvenţa şi valoarea lor, vânzările datorate unei creşteri în riscul de credit al activelor nu sunt inconsecvente cu un model de afaceri al cărui obiectiv este deţinerea de active financiare pentru a colecta fluxuri de trezorerie contractuale deoarece calitatea creditului activelor financiare este relevantă pentru capacitatea entităţii de a colecta fluxuri de trezorerie contractuale. Activităţile pentru gestionarea riscului de credit care au ca scop minimizarea potenţialelor pierderi din creditare datorate deteriorării creditului sunt parte integrantă a unui astfel de model de afaceri. Vânzarea unui activ financiar deoarece nu mai îndeplineşte criteriile de creditare specificate în politica de investiţii documentată a entităţii este un exemplu de vânzare care a avut loc din cauza creşterii riscului de credit. Cu toate acestea, în absenţa unei astfel de politici, entitatea poate demonstra pe alte căi că vânzarea a avut loc din cauza unei creşteri a riscului de credit.</w:t>
      </w:r>
      <w:bookmarkEnd w:id="593"/>
    </w:p>
    <w:p w:rsidR="00AC292A" w:rsidRDefault="00AC292A">
      <w:pPr>
        <w:pStyle w:val="IASBNormalnpara"/>
      </w:pPr>
      <w:r>
        <w:t>B4.1.3B</w:t>
      </w:r>
      <w:r>
        <w:tab/>
      </w:r>
      <w:bookmarkStart w:id="594" w:name="F32571283"/>
      <w:r>
        <w:t>Vânzările care au loc din alte motive, precum vânzările realizate pentru a gestiona concentrarea riscului de credit (fără o creştere a riscului de credit al activelor), pot fi de asemenea consecvente cu un model de afaceri al cărui obiectiv este deţinerea activelor financiare pentru a colecta fluxuri de trezorerie contractuale. În special, astfel de vânzări pot fi consecvente cu un model de afaceri al cărui obiectiv este deţinerea activelor financiare pentru a colecta fluxuri de trezorerie contractuale dacă respectivele vânzări nu sunt frecvente (chiar dacă au o valoare semnificativă) sau au o valoare nesemnificativă atât individual, cât şi agregat (chiar dacă sunt frecvente). În cazul în care astfel de vânzări din portofoliu nu sunt frecvente, iar vânzările sunt nesemnificative ca valoare (fie individual, fie agregat), entitatea trebuie să evalueze dacă şi cum astfel de vânzări sunt consecvente cu obiectivul de a colecta fluxuri de trezorerie contractuale. Faptul că o terţă parte impune dispoziţia de a vinde activele financiare sau acea activitate este la discreţia entităţii nu este relevant pentru această evaluare. O creştere în frecvenţa sau valoarea vânzărilor într-o anumită perioadă nu este în mod obligatoriu inconsecventă cu un obiectiv de a deţine active financiare pentru a colecta fluxuri de trezorerie contractuale, dacă entitatea poate explica motivele pentru acele vânzări şi demonstra de ce acele vânzări nu reflectă o schimbare în modelul de afaceri al entităţii. În plus, vânzările pot fi consecvente cu obiectivul deţinerii de active financiare pentru a colecta fluxuri de trezorerie contractuale dacă vânzările sunt realizate la scadenţa activelor financiare şi încasările din vânzări aproximează colectarea fluxurilor de trezorerie contractuale rămase.</w:t>
      </w:r>
      <w:bookmarkEnd w:id="594"/>
    </w:p>
    <w:p w:rsidR="00AC292A" w:rsidRDefault="00AC292A">
      <w:pPr>
        <w:pStyle w:val="IASBNormalnpara"/>
      </w:pPr>
      <w:r>
        <w:t>B4.1.4</w:t>
      </w:r>
      <w:r>
        <w:tab/>
      </w:r>
      <w:bookmarkStart w:id="595" w:name="F32571284"/>
      <w:r>
        <w:t xml:space="preserve">Următoarele sunt exemple de situaţii în care obiectivul modelului de afaceri al unei entităţi poate fi acela de a deţine active financiare pentru a colecta fluxuri de trezorerie contractuale. Această listă de exemple nu </w:t>
      </w:r>
      <w:r>
        <w:lastRenderedPageBreak/>
        <w:t>este exhaustivă. Mai mult, exemplele nu au scopul de a prezenta toţi factorii care pot fi relevanţi pentru evaluarea modelului de afaceri al entităţii și nici de a specifica importanţa relativă a acestor factori.</w:t>
      </w:r>
      <w:bookmarkEnd w:id="595"/>
    </w:p>
    <w:p w:rsidR="00AC292A" w:rsidRDefault="00AC292A">
      <w:pPr>
        <w:pStyle w:val="IASBNormalnpara"/>
      </w:pPr>
    </w:p>
    <w:tbl>
      <w:tblPr>
        <w:tblW w:w="0" w:type="auto"/>
        <w:tblInd w:w="848" w:type="dxa"/>
        <w:tblLayout w:type="fixed"/>
        <w:tblLook w:val="0000" w:firstRow="0" w:lastRow="0" w:firstColumn="0" w:lastColumn="0" w:noHBand="0" w:noVBand="0"/>
      </w:tblPr>
      <w:tblGrid>
        <w:gridCol w:w="3694"/>
        <w:gridCol w:w="4550"/>
      </w:tblGrid>
      <w:tr w:rsidR="00AC292A">
        <w:trPr>
          <w:cantSplit/>
          <w:tblHeader/>
        </w:trPr>
        <w:tc>
          <w:tcPr>
            <w:tcW w:w="3694" w:type="dxa"/>
            <w:tcBorders>
              <w:top w:val="single" w:sz="4" w:space="0" w:color="auto"/>
              <w:left w:val="single" w:sz="4" w:space="0" w:color="auto"/>
              <w:bottom w:val="single" w:sz="4" w:space="0" w:color="auto"/>
              <w:right w:val="single" w:sz="4" w:space="0" w:color="auto"/>
            </w:tcBorders>
          </w:tcPr>
          <w:p w:rsidR="00AC292A" w:rsidRDefault="00AC292A">
            <w:pPr>
              <w:pStyle w:val="IASBTableHeaderArial"/>
            </w:pPr>
            <w:r>
              <w:rPr>
                <w:b/>
              </w:rPr>
              <w:t>Exemplu</w:t>
            </w:r>
          </w:p>
        </w:tc>
        <w:tc>
          <w:tcPr>
            <w:tcW w:w="4550" w:type="dxa"/>
            <w:tcBorders>
              <w:top w:val="single" w:sz="4" w:space="0" w:color="auto"/>
              <w:left w:val="nil"/>
              <w:bottom w:val="single" w:sz="4" w:space="0" w:color="auto"/>
              <w:right w:val="single" w:sz="4" w:space="0" w:color="auto"/>
            </w:tcBorders>
          </w:tcPr>
          <w:p w:rsidR="00AC292A" w:rsidRDefault="00AC292A">
            <w:pPr>
              <w:pStyle w:val="IASBTableHeaderArial"/>
            </w:pPr>
            <w:r>
              <w:rPr>
                <w:b/>
              </w:rPr>
              <w:t>Analiză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Exemplul 1</w:t>
            </w:r>
          </w:p>
          <w:p w:rsidR="00AC292A" w:rsidRDefault="00AC292A">
            <w:pPr>
              <w:pStyle w:val="IASBTableTNR"/>
            </w:pPr>
            <w:r>
              <w:t>O entitate deţine investiţii pentru a colecta din acestea fluxuri de trezorerie contractuale. Nevoile de finanţare ale entităţii sunt previzibile şi scadenţa activelor sale financiare este corelată cu nevoile estimate de finanţare ale entităţii.</w:t>
            </w:r>
          </w:p>
          <w:p w:rsidR="00AC292A" w:rsidRDefault="00AC292A">
            <w:pPr>
              <w:pStyle w:val="IASBTableTNR"/>
            </w:pPr>
            <w:r>
              <w:t>Entitatea desfăşoară activităţi de gestionare a riscului de credit în scopul minimizării pierderilor din creditare. În trecut, vânzările au avut loc de obicei atunci când riscul de credit al activelor financiare a crescut astfel încât activele nu mai îndeplineau criteriile de creditare specificate în politica de investiţii documentată a entităţii. Suplimentar, au avut loc vânzări rare ca urmare a nevoilor de finanţare neanticipate.</w:t>
            </w:r>
          </w:p>
          <w:p w:rsidR="00AC292A" w:rsidRDefault="00AC292A">
            <w:pPr>
              <w:pStyle w:val="IASBTableTNR"/>
            </w:pPr>
            <w:r>
              <w:t>Rapoartele către personalul-cheie din conducere se axează pe calitatea creditului pentru activele financiare şi pe rentabilitatea contractuală. Entitatea monitorizează, de asemenea, valorile juste ale activelor financiare, printre alte informaţii.</w:t>
            </w:r>
          </w:p>
        </w:tc>
        <w:tc>
          <w:tcPr>
            <w:tcW w:w="4550" w:type="dxa"/>
            <w:tcBorders>
              <w:top w:val="nil"/>
              <w:left w:val="nil"/>
              <w:bottom w:val="single" w:sz="4" w:space="0" w:color="auto"/>
              <w:right w:val="single" w:sz="4" w:space="0" w:color="auto"/>
            </w:tcBorders>
          </w:tcPr>
          <w:p w:rsidR="00AC292A" w:rsidRDefault="00AC292A">
            <w:pPr>
              <w:pStyle w:val="IASBTableTNR"/>
            </w:pPr>
            <w:r>
              <w:t>Deşi entitatea analizează, printre alte informaţii, valorile juste ale activelor financiare din punctul de vedere al lichidităţii (adică suma în numerar care ar fi realizată în cazul în care entitatea trebuie să vândă active), obiectivul entităţii este acela de a deţine active financiare pentru a colecta fluxuri de trezorerie contractuale. Vânzările nu ar fi în contradicţie cu acest obiectiv dacă au loc ca răspuns la creşterea riscului de credit al activelor, de exemplu, dacă activele nu mai îndeplinesc criteriile de creditare specificate în politica de investiţii documentată a entităţii. Vânzările rare rezultate din nevoile de finanţate neanticipate (de exemplu, într-un scenariu de stres) nu ar fi, de asemenea, în contradicţie cu respectivul obiectiv, chiar dacă astfel de vânzări au o valoare semnificativă.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Exemplul 2</w:t>
            </w:r>
          </w:p>
          <w:p w:rsidR="00AC292A" w:rsidRDefault="00AC292A">
            <w:pPr>
              <w:pStyle w:val="IASBTableTNR"/>
            </w:pPr>
            <w:r>
              <w:t>Modelul de afaceri al unei entităţi constă în achiziţionarea de portofolii de active financiare, precum împrumuturile. Aceste portofolii pot cuprinde sau nu active financiare depreciate ca urmare a riscului de credit.</w:t>
            </w:r>
          </w:p>
          <w:p w:rsidR="00AC292A" w:rsidRDefault="00AC292A">
            <w:pPr>
              <w:pStyle w:val="IASBTableTNR"/>
            </w:pPr>
            <w:r>
              <w:t>Dacă plata împrumuturilor nu se efectuează în timp util, entitatea încearcă să realizeze fluxurile de trezorerie contractuale prin diverse mijloace – de exemplu, prin contactarea debitorului prin intermediul e-mailului, telefonului sau prin alte metode. Obiectivul entităţii este de a colecta fluxuri de trezorerie contractuale, iar entitatea nu gestionează niciunul dintre împrumuturile din acest portofoliu cu obiectivul de a realiza fluxuri de trezorerie prin vânzarea lor.</w:t>
            </w:r>
          </w:p>
          <w:p w:rsidR="00AC292A" w:rsidRDefault="00AC292A">
            <w:pPr>
              <w:pStyle w:val="IASBTableTNR"/>
            </w:pPr>
            <w:r>
              <w:t>În unele situaţii, entitatea încheie swapuri pe rata dobânzii pentru a modifica rata dobânzii a anumitor active financiare dintr-un portofoliu de la o rată fluctuantă a dobânzii la o rată fixă a dobânzii.</w:t>
            </w:r>
          </w:p>
        </w:tc>
        <w:tc>
          <w:tcPr>
            <w:tcW w:w="4550" w:type="dxa"/>
            <w:tcBorders>
              <w:top w:val="nil"/>
              <w:left w:val="nil"/>
              <w:bottom w:val="single" w:sz="4" w:space="0" w:color="auto"/>
              <w:right w:val="single" w:sz="4" w:space="0" w:color="auto"/>
            </w:tcBorders>
          </w:tcPr>
          <w:p w:rsidR="00AC292A" w:rsidRDefault="00AC292A">
            <w:pPr>
              <w:pStyle w:val="IASBTableTNR"/>
            </w:pPr>
            <w:r>
              <w:t>Obiectivul modelului de afaceri al entităţii este de a deţine active financiare pentru a colecta fluxuri de trezorerie contractuale.</w:t>
            </w:r>
          </w:p>
          <w:p w:rsidR="00AC292A" w:rsidRDefault="00AC292A">
            <w:pPr>
              <w:pStyle w:val="IASBTableTNR"/>
            </w:pPr>
            <w:r>
              <w:t>Se aplică aceeaşi analiză chiar dacă entitatea nu preconizează că va primi toate fluxurile de trezorerie contractuale (de exemplu, unele dintre activele financiare sunt depreciate ca urmare a riscului de credit la recunoaşterea iniţială).</w:t>
            </w:r>
          </w:p>
          <w:p w:rsidR="00AC292A" w:rsidRDefault="00AC292A">
            <w:pPr>
              <w:pStyle w:val="IASBTableTNR"/>
            </w:pPr>
            <w:r>
              <w:t>În plus, faptul că entitatea a încheiat instrumente derivate pentru a modifica fluxurile de trezorerie din portofoliu nu modifică în sine modelul de afaceri al entităţii.</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lastRenderedPageBreak/>
              <w:t>Exemplul 3</w:t>
            </w:r>
          </w:p>
          <w:p w:rsidR="00AC292A" w:rsidRDefault="00AC292A">
            <w:pPr>
              <w:pStyle w:val="IASBTableTNR"/>
            </w:pPr>
            <w:r>
              <w:t>O entitate are un model de afaceri cu scopul de a acorda împrumuturi pentru clienţi şi pentru a vinde ulterior aceste împrumuturi unui vehicul de securizare. Vehiculul de securizare emite instrumente pentru investitori.</w:t>
            </w:r>
          </w:p>
          <w:p w:rsidR="00AC292A" w:rsidRDefault="00AC292A">
            <w:pPr>
              <w:pStyle w:val="IASBTableTNR"/>
            </w:pPr>
            <w:r>
              <w:t>Entitatea emitentă controlează vehiculul de securizare şi prin urmare îl consolidează.</w:t>
            </w:r>
          </w:p>
          <w:p w:rsidR="00AC292A" w:rsidRDefault="00AC292A">
            <w:pPr>
              <w:pStyle w:val="IASBTableTNR"/>
            </w:pPr>
            <w:r>
              <w:t>Vehiculul de securizare colectează fluxurile de trezorerie contractuale din împrumuturi şi le transferă investitorilor săi.</w:t>
            </w:r>
          </w:p>
          <w:p w:rsidR="00AC292A" w:rsidRDefault="00AC292A">
            <w:pPr>
              <w:pStyle w:val="IASBTableTNR"/>
            </w:pPr>
            <w:r>
              <w:t>În sensul prezentului exemplu se presupune că împrumuturile sunt recunoscute în continuare în situaţia consolidată a poziţiei financiare deoarece acestea nu sunt derecunoscute prin vehiculul de securizare.</w:t>
            </w:r>
          </w:p>
        </w:tc>
        <w:tc>
          <w:tcPr>
            <w:tcW w:w="4550" w:type="dxa"/>
            <w:tcBorders>
              <w:top w:val="nil"/>
              <w:left w:val="nil"/>
              <w:bottom w:val="single" w:sz="4" w:space="0" w:color="auto"/>
              <w:right w:val="single" w:sz="4" w:space="0" w:color="auto"/>
            </w:tcBorders>
          </w:tcPr>
          <w:p w:rsidR="00AC292A" w:rsidRDefault="00AC292A">
            <w:pPr>
              <w:pStyle w:val="IASBTableTNR"/>
            </w:pPr>
            <w:r>
              <w:t>Grupul consolidat acordă împrumuturi cu scopul de a le deţine în vederea colectării fluxurilor de trezorerie contractuale.</w:t>
            </w:r>
          </w:p>
          <w:p w:rsidR="00AC292A" w:rsidRDefault="00AC292A">
            <w:pPr>
              <w:pStyle w:val="IASBTableTNR"/>
            </w:pPr>
            <w:r>
              <w:t>Totuşi, entitatea emitentă are scopul de a realiza fluxuri de trezorerie din portofoliul de împrumuturi prin vânzarea împrumuturilor către vehiculul de securizare, aşadar, în sensul situaţiilor sale financiare individuale, nu se consideră că gestionează portofoliul său pentru a colecta fluxuri de trezorerie contractuale.</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Exemplul 4</w:t>
            </w:r>
          </w:p>
          <w:p w:rsidR="00AC292A" w:rsidRDefault="00AC292A">
            <w:pPr>
              <w:pStyle w:val="IASBTableTNR"/>
            </w:pPr>
            <w:r>
              <w:t>O instituţie financiară deţine active financiare pentru a răspunde nevoilor de lichiditate într-un „scenariu de stres” (de exemplu, o retragere masivă a depozitelor bancare). Entitatea nu anticipează vânzarea acestor active cu excepția acestor scenarii.</w:t>
            </w:r>
          </w:p>
          <w:p w:rsidR="00AC292A" w:rsidRDefault="00AC292A">
            <w:pPr>
              <w:pStyle w:val="IASBTableTNR"/>
            </w:pPr>
            <w:r>
              <w:t>Entitatea monitorizează calitatea creditului activelor financiare şi obiectivul său în gestionarea activelor financiare este de a colecta fluxuri de trezorerie contractuale. Entitatea evaluează performanţa activelor pe baza dobânzii din venituri câştigate şi a pierderilor din creditare înregistrate.</w:t>
            </w:r>
          </w:p>
          <w:p w:rsidR="00AC292A" w:rsidRDefault="00AC292A">
            <w:pPr>
              <w:pStyle w:val="IASBTableTNR"/>
            </w:pPr>
            <w:r>
              <w:t>Cu toate acestea, entitatea monitorizează, de asemenea, valoarea justă a activelor financiare din perspectiva lichidităţilor pentru a se asigura că suma de bani ce ar putea fi realizată dacă entitatea ar fi nevoită să vândă activele într-un scenariu de stres ar fi suficientă pentru a răspunde nevoilor de lichiditate ale entităţii. Periodic, entitatea efectuează vânzări nesemnificative ca valoare pentru a demonstra lichiditatea.</w:t>
            </w:r>
          </w:p>
        </w:tc>
        <w:tc>
          <w:tcPr>
            <w:tcW w:w="4550" w:type="dxa"/>
            <w:tcBorders>
              <w:top w:val="nil"/>
              <w:left w:val="nil"/>
              <w:bottom w:val="single" w:sz="4" w:space="0" w:color="auto"/>
              <w:right w:val="single" w:sz="4" w:space="0" w:color="auto"/>
            </w:tcBorders>
          </w:tcPr>
          <w:p w:rsidR="00AC292A" w:rsidRDefault="00AC292A">
            <w:pPr>
              <w:pStyle w:val="IASBTableTNR"/>
            </w:pPr>
            <w:r>
              <w:t>Obiectivul modelului de afaceri al entităţii este de a deţine active financiare pentru a colecta fluxuri de trezorerie contractuale.</w:t>
            </w:r>
          </w:p>
          <w:p w:rsidR="00AC292A" w:rsidRDefault="00AC292A">
            <w:pPr>
              <w:pStyle w:val="IASBTableTNR"/>
            </w:pPr>
            <w:r>
              <w:t>Analiza nu se modifică chiar dacă pe parcursul scenariului anterior de stres entitatea a avut vânzări semnificative ca valoare pentru a răspunde nevoilor de lichiditate. În mod similar, activitatea de vânzări recurente nesemnificative ca valoare nu este inconsecventă cu deţinerea activelor financiare pentru a colecta fluxuri de trezorerie contractuale.</w:t>
            </w:r>
          </w:p>
          <w:p w:rsidR="00AC292A" w:rsidRDefault="00AC292A">
            <w:pPr>
              <w:pStyle w:val="IASBTableTNR"/>
            </w:pPr>
            <w:r>
              <w:t>În schimb, dacă o entitate deţine active financiare pentru a răspunde nevoilor sale zilnice de lichiditate, iar atingerea acestui obiectiv implică vânzări frecvente semnificative ca valoare, obiectivul modelului de afaceri al entităţii nu este de a deţine active financiare pentru a colecta fluxuri de trezorerie contractuale.</w:t>
            </w:r>
          </w:p>
          <w:p w:rsidR="00AC292A" w:rsidRDefault="00AC292A">
            <w:pPr>
              <w:pStyle w:val="IASBTableTNR"/>
            </w:pPr>
            <w:r>
              <w:t>În mod similar, dacă entităţii i se impune de către organismul de reglementare să vândă în mod repetat active financiare pentru a demonstra că activele sunt lichide, iar valoarea activelor vândute este semnificativă, modelul de afaceri al entităţii nu este de a deţine active financiare pentru a colecta fluxuri de trezorerie contractuale. Faptul că o terţă parte impune dispoziţia de a vinde activele financiare sau că acea activitate este la discreţia entităţii nu este relevant pentru analiză.</w:t>
            </w:r>
          </w:p>
        </w:tc>
      </w:tr>
    </w:tbl>
    <w:p w:rsidR="00AC292A" w:rsidRDefault="00AC292A">
      <w:pPr>
        <w:pStyle w:val="IASBNormalnpara"/>
      </w:pPr>
    </w:p>
    <w:p w:rsidR="00AC292A" w:rsidRDefault="00AC292A">
      <w:pPr>
        <w:pStyle w:val="IASBSectionTitle4Ind"/>
      </w:pPr>
      <w:bookmarkStart w:id="596" w:name="F32571461"/>
      <w:r>
        <w:t>Un model de afaceri al cărui obiectiv este atins atât prin colectarea fluxurilor de trezorerie contractuale, cât şi prin vânzarea activelor financiare</w:t>
      </w:r>
      <w:bookmarkEnd w:id="596"/>
    </w:p>
    <w:p w:rsidR="00AC292A" w:rsidRDefault="00AC292A">
      <w:pPr>
        <w:pStyle w:val="IASBNormalnpara"/>
      </w:pPr>
      <w:r>
        <w:t>B4.1.4A</w:t>
      </w:r>
      <w:r>
        <w:tab/>
      </w:r>
      <w:bookmarkStart w:id="597" w:name="F32571462"/>
      <w:r>
        <w:t xml:space="preserve">O entitate poate deţine active financiare în cadrul unui model de afaceri al cărui obiectiv este îndeplinit atât prin colectarea fluxurilor de trezorerie contractuale, cât şi prin vânzarea activelor financiare. În cadrul acestui tip de model de afaceri, personalul-cheie din conducerea entităţii a luat decizia că atât colectarea fluxurilor de trezorerie contractuale, cât şi vânzarea activelor financiare fac parte din îndeplinirea obiectivului modelului de afaceri. Există diverse obiective care sunt consecvente cu acest tip de model de afaceri. De exemplu, obiectivul modelului de afaceri poate fi gestionarea zilnică a nevoilor de lichiditate, menţinerea unui anumit profil de randament al dobânzii sau corelarea duratei activelor financiare cu durata </w:t>
      </w:r>
      <w:r>
        <w:lastRenderedPageBreak/>
        <w:t>datoriilor pe care respectivele active le finanţează. Pentru a atinge un astfel de obiectiv, entitatea va colecta fluxurile de trezorerie contractuale şi, de asemenea, va vinde activele financiare.</w:t>
      </w:r>
      <w:bookmarkEnd w:id="597"/>
    </w:p>
    <w:p w:rsidR="00AC292A" w:rsidRDefault="00AC292A">
      <w:pPr>
        <w:pStyle w:val="IASBNormalnpara"/>
      </w:pPr>
      <w:r>
        <w:t>B4.1.4B</w:t>
      </w:r>
      <w:r>
        <w:tab/>
      </w:r>
      <w:bookmarkStart w:id="598" w:name="F32571463"/>
      <w:r>
        <w:t>În comparaţie cu un model de afaceri al cărui obiectiv este deţinerea de active financiare pentru a colecta fluxuri de trezorerie contractuale, acest model de afaceri va implica, în mod normal, o frecvenţă şi o valoare mai mari ale vânzărilor. Acest lucru este datorat faptului că vânzarea activelor financiare face parte din îndeplinirea obiectivului modelului de afaceri în loc să fie doar conexă acestui obiectiv. Totuşi, nu există un prag privind frecvenţa sau valoarea vânzărilor care trebuie să aibă loc în cadrul acestui model de afaceri deoarece atât colectarea fluxurilor de trezorerie contractuale, cât şi vânzarea activelor financiare fac parte din îndeplinirea obiectivului său.</w:t>
      </w:r>
      <w:bookmarkEnd w:id="598"/>
    </w:p>
    <w:p w:rsidR="00AC292A" w:rsidRDefault="00AC292A">
      <w:pPr>
        <w:pStyle w:val="IASBNormalnpara"/>
      </w:pPr>
      <w:r>
        <w:t>B4.1.4C</w:t>
      </w:r>
      <w:r>
        <w:tab/>
      </w:r>
      <w:bookmarkStart w:id="599" w:name="F32571465"/>
      <w:r>
        <w:t>Următoarele sunt exemple de situații în care obiectivul modelului de afaceri al entității poate fi îndeplinit atât prin colectarea fluxurilor de trezorerie contractuale, cât şi prin vânzarea activelor financiare. Această listă de exemple nu este exhaustivă. Mai mult, exemplele nu au scopul de a descrie toţi factorii relevanţi pentru evaluarea modelului de afaceri al entităţii și nici de a specifica importanţa relativă a acestor factori.</w:t>
      </w:r>
      <w:bookmarkEnd w:id="599"/>
    </w:p>
    <w:p w:rsidR="00AC292A" w:rsidRDefault="00AC292A">
      <w:pPr>
        <w:pStyle w:val="IASBNormalnpara"/>
      </w:pPr>
    </w:p>
    <w:tbl>
      <w:tblPr>
        <w:tblW w:w="0" w:type="auto"/>
        <w:tblInd w:w="848" w:type="dxa"/>
        <w:tblLayout w:type="fixed"/>
        <w:tblLook w:val="0000" w:firstRow="0" w:lastRow="0" w:firstColumn="0" w:lastColumn="0" w:noHBand="0" w:noVBand="0"/>
      </w:tblPr>
      <w:tblGrid>
        <w:gridCol w:w="3694"/>
        <w:gridCol w:w="4550"/>
      </w:tblGrid>
      <w:tr w:rsidR="00AC292A">
        <w:trPr>
          <w:cantSplit/>
          <w:tblHeader/>
        </w:trPr>
        <w:tc>
          <w:tcPr>
            <w:tcW w:w="3694" w:type="dxa"/>
            <w:tcBorders>
              <w:top w:val="single" w:sz="4" w:space="0" w:color="auto"/>
              <w:left w:val="single" w:sz="4" w:space="0" w:color="auto"/>
              <w:bottom w:val="single" w:sz="4" w:space="0" w:color="auto"/>
              <w:right w:val="single" w:sz="4" w:space="0" w:color="auto"/>
            </w:tcBorders>
            <w:vAlign w:val="bottom"/>
          </w:tcPr>
          <w:p w:rsidR="00AC292A" w:rsidRDefault="00AC292A">
            <w:pPr>
              <w:pStyle w:val="IASBTableHeaderArial"/>
            </w:pPr>
            <w:r>
              <w:rPr>
                <w:b/>
              </w:rPr>
              <w:t>Exemplu</w:t>
            </w:r>
          </w:p>
        </w:tc>
        <w:tc>
          <w:tcPr>
            <w:tcW w:w="4550" w:type="dxa"/>
            <w:tcBorders>
              <w:top w:val="single" w:sz="4" w:space="0" w:color="auto"/>
              <w:left w:val="nil"/>
              <w:bottom w:val="single" w:sz="4" w:space="0" w:color="auto"/>
              <w:right w:val="single" w:sz="4" w:space="0" w:color="auto"/>
            </w:tcBorders>
            <w:vAlign w:val="bottom"/>
          </w:tcPr>
          <w:p w:rsidR="00AC292A" w:rsidRDefault="00AC292A">
            <w:pPr>
              <w:pStyle w:val="IASBTableHeaderArial"/>
            </w:pPr>
            <w:r>
              <w:rPr>
                <w:b/>
              </w:rPr>
              <w:t>Analiză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Exemplul 5</w:t>
            </w:r>
          </w:p>
          <w:p w:rsidR="00AC292A" w:rsidRDefault="00AC292A">
            <w:pPr>
              <w:pStyle w:val="IASBTableTNR"/>
            </w:pPr>
            <w:r>
              <w:t>O entitate anticipează cheltuieli de capital în câţiva ani. Entitatea îşi investeşte excesul de numerar în active financiare pe termen scurt şi lung pentru a putea finanţa cheltuiala atunci când va fi nevoie. Multe dintre activele financiare au durate de viață contractuale care depăşesc perioada de investiţii anticipată a entităţii.</w:t>
            </w:r>
          </w:p>
          <w:p w:rsidR="00AC292A" w:rsidRDefault="00AC292A">
            <w:pPr>
              <w:pStyle w:val="IASBTableTNR"/>
            </w:pPr>
            <w:r>
              <w:t>Entitatea va deţine active financiare pentru a colecta fluxuri de trezorerie contractuale, iar atunci când va apărea o oportunitate, va vinde activele financiare pentru a reinvesti numerarul în active financiare cu o rentabilitate mai mare.</w:t>
            </w:r>
          </w:p>
          <w:p w:rsidR="00AC292A" w:rsidRDefault="00AC292A">
            <w:pPr>
              <w:pStyle w:val="IASBTableTNR"/>
            </w:pPr>
            <w:r>
              <w:t>Directorii responsabili cu portofoliul sunt remunerați pe baza randamentului total generat de portofoliu.</w:t>
            </w:r>
          </w:p>
        </w:tc>
        <w:tc>
          <w:tcPr>
            <w:tcW w:w="4550" w:type="dxa"/>
            <w:tcBorders>
              <w:top w:val="nil"/>
              <w:left w:val="nil"/>
              <w:bottom w:val="single" w:sz="4" w:space="0" w:color="auto"/>
              <w:right w:val="single" w:sz="4" w:space="0" w:color="auto"/>
            </w:tcBorders>
          </w:tcPr>
          <w:p w:rsidR="00AC292A" w:rsidRDefault="00AC292A">
            <w:pPr>
              <w:pStyle w:val="IASBTableTNR"/>
            </w:pPr>
            <w:r>
              <w:t>Obiectivul modelului de afaceri este îndeplinit atât prin colectarea fluxurilor de trezorerie contractuale, cât şi prin vânzarea activelor financiare. Entitatea va lua decizii în mod continuu privind măsura în care colectarea fluxurilor de trezorerie contractuale sau vânzarea activelor financiare va maximiza rentabilitatea portofoliului până la apariţia nevoii privind numerarul investit.</w:t>
            </w:r>
          </w:p>
          <w:p w:rsidR="00AC292A" w:rsidRDefault="00AC292A">
            <w:pPr>
              <w:pStyle w:val="IASBTableTNR"/>
            </w:pPr>
            <w:r>
              <w:t>În schimb, să luăm în considerare o entitate care anticipează o ieşire de numerar în cinci ani pentru a finanţa cheltuieli de capital şi investeşte excesul de numerar în active financiare pe termen scurt. Când investiţiile ajung la scadenţă, entitatea reinvesteşte numerarul în noi active financiare pe termen scurt. Entitatea menţine această strategie până când sunt necesare fondurile, dată la care entitatea foloseşte încasările din activele financiare scadente pentru a finanţa cheltuielile de capital. Doar vânzări nesemnificative ca valoare apar înainte de scadenţă (exceptând cazul în care există o creştere a riscului de credit). Obiectivul acestui model de afaceri contrastant este de a deţine active financiare pentru a colecta fluxuri de trezorerie contractuale.</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Exemplul 6</w:t>
            </w:r>
          </w:p>
          <w:p w:rsidR="00AC292A" w:rsidRDefault="00AC292A">
            <w:pPr>
              <w:pStyle w:val="IASBTableTNR"/>
            </w:pPr>
            <w:r>
              <w:t>O instituţie financiară deţine active financiare pentru a răspunde nevoilor sale zilnice de lichiditate. Entitatea urmăreşte să minimizeze costurile de gestionare a acelor nevoi de lichiditate şi prin urmare gestionează în mod activ rentabilitatea portofoliului. Rentabilitatea constă în colectarea plăţilor contractuale, precum şi în câştigurile şi pierderile din vânzarea activelor financiare.</w:t>
            </w:r>
          </w:p>
          <w:p w:rsidR="00AC292A" w:rsidRDefault="00AC292A">
            <w:pPr>
              <w:pStyle w:val="IASBTableTNR"/>
            </w:pPr>
            <w:r>
              <w:t>Prin urmare, entitatea deţine active financiare pentru a colecta fluxuri de trezorerie contractuale şi vinde active financiare pentru a reinvesti în active financiare cu randament mai mare sau pentru a corela mai bine durata datoriilor sale. În trecut, această strategie a avut ca rezultat o activitate de vânzări frecvente şi astfel de vânzări au fost semnificative ca valoare. Se preconizează că această activitate va continua în viitor.</w:t>
            </w:r>
          </w:p>
        </w:tc>
        <w:tc>
          <w:tcPr>
            <w:tcW w:w="4550" w:type="dxa"/>
            <w:tcBorders>
              <w:top w:val="nil"/>
              <w:left w:val="nil"/>
              <w:bottom w:val="single" w:sz="4" w:space="0" w:color="auto"/>
              <w:right w:val="single" w:sz="4" w:space="0" w:color="auto"/>
            </w:tcBorders>
          </w:tcPr>
          <w:p w:rsidR="00AC292A" w:rsidRDefault="00AC292A">
            <w:pPr>
              <w:pStyle w:val="IASBTableTNR"/>
            </w:pPr>
            <w:r>
              <w:t>Obiectivul modelului de afaceri este de a maximiza rentabilitatea portofoliului pentru a răspunde nevoilor zilnice de lichiditate, iar entitatea atinge acel obiectiv atât prin colectarea fluxurilor de trezorerie contractuale, cât şi prin vânzarea activelor financiare. Cu alte cuvinte, atât colectarea fluxurilor de trezorerie contractuale, cât şi vânzarea activelor financiare sunt esențiale pentru îndeplinirea obiectivului modelului de afaceri.</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lastRenderedPageBreak/>
              <w:t>Exemplul 7</w:t>
            </w:r>
          </w:p>
          <w:p w:rsidR="00AC292A" w:rsidRDefault="00AC292A">
            <w:pPr>
              <w:pStyle w:val="IASBTableTNR"/>
            </w:pPr>
            <w:r>
              <w:t>Un asigurător deţine active financiare pentru a finanţa datoriile din contractele de asigurare. Asigurătorul foloseşte încasările din fluxurile de trezorerie contractuale aferente activelor financiare pentru a deconta datoriile din contractele de asigurare pe măsură ce devin scadente. Pentru a se asigura că fluxurile de trezorerie contractuale din activele financiare sunt suficiente pentru a deconta acele datorii, asigurătorul desfăşoară în mod curent o activitate semnificativă de cumpărare şi vânzare pentru a-şi reechilibra portofoliul de active şi pentru a răspunde nevoilor de fluxuri de trezorerie pe măsură ce acestea apar.</w:t>
            </w:r>
          </w:p>
        </w:tc>
        <w:tc>
          <w:tcPr>
            <w:tcW w:w="4550" w:type="dxa"/>
            <w:tcBorders>
              <w:top w:val="nil"/>
              <w:left w:val="nil"/>
              <w:bottom w:val="single" w:sz="4" w:space="0" w:color="auto"/>
              <w:right w:val="single" w:sz="4" w:space="0" w:color="auto"/>
            </w:tcBorders>
          </w:tcPr>
          <w:p w:rsidR="00AC292A" w:rsidRDefault="00AC292A">
            <w:pPr>
              <w:pStyle w:val="IASBTableTNR"/>
            </w:pPr>
            <w:r>
              <w:t>Obiectivul modelului de afaceri este de a finanţa datoriile din contractele de asigurare. Pentru a îndeplini acest obiectiv, entitatea colectează fluxurile de trezorerie contractuale pe măsură ce ele devin scadente şi vinde activele financiare pentru a menţine profilul dorit al portofoliului de active. Astfel, atât colectarea fluxurilor de trezorerie contractuale, cât şi vânzarea activelor financiare sunt esențiale pentru îndeplinirea obiectivului modelului de afaceri.</w:t>
            </w:r>
          </w:p>
        </w:tc>
      </w:tr>
    </w:tbl>
    <w:p w:rsidR="00AC292A" w:rsidRDefault="00AC292A">
      <w:pPr>
        <w:pStyle w:val="IASBNormalnpara"/>
      </w:pPr>
    </w:p>
    <w:p w:rsidR="00AC292A" w:rsidRDefault="00AC292A">
      <w:pPr>
        <w:pStyle w:val="IASBSectionTitle4Ind"/>
      </w:pPr>
      <w:bookmarkStart w:id="600" w:name="F32571500"/>
      <w:r>
        <w:t>Alte modele de afaceri</w:t>
      </w:r>
      <w:bookmarkEnd w:id="600"/>
    </w:p>
    <w:p w:rsidR="00AC292A" w:rsidRDefault="00AC292A">
      <w:pPr>
        <w:pStyle w:val="IASBNormalnpara"/>
      </w:pPr>
      <w:r>
        <w:t>B4.1.5</w:t>
      </w:r>
      <w:r>
        <w:tab/>
      </w:r>
      <w:bookmarkStart w:id="601" w:name="F32571501"/>
      <w:r>
        <w:t>Activele financiare sunt evaluate la valoarea justă prin profit sau pierdere dacă nu sunt deţinute într-un model de afaceri al cărui obiectiv este de a deţine active pentru a colecta fluxuri de trezorerie contractuale sau într-un model de afaceri al cărui obiectiv este îndeplinit atât prin colectarea fluxurilor de trezorerie contractuale, cât şi prin vânzarea activelor financiare (a se vedea însă și punctul 5.7.5). Un model de afaceri ce are ca rezultat evaluarea la valoarea justă prin profit sau pierdere este unul în care o entitate gestionează activele financiare cu scopul de a realiza fluxuri de trezorerie prin vânzarea activelor. Entitatea ia decizii pe baza valorilor juste ale activelor şi gestionează activele pentru a realiza acele valori juste. În acest caz, obiectivul entităţii va avea ca rezultat, în mod obişnuit, cumpărarea şi vânzarea active. Deşi entitatea va colecta fluxuri de trezorerie contractuale în timp ce deţine active financiare, obiectivul unui astfel de model de afaceri nu este îndeplinit atât prin colectarea fluxurilor de trezorerie contractuale, cât şi prin vânzarea activelor financiare. Acest lucru se întâmplă deoarece colectarea fluxurilor de trezorerie contractuale nu face parte din îndeplinirea obiectivului modelului de afaceri; în schimb, este conexă acestuia.</w:t>
      </w:r>
      <w:bookmarkEnd w:id="601"/>
    </w:p>
    <w:p w:rsidR="00AC292A" w:rsidRDefault="00AC292A">
      <w:pPr>
        <w:pStyle w:val="IASBNormalnpara"/>
      </w:pPr>
      <w:r>
        <w:t>B4.1.6</w:t>
      </w:r>
      <w:r>
        <w:tab/>
      </w:r>
      <w:bookmarkStart w:id="602" w:name="F32571502"/>
      <w:r>
        <w:t>Un portofoliu de active financiare care este gestionat şi a cărui performanţă este evaluată pe baza valorii juste (așa cum se descrie la punctul 4.2.2 litera (b)) nu este nici deţinut pentru a colecta fluxuri de trezorerie contractuale, nici deținut atât pentru a colecta fluxuri de trezorerie contractuale, cât și pentru a vinde active financiare. Entitatea este concentrată în principal pe informaţiile despre valoarea justă şi foloseşte aceste informaţii pentru a evalua performanţa activelor şi pentru a lua decizii. Suplimentar, un portofoliu de active financiare care corespund definiţiei termenului deţinut în vederea tranzacţionării nu este deţinut pentru a colecta fluxuri de trezorerie contractuale sau deţinut atât pentru a colecta fluxuri de trezorerie contractuale, cât şi pentru a vinde active financiare. Pentru astfel de portofolii, colectarea fluxurilor de trezorerie contractuale este doar conexă îndeplinirii obiectivului modelului de afaceri. În consecinţă, astfel de portofolii de active financiare trebuie să fie evaluate la valoarea justă prin profit sau pierdere.</w:t>
      </w:r>
      <w:bookmarkEnd w:id="602"/>
    </w:p>
    <w:p w:rsidR="00AC292A" w:rsidRDefault="00AC292A">
      <w:pPr>
        <w:pStyle w:val="IASBSectionTitle3Ind"/>
      </w:pPr>
      <w:bookmarkStart w:id="603" w:name="F32571506"/>
      <w:r>
        <w:t>Fluxuri de trezorerie contractuale care reprezintă exclusiv plăţi ale principalului şi ale dobânzii aferente valorii principalului datorat</w:t>
      </w:r>
      <w:bookmarkEnd w:id="603"/>
    </w:p>
    <w:p w:rsidR="00AC292A" w:rsidRDefault="00AC292A">
      <w:pPr>
        <w:pStyle w:val="IASBNormalnpara"/>
      </w:pPr>
      <w:r>
        <w:t>B4.1.7</w:t>
      </w:r>
      <w:r>
        <w:tab/>
      </w:r>
      <w:bookmarkStart w:id="604" w:name="F32571507"/>
      <w:r>
        <w:t>Punctul 4.1.1 litera (b) impune unei entităţi să clasifice un activ financiar pe baza caracteristicilor fluxului de trezorerie contractual dacă activul financiar este deţinut într-un model de afaceri al cărui obiectiv este de a deţine active pentru a colecta fluxuri de trezorerie contractuale sau într-un model de afaceri al cărui obiectiv este îndeplinit atât prin colectarea fluxurilor de trezorerie contractuale, cât şi prin vânzarea activelor financiare, exceptând cazul în care se aplică punctul 4.1.5. Pentru a proceda astfel, condiţia de la punctele 4.1.2 litera (b) şi 4.1.2A litera (b) impune unei entități să stabilească dacă fluxurile de trezorerie contractuale ale activului sunt exclusiv plăţi ale principalului și ale dobânzii aferente valorii principalului datorat.</w:t>
      </w:r>
      <w:bookmarkEnd w:id="604"/>
    </w:p>
    <w:p w:rsidR="00AC292A" w:rsidRDefault="00AC292A">
      <w:pPr>
        <w:pStyle w:val="IASBNormalnpara"/>
      </w:pPr>
      <w:r>
        <w:t>B4.1.7A</w:t>
      </w:r>
      <w:r>
        <w:tab/>
      </w:r>
      <w:bookmarkStart w:id="605" w:name="F32571508"/>
      <w:r>
        <w:t xml:space="preserve">Fluxurile de trezorerie contractuale care reprezintă exclusiv plăţi ale principalului şi ale dobânzii aferente valorii principalului datorat sunt consecvente cu un angajament simplu de creditare. Într-un angajament simplu de creditare, contravaloarea valorii-timp a banilor (a se vedea punctele B4.1.9A-B4.1.9E) şi riscul de </w:t>
      </w:r>
      <w:r>
        <w:lastRenderedPageBreak/>
        <w:t>credit sunt în mod obişnuit cele mai semnificative elemente ale dobânzii. Totuşi, într-un astfel de angajament, dobânda poate de asemenea să includă contravaloarea altor riscuri de creditare standard (de exemplu, riscul de lichiditate) şi costuri (de exemplu, costuri administrative) asociate deţinerii activului financiar pentru o anumită perioadă de timp. Suplimentar, dobânda poate include o marjă a profitului care este consecventă cu angajamentul simplu de creditare. În condiţii economice extreme, dobânda poate fi negativă dacă, de exemplu, deţinătorul unui activ financiar plăteşte explicit sau implicit pentru depozitarea banilor săi pentru o anumită perioadă de timp (şi acea taxă depăşeşte contravaloarea pe care deţinătorul o primeşte pentru valoarea-timp a banilor, riscul de credit şi alte riscuri de creditare standard şi costuri). Totuşi, termenele contractuale care prezintă expunerea la riscuri sau volatilitatea în fluxurile de trezorerie contractuale care nu sunt aferente unui angajament simplu de creditare, precum expunerea la modificările preţurilor capitalurilor proprii sau ale mărfurilor, nu au ca rezultat fluxuri de trezorerie contractuale care sunt exclusiv plăţi ale principalului și ale dobânzii aferente valorii principalului datorat. Un activ financiar emis sau cumpărat poate fi un angajament simplu de creditare indiferent dacă sub formă juridică este un împrumut.</w:t>
      </w:r>
      <w:bookmarkEnd w:id="605"/>
    </w:p>
    <w:p w:rsidR="00AC292A" w:rsidRDefault="00AC292A">
      <w:pPr>
        <w:pStyle w:val="IASBNormalnpara"/>
      </w:pPr>
      <w:r>
        <w:t>B4.1.7B</w:t>
      </w:r>
      <w:r>
        <w:tab/>
      </w:r>
      <w:bookmarkStart w:id="606" w:name="F32571509"/>
      <w:r>
        <w:t>În conformitate cu punctul 4.1.3 litera (a), principalul este valoarea justă a activului financiar la recunoaşterea iniţială. Totuşi, valoarea principalului se poate schimba pe parcursul duratei de viață a activului financiar (de exemplu, dacă există plăţi anticipate ale principalului).</w:t>
      </w:r>
      <w:bookmarkEnd w:id="606"/>
    </w:p>
    <w:p w:rsidR="00AC292A" w:rsidRDefault="00AC292A">
      <w:pPr>
        <w:pStyle w:val="IASBNormalnpara"/>
      </w:pPr>
      <w:r>
        <w:t>B4.1.8</w:t>
      </w:r>
      <w:r>
        <w:tab/>
      </w:r>
      <w:bookmarkStart w:id="607" w:name="F32571510"/>
      <w:r>
        <w:t>O entitate trebuie să evalueze dacă fluxurile de trezorerie contractuale sunt exclusiv plăţi ale principalului şi ale dobânzii aferente valorii principalului datorat pentru moneda în care este exprimat activul financiar.</w:t>
      </w:r>
      <w:bookmarkEnd w:id="607"/>
    </w:p>
    <w:p w:rsidR="00AC292A" w:rsidRDefault="00AC292A">
      <w:pPr>
        <w:pStyle w:val="IASBNormalnpara"/>
      </w:pPr>
      <w:r>
        <w:t>B4.1.9</w:t>
      </w:r>
      <w:r>
        <w:tab/>
      </w:r>
      <w:bookmarkStart w:id="608" w:name="F32571511"/>
      <w:r>
        <w:t>Efectul de levier este o caracteristică a fluxului de trezorerie contractual al anumitor active financiare. Efectul de levier sporeşte variabilitatea fluxurilor de trezorerie contractuale şi prin urmare acestea nu au caracteristicile economice ale dobânzii. Opţiunea de sine stătătoare, contractele forward şi swap sunt exemple de active financiare care includ un astfel de efect de levier. Prin urmare, astfel de contracte nu îndeplinesc condiţia de la punctele 4.1.2 litera (b) şi 4.1.2A litera (b) şi în consecinţă nu pot fi evaluate la costul amortizat sau la valoarea justă prin alte elemente ale rezultatului global.</w:t>
      </w:r>
      <w:bookmarkEnd w:id="608"/>
    </w:p>
    <w:p w:rsidR="00AC292A" w:rsidRDefault="00AC292A">
      <w:pPr>
        <w:pStyle w:val="IASBSectionTitle4Ind"/>
      </w:pPr>
      <w:bookmarkStart w:id="609" w:name="F32571513"/>
      <w:r>
        <w:t>Contravaloarea valorii-timp a banilor</w:t>
      </w:r>
      <w:bookmarkEnd w:id="609"/>
    </w:p>
    <w:p w:rsidR="00AC292A" w:rsidRDefault="00AC292A">
      <w:pPr>
        <w:pStyle w:val="IASBNormalnpara"/>
      </w:pPr>
      <w:r>
        <w:t>B4.1.9A</w:t>
      </w:r>
      <w:r>
        <w:tab/>
      </w:r>
      <w:bookmarkStart w:id="610" w:name="F32571514"/>
      <w:r>
        <w:t>Valoarea-timp a banilor este elementul dobânzii care furnizează contravaloare doar pentru trecerea timpului. Respectiv, elementul valoare-timp a banilor nu furnizează contravaloare pentru alte riscuri sau alte costuri asociate cu deţinerea activului financiar. Pentru a evalua dacă elementul furnizează contravaloare doar pentru trecerea timpului, o entitate aplică raţionamentul şi analizează factorii relevanţi precum moneda în care este exprimat activul financiar şi perioada pentru care este stabilită rata dobânzii.</w:t>
      </w:r>
      <w:bookmarkEnd w:id="610"/>
    </w:p>
    <w:p w:rsidR="00AC292A" w:rsidRDefault="00AC292A">
      <w:pPr>
        <w:pStyle w:val="IASBNormalnpara"/>
      </w:pPr>
      <w:r>
        <w:t>B4.1.9B</w:t>
      </w:r>
      <w:r>
        <w:tab/>
      </w:r>
      <w:bookmarkStart w:id="611" w:name="F32571515"/>
      <w:r>
        <w:t>Totuşi, în unele cazuri, elementul valoare-timp a banilor poate fi modificat (adică, imperfect). Acesta este cazul, de exemplu, dacă rata dobânzii unui activ financiar este restabilită periodic, dar frecvenţa restabilirii nu se potriveşte cu durata ratei dobânzii (de exemplu, rata dobânzii este restabilită în fiecare lună la o rată anuală), sau dacă rata dobânzii unui activ financiar este restabilită periodic la o anumită medie a ratelor dobânzii pe termen scurt şi lung. În astfel de cazuri, o entitate trebuie să evalueze modificarea pentru a stabili dacă fluxurile de trezorerie contractuale reprezintă exclusiv plăţi ale principalului şi ale dobânzii aferente valorii principalului datorat. În unele situaţii, entitatea poate determina acest lucru prin realizarea unei evaluări calitative a elementului valoare-timp a banilor, în timp ce, în alte situaţii, poate fi necesară efectuarea unei evaluări cantitative.</w:t>
      </w:r>
      <w:bookmarkEnd w:id="611"/>
    </w:p>
    <w:p w:rsidR="00AC292A" w:rsidRDefault="00AC292A">
      <w:pPr>
        <w:pStyle w:val="IASBNormalnpara"/>
      </w:pPr>
      <w:r>
        <w:t>B4.1.9C</w:t>
      </w:r>
      <w:r>
        <w:tab/>
      </w:r>
      <w:bookmarkStart w:id="612" w:name="F32571516"/>
      <w:r>
        <w:t>Atunci când este evaluat elementul valoare-timp modificat, obiectivul este de a stabili cât de diferite pot fi fluxurile de trezorerie contractuale (neactualizate) față de fluxurile de trezorerie (neactualizate) care ar apărea dacă elementul valoare-timp a banilor nu ar fi modificat (fluxurile de trezorerie de referinţă). De exemplu, dacă activul financiar conform evaluării conţine o rată variabilă a dobânzii care este restabilită în fiecare lună la o rată a dobânzii anuală, entitatea compară respectivul activ financiar cu un instrument financiar cu termene contractuale identice şi risc de credit identic, cu excepţia ratei variabile a dobânzii, care este restabilită lunar la o rată a dobânzii lunară. Dacă elementul valoare-timp a banilor modificat poate avea drept rezultat fluxuri de trezorerie contractuale (neactualizate) care sunt diferite semnificativ față de fluxurile de trezorerie de referinţă (neactualizate), activul financiar nu îndeplineşte condiţia de la punctele 4.1.2 litera (b) şi 4.1.2A litera (b). Pentru a stabili acest aspect, entitatea trebuie să analizeze efectul elementului valoare-timp a banilor modificat în fiecare perioadă de raportare şi cumulat pe parcursul duratei de viață a instrumentului financiar. Motivul pentru stabilirea ratei dobânzii prin această metodă nu este relevant pentru analiză. În cazul în care, în urma unei analize sumare sau fără a realiza o analiză, este clar dacă fluxurile de trezorerie contractuale (neactualizate) aferente activului financiar conform evaluării ar putea (sau nu) să fie semnificativ diferite față de fluxurile de trezorerie de referinţă (neactualizate), nu este necesar ca entitatea să realizeze o evaluare detaliată.</w:t>
      </w:r>
      <w:bookmarkEnd w:id="612"/>
    </w:p>
    <w:p w:rsidR="00AC292A" w:rsidRDefault="00AC292A">
      <w:pPr>
        <w:pStyle w:val="IASBNormalnpara"/>
      </w:pPr>
      <w:r>
        <w:t>B4.1.9D</w:t>
      </w:r>
      <w:r>
        <w:tab/>
      </w:r>
      <w:bookmarkStart w:id="613" w:name="F32571517"/>
      <w:r>
        <w:t xml:space="preserve">Atunci când evaluează elementul valoare-timp a banilor modificat, o entitate trebuie să analizeze factorii care ar putea afecta fluxurile de trezorerie contractuale viitoare. De exemplu, dacă o entitate evaluează o </w:t>
      </w:r>
      <w:r>
        <w:lastRenderedPageBreak/>
        <w:t>obligaţiune cu un termen de cinci ani şi rata variabilă a dobânzii este stabilită la fiecare șase luni la o rată pe cinci ani, entitatea nu poate ajunge la concluzia că fluxurile de trezorerie contractuale sunt exclusiv plăţi ale principalului şi ale dobânzii aferente valorii principalului datorat din simplul motiv că, la data evaluării, curba ratei dobânzii este astfel încât diferenţa dintre rata dobânzii pe cinci ani şi cea pe şase luni nu este semnificativă. În schimb, entitatea trebuie de asemenea să analizeze dacă relaţia dintre rata dobânzii pe cinci ani şi rata dobânzii pe şase luni se poate schimba pe parcursul duratei de viață a instrumentului astfel încât fluxurile de trezorerie contractuale (neactualizate) pe parcursul duratei de viață a instrumentului ar putea fi semnificativ diferite față de fluxurile de trezorerie de referinţă (neactualizate). Totuşi, o entitate trebuie să analizeze doar scenarii posibile în mod rezonabil în loc de fiecare scenariu posibil. Dacă o entitate ajunge la concluzia că fluxurile de trezorerie contractuale (neactualizate) pot fi semnificativ diferite față de fluxurile de trezorerie de referinţă (neactualizate), activul financiar nu îndeplineşte condiţia de la punctele 4.1.2 litera (b) şi 4.1.2A litera (b) şi prin urmare nu poate fi evaluat la costul amortizat sau la valoarea justă prin alte elemente ale rezultatului global.</w:t>
      </w:r>
      <w:bookmarkEnd w:id="613"/>
    </w:p>
    <w:p w:rsidR="00AC292A" w:rsidRDefault="00AC292A">
      <w:pPr>
        <w:pStyle w:val="IASBNormalnpara"/>
      </w:pPr>
      <w:r>
        <w:t>B4.1.9E</w:t>
      </w:r>
      <w:r>
        <w:tab/>
      </w:r>
      <w:bookmarkStart w:id="614" w:name="F32571518"/>
      <w:r>
        <w:t>În unele jurisdicţii, guvernul sau autoritatea de reglementare stabileşte ratele dobânzii. De exemplu, o reglementare a ratei dobânzii de către guvern poate face parte dintr-o politică macroeconomică mai amplă sau poate fi introdusă pentru a încuraja entităţile să investească într-un anumit sector economic. În unele dintre aceste cazuri, obiectivul elementului valoare-timp a banilor nu este de a furniza contravaloare doar pentru trecerea timpului. Totuşi, în pofida prevederilor de la punctele B4.1.9A-B4.1.9D, o rată reglementată a dobânzii trebuie considerată a fi un substitut pentru elementul valoare-timp a banilor în sensul aplicării condiţiei de la punctele 4.1.2 litera (b) şi 4.1.2A litera (b) dacă rata reglementată a dobânzii oferă o contravaloare care este în general consecventă cu trecerea timpului şi nu oferă expunere la riscuri sau volatilitate pentru fluxurile de trezorerie contractuale care nu sunt consecvente cu un angajament simplu de creditare.</w:t>
      </w:r>
      <w:bookmarkEnd w:id="614"/>
    </w:p>
    <w:p w:rsidR="00AC292A" w:rsidRDefault="00AC292A">
      <w:pPr>
        <w:pStyle w:val="IASBSectionTitle4Ind"/>
      </w:pPr>
      <w:bookmarkStart w:id="615" w:name="F32571520"/>
      <w:r>
        <w:t>Termene contractuale care schimbă plasarea în timp sau valoarea fluxurilor de trezorerie contractuale</w:t>
      </w:r>
      <w:bookmarkEnd w:id="615"/>
    </w:p>
    <w:p w:rsidR="00AC292A" w:rsidRDefault="00AC292A">
      <w:pPr>
        <w:pStyle w:val="IASBNormalnpara"/>
      </w:pPr>
      <w:r>
        <w:t>B4.1.10</w:t>
      </w:r>
      <w:r>
        <w:tab/>
      </w:r>
      <w:bookmarkStart w:id="616" w:name="F32571521"/>
      <w:r>
        <w:t>Dacă un activ financiar conţine un termen contractual care ar putea schimba plasarea în timp sau valoarea fluxurilor de trezorerie contractuale (de exemplu, dacă activul poate fi preplătit înainte de scadenţă sau termenul său poate fi extins), entitatea trebuie să determine dacă fluxurile de trezorerie contractuale care pot apărea pe parcursul duratei de viață a instrumentului datorită termenului contractual sunt exclusiv plăţi ale principalului şi ale dobânzii aferente valorii principalului datorat. Pentru a stabili acest aspect, entitatea trebuie să evalueze fluxurile de trezorerie contractuale care pot apărea atât înainte, cât şi după modificarea fluxurilor de trezorerie contractuale. Entitatea va trebui de asemenea să evalueze natura oricărui eveniment contingent (adică declanşatorul) ce ar putea schimba plasarea în timp sau valoarea fluxurilor de trezorerie contractuale. Chiar dacă natura evenimentului contingent în sine nu este un factor determinant pentru a evalua dacă fluxurile de trezorerie contractuale sunt exclusiv plăţi ale principalului şi ale dobânzii, aceasta poate fi un indicator. De exemplu, compararea unui instrument financiar cu o rată a dobânzii care este restabilită la o rată mai mare dacă debitorului îi lipsește un anumit număr de plăţi pentru un instrument financiar cu o rată a dobânzii ce este restabilită la o rată mai mare dacă un indice specificat al capitalurilor proprii atinge un anumit nivel. Este mai probabil în cazul anterior ca fluxurile de trezorerie contractuale pe perioada de viață a instrumentului să reprezinte exclusiv plăţi ale principalului şi ale dobânzii aferente valorii principalului datorat ca urmare a relaţiei dintre plăţile neefectuate şi o creştere a riscului de credit. (A se vedea de asemenea punctul B4.1.18.)</w:t>
      </w:r>
      <w:bookmarkEnd w:id="616"/>
    </w:p>
    <w:p w:rsidR="00AC292A" w:rsidRDefault="00AC292A">
      <w:pPr>
        <w:pStyle w:val="IASBNormalnpara"/>
      </w:pPr>
      <w:r>
        <w:t>B4.1.11</w:t>
      </w:r>
      <w:r>
        <w:tab/>
      </w:r>
      <w:bookmarkStart w:id="617" w:name="F32571522"/>
      <w:r>
        <w:t>Următoarele sunt exemple de termene contractuale ce au ca rezultat fluxuri de trezorerie contractuale care reprezintă exclusiv plăţi ale principalului şi ale dobânzii aferente valorii principalului datorat:</w:t>
      </w:r>
      <w:bookmarkEnd w:id="617"/>
    </w:p>
    <w:p w:rsidR="00AC292A" w:rsidRDefault="00AC292A">
      <w:pPr>
        <w:pStyle w:val="IASBNormalnparaL1"/>
      </w:pPr>
      <w:r>
        <w:t>(a)</w:t>
      </w:r>
      <w:r>
        <w:tab/>
      </w:r>
      <w:bookmarkStart w:id="618" w:name="F32571525"/>
      <w:r>
        <w:t>O rată variabilă a dobânzii care constă în contravaloarea valorii-timp a banilor, riscul de credit asociat valorii principalului datorat într-o anumită perioadă de timp (contravaloarea pentru riscul de credit poate fi stabilită doar la recunoaşterea iniţială şi astfel poate fi fixată) şi alte riscuri şi costuri aferente împrumutului standard, precum şi o marjă a profitului;</w:t>
      </w:r>
      <w:bookmarkEnd w:id="618"/>
    </w:p>
    <w:p w:rsidR="00AC292A" w:rsidRDefault="00AC292A">
      <w:pPr>
        <w:pStyle w:val="IASBNormalnparaL1"/>
      </w:pPr>
      <w:r>
        <w:t>(b)</w:t>
      </w:r>
      <w:r>
        <w:tab/>
      </w:r>
      <w:bookmarkStart w:id="619" w:name="F32571527"/>
      <w:r>
        <w:t>un termen contractual ce îi permite emitentului (adică debitorului) să plătească în avans un instrument de datorie sau îi permite deţinătorului (adică creditorului) să îi restituie un instrument de datorie emitentului înainte de scadenţă, iar valoarea plăţii în avans reprezintă în mod substanţial valori neplătite ale principalului şi ale dobânzii aferente valorii principalului datorat, care pot include compensaţii suplimentare rezonabile pentru rezilierea anticipată a contractului; și</w:t>
      </w:r>
      <w:bookmarkEnd w:id="619"/>
    </w:p>
    <w:p w:rsidR="00AC292A" w:rsidRDefault="00AC292A">
      <w:pPr>
        <w:pStyle w:val="IASBNormalnparaL1"/>
      </w:pPr>
      <w:r>
        <w:t>(c)</w:t>
      </w:r>
      <w:r>
        <w:tab/>
      </w:r>
      <w:bookmarkStart w:id="620" w:name="F32571529"/>
      <w:r>
        <w:t>un termen contractual care îi permite emitentului sau deţinătorului să prelungească termenul contractual al instrumentului de datorie (adică o opţiune de prelungire) şi termenele opţiunii de prelungire conduc la fluxuri de trezorerie contractuale pe perioada de prelungire care sunt exclusiv plăți ale principalului și ale dobânzii aferente valorii principalului datorat, ce pot include compensaţii suplimentare rezonabile pentru prelungirea contractului.</w:t>
      </w:r>
      <w:bookmarkEnd w:id="620"/>
    </w:p>
    <w:p w:rsidR="00AC292A" w:rsidRDefault="00AC292A">
      <w:pPr>
        <w:pStyle w:val="IASBNormalnpara"/>
      </w:pPr>
      <w:r>
        <w:lastRenderedPageBreak/>
        <w:t>B4.1.12</w:t>
      </w:r>
      <w:r>
        <w:tab/>
      </w:r>
      <w:bookmarkStart w:id="621" w:name="F32571530"/>
      <w:r>
        <w:t>Indiferent de punctul B4.1.10, un activ financiar care ar fi îndeplinit altfel condiţia de la punctele 4.1.2 litera (b) şi 4.1.2A litera (b), însă nu o îndeplinește ca rezultat al termenelor contractuale ce permit (sau impun) emitentului să plătească în avans un instrument de datorie ori permit (sau impun) deţinătorului să îi restituie instrumentul de datorie emitentului înainte de scadenţă, este eligibil pentru a fi evaluat la costul amortizat sau la valoarea justă prin alte elemente ale rezultatului global (sub rezerva îndeplinirii condiţiei de la punctul 4.1.2 litera (a) sau condiţiei de la punctul 4.1.2A litera (a)) dacă:</w:t>
      </w:r>
      <w:bookmarkEnd w:id="621"/>
    </w:p>
    <w:p w:rsidR="00AC292A" w:rsidRDefault="00AC292A">
      <w:pPr>
        <w:pStyle w:val="IASBNormalnparaL1"/>
      </w:pPr>
      <w:r>
        <w:t>(a)</w:t>
      </w:r>
      <w:r>
        <w:tab/>
      </w:r>
      <w:bookmarkStart w:id="622" w:name="F32571533"/>
      <w:r>
        <w:t>entitatea dobândeşte sau emite activul financiar ca primă sau reducere la valoarea nominală contractuală;</w:t>
      </w:r>
      <w:bookmarkEnd w:id="622"/>
    </w:p>
    <w:p w:rsidR="00AC292A" w:rsidRDefault="00AC292A">
      <w:pPr>
        <w:pStyle w:val="IASBNormalnparaL1"/>
      </w:pPr>
      <w:r>
        <w:t>(b)</w:t>
      </w:r>
      <w:r>
        <w:tab/>
      </w:r>
      <w:bookmarkStart w:id="623" w:name="F32571535"/>
      <w:r>
        <w:t>valoarea plății în avans reprezintă în esență valoarea nominală contractuală şi dobânda contractuală angajată (dar neplătită), care poate cuprinde o compensaţie suplimentară rezonabilă pentru rezilierea anticipată a contractului; și</w:t>
      </w:r>
      <w:bookmarkEnd w:id="623"/>
    </w:p>
    <w:p w:rsidR="00AC292A" w:rsidRDefault="00AC292A">
      <w:pPr>
        <w:pStyle w:val="IASBNormalnparaL1"/>
      </w:pPr>
      <w:r>
        <w:t>(c)</w:t>
      </w:r>
      <w:r>
        <w:tab/>
      </w:r>
      <w:bookmarkStart w:id="624" w:name="F32571537"/>
      <w:r>
        <w:t>atunci când entitatea recunoaşte iniţial activul financiar, valoarea justă a plăţii în avans este nesemnificativă.</w:t>
      </w:r>
      <w:bookmarkEnd w:id="624"/>
    </w:p>
    <w:p w:rsidR="00AC292A" w:rsidRDefault="00AC292A">
      <w:pPr>
        <w:pStyle w:val="IASBNormalnpara"/>
      </w:pPr>
      <w:r>
        <w:t>B4.1.13</w:t>
      </w:r>
      <w:r>
        <w:tab/>
      </w:r>
      <w:bookmarkStart w:id="625" w:name="F32571538"/>
      <w:r>
        <w:t>Următoarele exemple ilustrează fluxurile de trezorerie contractuale care reprezintă exclusiv plăţi ale principalului şi ale dobânzii aferente valorii principalului datorat. Această listă de exemple nu este exhaustivă.</w:t>
      </w:r>
      <w:bookmarkEnd w:id="625"/>
    </w:p>
    <w:p w:rsidR="00AC292A" w:rsidRDefault="00AC292A">
      <w:pPr>
        <w:pStyle w:val="IASBNormalnpara"/>
      </w:pPr>
    </w:p>
    <w:tbl>
      <w:tblPr>
        <w:tblW w:w="0" w:type="auto"/>
        <w:tblInd w:w="848" w:type="dxa"/>
        <w:tblLayout w:type="fixed"/>
        <w:tblLook w:val="0000" w:firstRow="0" w:lastRow="0" w:firstColumn="0" w:lastColumn="0" w:noHBand="0" w:noVBand="0"/>
      </w:tblPr>
      <w:tblGrid>
        <w:gridCol w:w="3694"/>
        <w:gridCol w:w="4459"/>
      </w:tblGrid>
      <w:tr w:rsidR="00AC292A">
        <w:trPr>
          <w:cantSplit/>
          <w:tblHeader/>
        </w:trPr>
        <w:tc>
          <w:tcPr>
            <w:tcW w:w="3694" w:type="dxa"/>
            <w:tcBorders>
              <w:top w:val="single" w:sz="4" w:space="0" w:color="auto"/>
              <w:left w:val="single" w:sz="4" w:space="0" w:color="auto"/>
              <w:bottom w:val="single" w:sz="4" w:space="0" w:color="auto"/>
              <w:right w:val="single" w:sz="4" w:space="0" w:color="auto"/>
            </w:tcBorders>
            <w:vAlign w:val="bottom"/>
          </w:tcPr>
          <w:p w:rsidR="00AC292A" w:rsidRDefault="00AC292A">
            <w:pPr>
              <w:pStyle w:val="IASBTableHeaderArial"/>
            </w:pPr>
            <w:r>
              <w:rPr>
                <w:b/>
              </w:rPr>
              <w:t>Instrument</w:t>
            </w:r>
          </w:p>
        </w:tc>
        <w:tc>
          <w:tcPr>
            <w:tcW w:w="4459" w:type="dxa"/>
            <w:tcBorders>
              <w:top w:val="single" w:sz="4" w:space="0" w:color="auto"/>
              <w:left w:val="nil"/>
              <w:bottom w:val="single" w:sz="4" w:space="0" w:color="auto"/>
              <w:right w:val="single" w:sz="4" w:space="0" w:color="auto"/>
            </w:tcBorders>
            <w:vAlign w:val="bottom"/>
          </w:tcPr>
          <w:p w:rsidR="00AC292A" w:rsidRDefault="00AC292A">
            <w:pPr>
              <w:pStyle w:val="IASBTableHeaderArial"/>
            </w:pPr>
            <w:r>
              <w:rPr>
                <w:b/>
              </w:rPr>
              <w:t>Analiză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A</w:t>
            </w:r>
          </w:p>
          <w:p w:rsidR="00AC292A" w:rsidRDefault="00AC292A">
            <w:pPr>
              <w:pStyle w:val="IASBTableTNR"/>
            </w:pPr>
            <w:r>
              <w:t>Instrumentul A reprezintă o obligaţiune care are o dată de scadenţă declarată. Plăţile principalului şi ale dobânzii aferente valorii principalului datorat sunt legate de un indice de inflaţie al monedei în care instrumentul este emis. Legătura cu inflaţia nu generează efectul de levier şi principalul este protejat.</w:t>
            </w:r>
          </w:p>
        </w:tc>
        <w:tc>
          <w:tcPr>
            <w:tcW w:w="4459" w:type="dxa"/>
            <w:tcBorders>
              <w:top w:val="nil"/>
              <w:left w:val="nil"/>
              <w:bottom w:val="single" w:sz="4" w:space="0" w:color="auto"/>
              <w:right w:val="single" w:sz="4" w:space="0" w:color="auto"/>
            </w:tcBorders>
          </w:tcPr>
          <w:p w:rsidR="00AC292A" w:rsidRDefault="00AC292A">
            <w:pPr>
              <w:pStyle w:val="IASBTableTNR"/>
            </w:pPr>
            <w:r>
              <w:t>Fluxurile de trezorerie contractuale reprezintă exclusiv plăţi ale principalului şi ale dobânzii aferente valorii principalului datorat. Conectarea plăţilor principalului şi ale dobânzii aferente valorii principalului datorat la un indice de inflaţie care nu generează efectul de levier restabilește valoarea-timp a banilor la nivelul curent. Cu alte cuvinte, rata de dobândă aferentă instrumentului reflectă dobânda „reală”. Aşadar, valorile dobânzii reprezintă contravaloarea pentru valoarea-timp a banilor aferentă valorii principalului datorat.</w:t>
            </w:r>
          </w:p>
          <w:p w:rsidR="00AC292A" w:rsidRDefault="00AC292A">
            <w:pPr>
              <w:pStyle w:val="IASBTableTNR"/>
            </w:pPr>
            <w:r>
              <w:t>Cu toate acestea, dacă plăţile de dobândă au fost indexate cu o altă variabilă precum performanţa debitorului (de exemplu, venitul net al debitorului) sau un indice pe acţiuni, fluxurile de trezorerie contractuale nu reprezintă plăţi ale principalului şi ale dobânzii aferente valorii principalului datorat (exceptând cazul în care indexarea performanţei debitorului are ca rezultat o ajustare care doar compensează deţinătorul pentru schimbările în riscul de credit al instrumentului, astfel încât fluxurile de trezorerie contractuale sunt exclusiv plăţi ale principalului şi ale dobânzii). Aceasta deoarece fluxurile de trezorerie contractuale reflectă o rentabilitate care nu este consecventă cu un angajament simplu de creditare (a se vedea punctul B4.1.7A).</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lastRenderedPageBreak/>
              <w:t>Instrumentul B</w:t>
            </w:r>
          </w:p>
          <w:p w:rsidR="00AC292A" w:rsidRDefault="00AC292A">
            <w:pPr>
              <w:pStyle w:val="IASBTableTNR"/>
            </w:pPr>
            <w:r>
              <w:t>Instrumentul B este un instrument care are o rată variabilă a dobânzii cu o dată de scadenţă declarată ce permite debitorului să aleagă rata dobânzii de pe piaţă pe o bază continuă. De exemplu, la fiecare dată de restabilire a ratei dobânzii, debitorul poate alege să plătească rata LIBOR la trei luni  pentru un termen de trei luni sau rata LIBOR la o lună pentru un termen de o lună.</w:t>
            </w:r>
          </w:p>
        </w:tc>
        <w:tc>
          <w:tcPr>
            <w:tcW w:w="4459" w:type="dxa"/>
            <w:tcBorders>
              <w:top w:val="nil"/>
              <w:left w:val="nil"/>
              <w:bottom w:val="single" w:sz="4" w:space="0" w:color="auto"/>
              <w:right w:val="single" w:sz="4" w:space="0" w:color="auto"/>
            </w:tcBorders>
          </w:tcPr>
          <w:p w:rsidR="00AC292A" w:rsidRDefault="00AC292A">
            <w:pPr>
              <w:pStyle w:val="IASBTableTNR"/>
            </w:pPr>
            <w:r>
              <w:t>Fluxurile de trezorerie contractuale sunt exclusiv plăţi ale principalului şi ale dobânzii aferente valorii principalului datorat atât timp cât dobânda plătită pe parcursul duratei de viaţă a instrumentului reflectă contravaloarea pentru valoarea-timp a banilor, pentru riscul de credit asociat cu instrumentul şi pentru alte riscuri şi costuri de creditare de bază, precum şi o marjă a profitului (a se vedea punctul B4.1.7A). Faptul că rata de dobândă LIBOR este restabilită pe parcursul duratei de viaţă a instrumentului nu descalifică în sine instrumentul.</w:t>
            </w:r>
          </w:p>
          <w:p w:rsidR="00AC292A" w:rsidRDefault="00AC292A">
            <w:pPr>
              <w:pStyle w:val="IASBTableTNR"/>
            </w:pPr>
            <w:r>
              <w:t>Totuşi, dacă debitorul are posibilitatea de a alege să plătească o rată lunară a dobânzii care este restabilită la fiecare trei luni, rata dobânzii este restabilită cu o frecvenţă care nu se potriveşte cu durata ratei dobânzii. În consecinţă, elementul valoare-timp a banilor este modificat. Similar, dacă un instrument are o rată a dobânzii contractuală care este bazată pe un termen ce poate depăşi durata de viaţă rămasă a instrumentului (de exemplu, dacă un instrument cu scadenţă la cinci ani plăteşte o rată variabilă a dobânzii care este restabilită periodic, dar care reflectă întotdeauna o scadenţă la cinci ani), elementul valoare-timp a banilor este modificat. Acest lucru se întâmplă deoarece dobânda de plătit în fiecare perioadă este deconectată de perioada dobânzii.</w:t>
            </w:r>
          </w:p>
          <w:p w:rsidR="00AC292A" w:rsidRDefault="00AC292A">
            <w:pPr>
              <w:pStyle w:val="IASBTableTNR"/>
            </w:pPr>
            <w:r>
              <w:t>În astfel de cazuri, entitatea trebuie să evalueze cantitativ sau calitativ fluxurile de trezorerie contractuale în comparaţie cu cele aferente unui instrument care este identic din toate punctele de vedere, cu excepţia faptului că durata ratei dobânzii se potriveşte cu perioada dobânzii, pentru a stabili dacă fluxurile de trezorerie sunt exclusiv plăţi ale principalului şi ale dobânzii aferente valorii principalului datorat. (A se vedea însă punctul B4.1.9E pentru îndrumări cu privire la ratele reglementate ale dobânzii).</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Arial"/>
            </w:pPr>
          </w:p>
        </w:tc>
        <w:tc>
          <w:tcPr>
            <w:tcW w:w="4459" w:type="dxa"/>
            <w:tcBorders>
              <w:top w:val="nil"/>
              <w:left w:val="nil"/>
              <w:bottom w:val="single" w:sz="4" w:space="0" w:color="auto"/>
              <w:right w:val="single" w:sz="4" w:space="0" w:color="auto"/>
            </w:tcBorders>
          </w:tcPr>
          <w:p w:rsidR="00AC292A" w:rsidRDefault="00AC292A">
            <w:pPr>
              <w:pStyle w:val="IASBTableTNR"/>
            </w:pPr>
            <w:r>
              <w:t>De exemplu, la evaluarea unei obligaţiuni cu termen de cinci ani ce plăteşte o rată variabilă care este restabilită la fiecare şase luni, dar întotdeauna reflectă o scadenţă la cinci ani, o entitate ia în considerare fluxurile de trezorerie contractuale aferente unui instrument care restabileşte la fiecare şase luni o rată a dobânzii de şase luni, dar care altfel este identică.</w:t>
            </w:r>
          </w:p>
          <w:p w:rsidR="00AC292A" w:rsidRDefault="00AC292A">
            <w:pPr>
              <w:pStyle w:val="IASBTableTNR"/>
            </w:pPr>
            <w:r>
              <w:t>Aceeaşi analiză se aplică dacă debitorul poate alege între diferite rate ale dobânzii publicate ale creditorului (de exemplu, debitorul poate alege între rata variabilă a dobânzii publicată pe o lună a creditorului şi rata variabilă a dobânzii publicată pe trei luni a creditorului).</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lastRenderedPageBreak/>
              <w:t>Instrumentul C</w:t>
            </w:r>
          </w:p>
          <w:p w:rsidR="00AC292A" w:rsidRDefault="00AC292A">
            <w:pPr>
              <w:pStyle w:val="IASBTableTNR"/>
            </w:pPr>
            <w:r>
              <w:t>Instrumentul C este o obligaţiune care are o dată de scadenţă declarată şi plăteşte o rată variabilă a dobânzii de piaţă. Această rată variabilă a dobânzii are un plafon maxim.</w:t>
            </w:r>
          </w:p>
        </w:tc>
        <w:tc>
          <w:tcPr>
            <w:tcW w:w="4459" w:type="dxa"/>
            <w:tcBorders>
              <w:top w:val="nil"/>
              <w:left w:val="nil"/>
              <w:bottom w:val="single" w:sz="4" w:space="0" w:color="auto"/>
              <w:right w:val="single" w:sz="4" w:space="0" w:color="auto"/>
            </w:tcBorders>
          </w:tcPr>
          <w:p w:rsidR="00AC292A" w:rsidRDefault="00AC292A">
            <w:pPr>
              <w:pStyle w:val="IASBTableTNR"/>
            </w:pPr>
            <w:r>
              <w:t>Fluxurile de trezorerie contractuale ale:</w:t>
            </w:r>
          </w:p>
          <w:p w:rsidR="00AC292A" w:rsidRDefault="00AC292A">
            <w:pPr>
              <w:pStyle w:val="IASBNormalL1"/>
            </w:pPr>
            <w:r>
              <w:t>(a)</w:t>
            </w:r>
            <w:r>
              <w:tab/>
              <w:t>unui instrument care are o rată fixă a dobânzii şi ale</w:t>
            </w:r>
          </w:p>
          <w:p w:rsidR="00AC292A" w:rsidRDefault="00AC292A">
            <w:pPr>
              <w:pStyle w:val="IASBNormalL1"/>
            </w:pPr>
            <w:r>
              <w:t>(b)</w:t>
            </w:r>
            <w:r>
              <w:tab/>
              <w:t>unui instrument care are o rată variabilă a dobânzii</w:t>
            </w:r>
          </w:p>
          <w:p w:rsidR="00AC292A" w:rsidRDefault="00AC292A">
            <w:pPr>
              <w:pStyle w:val="IASBTableTNR"/>
            </w:pPr>
            <w:r>
              <w:t>sunt plăţi ale principalului şi ale dobânzii aferente valorii principalului datorat atât timp cât dobânda reflectă contravaloarea pentru valoarea-timp a banilor, pentru riscul de credit asociat cu instrumentul pe parcursul duratei instrumentului şi pentru alte riscuri şi costuri de credit de bază, precum şi o marjă a profitului. (A se vedea punctul B4.1.7A)</w:t>
            </w:r>
          </w:p>
          <w:p w:rsidR="00AC292A" w:rsidRDefault="00AC292A">
            <w:pPr>
              <w:pStyle w:val="IASBTableTNR"/>
            </w:pPr>
            <w:r>
              <w:t>În consecinţă, un instrument care este o combinaţie între (a) şi (b) (de exemplu, o obligaţiune cu un plafon maxim al ratei dobânzii) poate avea fluxuri de trezorerie care sunt exclusiv plăţi ale principalului și ale dobânzii aferente valorii principalului datorat. Un astfel de termen contractual poate reduce variabilitatea fluxului de trezorerie prin fixarea unei limite a ratei variabile a dobânzii (de exemplu, un plafon maxim sau minim al ratei dobânzii) sau poate crește variabilitatea fluxului de trezorerie deoarece o rată fixă devine variabilă.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D</w:t>
            </w:r>
          </w:p>
          <w:p w:rsidR="00AC292A" w:rsidRDefault="00AC292A">
            <w:pPr>
              <w:pStyle w:val="IASBTableTNR"/>
            </w:pPr>
            <w:r>
              <w:t>Instrumentul D este un împrumut garantat cu întregul patrimoniu şi este asigurat de garanţii reale.</w:t>
            </w:r>
          </w:p>
        </w:tc>
        <w:tc>
          <w:tcPr>
            <w:tcW w:w="4459" w:type="dxa"/>
            <w:tcBorders>
              <w:top w:val="nil"/>
              <w:left w:val="nil"/>
              <w:bottom w:val="single" w:sz="4" w:space="0" w:color="auto"/>
              <w:right w:val="single" w:sz="4" w:space="0" w:color="auto"/>
            </w:tcBorders>
          </w:tcPr>
          <w:p w:rsidR="00AC292A" w:rsidRDefault="00AC292A">
            <w:pPr>
              <w:pStyle w:val="IASBTableTNR"/>
            </w:pPr>
            <w:r>
              <w:t>Faptul că împrumutul garantat cu întregul patrimoniu are garanţii reale nu afectează în sine analiza pentru a determina dacă fluxurile de trezorerie contractuale sunt exclusiv plăţi ale principalului și ale dobânzii aferente valorii principalului datorat.</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E</w:t>
            </w:r>
          </w:p>
          <w:p w:rsidR="00AC292A" w:rsidRDefault="00AC292A">
            <w:pPr>
              <w:pStyle w:val="IASBTableTNR"/>
            </w:pPr>
            <w:r>
              <w:t>Instrumentul E este emis de o bancă reglementată şi are o dată de scadenţă declarată. Instrumentul plăteşte o rată fixă a dobânzii şi toate fluxurile de trezorerie contractuale sunt nediscreţionare.</w:t>
            </w:r>
          </w:p>
          <w:p w:rsidR="00AC292A" w:rsidRDefault="00AC292A">
            <w:pPr>
              <w:pStyle w:val="IASBTableTNR"/>
            </w:pPr>
            <w:r>
              <w:t>Totuşi, emitentul se supune legislaţiei care permite sau impune unei autorităţi naţionale abilitate să impună pierderi deţinătorilor de anumite instrumente, inclusiv ai instrumentului E, în anumite circumstanţe. De exemplu, autoritatea naţională abilitată are puterea de a reduce valoarea nominală a instrumentul E sau de a o converti într-un număr fix de acţiuni ordinare ale emitentului dacă autoritatea naţională abilitată stabileşte că emitentul are dificultăţi financiare grave, are nevoie de capital suplimentar reglementat sau „eşuează”.</w:t>
            </w:r>
          </w:p>
        </w:tc>
        <w:tc>
          <w:tcPr>
            <w:tcW w:w="4459" w:type="dxa"/>
            <w:tcBorders>
              <w:top w:val="nil"/>
              <w:left w:val="nil"/>
              <w:bottom w:val="single" w:sz="4" w:space="0" w:color="auto"/>
              <w:right w:val="single" w:sz="4" w:space="0" w:color="auto"/>
            </w:tcBorders>
          </w:tcPr>
          <w:p w:rsidR="00AC292A" w:rsidRDefault="00AC292A">
            <w:pPr>
              <w:pStyle w:val="IASBTableTNR"/>
            </w:pPr>
            <w:r>
              <w:t xml:space="preserve">Deţinătorul analizează </w:t>
            </w:r>
            <w:r>
              <w:rPr>
                <w:b/>
              </w:rPr>
              <w:t>termenele contractuale</w:t>
            </w:r>
            <w:r>
              <w:t xml:space="preserve"> ale instrumentului financiar pentru a stabili dacă acestea pot genera fluxuri de trezorerie care reprezintă exclusiv plăţi ale principalului şi ale dobânzii aferente valorii principalului datorat şi astfel sunt consecvente cu un angajament simplu de creditare.</w:t>
            </w:r>
          </w:p>
          <w:p w:rsidR="00AC292A" w:rsidRDefault="00AC292A">
            <w:pPr>
              <w:pStyle w:val="IASBTableTNR"/>
            </w:pPr>
            <w:r>
              <w:t xml:space="preserve">Acea analiză nu ia în considerare plăţile apărute doar ca urmare a exercitării puterii de către autoritatea naţională abilitată să impună pierderi deţinătorilor instrumentului E. Aceasta deoarece respectiva putere şi plăţile rezultate nu sunt </w:t>
            </w:r>
            <w:r>
              <w:rPr>
                <w:b/>
              </w:rPr>
              <w:t xml:space="preserve">termenele contractuale </w:t>
            </w:r>
            <w:r>
              <w:t>ale instrumentului financiar.</w:t>
            </w:r>
          </w:p>
          <w:p w:rsidR="00AC292A" w:rsidRDefault="00AC292A">
            <w:pPr>
              <w:pStyle w:val="IASBTableTNR"/>
            </w:pPr>
            <w:r>
              <w:t xml:space="preserve">În schimb, fluxurile de trezorerie contractuale nu sunt exclusiv plăţi ale principalului şi ale dobânzii aferente valorii principalului datorat dacă </w:t>
            </w:r>
            <w:r>
              <w:rPr>
                <w:b/>
              </w:rPr>
              <w:t>termenele contractuale</w:t>
            </w:r>
            <w:r>
              <w:t xml:space="preserve"> ale instrumentului financiar permit sau impun emitentului sau unei alte entităţi să impună pierderi deţinătorului (de exemplu, prin reducerea valorii nominale sau prin convertirea instrumentului într-un număr fix de acţiuni ordinare ale emitentului) atât timp cât respectivele termene contractuale sunt autentice, chiar dacă probabilitatea ca o astfel de pierdere să fie impusă este foarte scăzută.</w:t>
            </w:r>
          </w:p>
        </w:tc>
      </w:tr>
    </w:tbl>
    <w:p w:rsidR="00AC292A" w:rsidRDefault="00AC292A">
      <w:pPr>
        <w:pStyle w:val="IASBNormalnpara"/>
      </w:pPr>
    </w:p>
    <w:p w:rsidR="00AC292A" w:rsidRDefault="00AC292A">
      <w:pPr>
        <w:pStyle w:val="IASBNormalnpara"/>
      </w:pPr>
      <w:r>
        <w:t>B4.1.14</w:t>
      </w:r>
      <w:r>
        <w:tab/>
      </w:r>
      <w:bookmarkStart w:id="626" w:name="F32571589"/>
      <w:r>
        <w:t>Următoarele exemple ilustrează fluxurile de trezorerie contractuale care nu reprezintă exclusiv plăţi ale principalului şi ale dobânzii aferente valorii principalului datorat. Această listă de exemple nu este exhaustivă.</w:t>
      </w:r>
      <w:bookmarkEnd w:id="626"/>
    </w:p>
    <w:p w:rsidR="00AC292A" w:rsidRDefault="00AC292A">
      <w:pPr>
        <w:pStyle w:val="IASBNormalnpara"/>
      </w:pPr>
    </w:p>
    <w:tbl>
      <w:tblPr>
        <w:tblW w:w="0" w:type="auto"/>
        <w:tblInd w:w="848" w:type="dxa"/>
        <w:tblLayout w:type="fixed"/>
        <w:tblLook w:val="0000" w:firstRow="0" w:lastRow="0" w:firstColumn="0" w:lastColumn="0" w:noHBand="0" w:noVBand="0"/>
      </w:tblPr>
      <w:tblGrid>
        <w:gridCol w:w="3694"/>
        <w:gridCol w:w="4550"/>
      </w:tblGrid>
      <w:tr w:rsidR="00AC292A">
        <w:trPr>
          <w:cantSplit/>
          <w:tblHeader/>
        </w:trPr>
        <w:tc>
          <w:tcPr>
            <w:tcW w:w="3694" w:type="dxa"/>
            <w:tcBorders>
              <w:top w:val="single" w:sz="4" w:space="0" w:color="auto"/>
              <w:left w:val="single" w:sz="4" w:space="0" w:color="auto"/>
              <w:bottom w:val="single" w:sz="4" w:space="0" w:color="auto"/>
              <w:right w:val="single" w:sz="4" w:space="0" w:color="auto"/>
            </w:tcBorders>
            <w:vAlign w:val="bottom"/>
          </w:tcPr>
          <w:p w:rsidR="00AC292A" w:rsidRDefault="00AC292A">
            <w:pPr>
              <w:pStyle w:val="IASBTableHeaderArial"/>
            </w:pPr>
            <w:r>
              <w:rPr>
                <w:b/>
              </w:rPr>
              <w:t>Instrument</w:t>
            </w:r>
          </w:p>
        </w:tc>
        <w:tc>
          <w:tcPr>
            <w:tcW w:w="4550" w:type="dxa"/>
            <w:tcBorders>
              <w:top w:val="single" w:sz="4" w:space="0" w:color="auto"/>
              <w:left w:val="nil"/>
              <w:bottom w:val="single" w:sz="4" w:space="0" w:color="auto"/>
              <w:right w:val="single" w:sz="4" w:space="0" w:color="auto"/>
            </w:tcBorders>
            <w:vAlign w:val="bottom"/>
          </w:tcPr>
          <w:p w:rsidR="00AC292A" w:rsidRDefault="00AC292A">
            <w:pPr>
              <w:pStyle w:val="IASBTableHeaderArial"/>
            </w:pPr>
            <w:r>
              <w:rPr>
                <w:b/>
              </w:rPr>
              <w:t>Analiză</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F</w:t>
            </w:r>
          </w:p>
          <w:p w:rsidR="00AC292A" w:rsidRDefault="00AC292A">
            <w:pPr>
              <w:pStyle w:val="IASBTableTNR"/>
            </w:pPr>
            <w:r>
              <w:t>Instrumentul F este o obligaţiune care este convertibilă într-un număr fix de instrumente de capitaluri proprii ale emitentului.</w:t>
            </w:r>
          </w:p>
        </w:tc>
        <w:tc>
          <w:tcPr>
            <w:tcW w:w="4550" w:type="dxa"/>
            <w:tcBorders>
              <w:top w:val="nil"/>
              <w:left w:val="nil"/>
              <w:bottom w:val="single" w:sz="4" w:space="0" w:color="auto"/>
              <w:right w:val="single" w:sz="4" w:space="0" w:color="auto"/>
            </w:tcBorders>
          </w:tcPr>
          <w:p w:rsidR="00AC292A" w:rsidRDefault="00AC292A">
            <w:pPr>
              <w:pStyle w:val="IASBTableTNR"/>
            </w:pPr>
            <w:r>
              <w:t>Deţinătorul ar trebui să analizeze obligaţiunea convertibilă în întregime.</w:t>
            </w:r>
          </w:p>
          <w:p w:rsidR="00AC292A" w:rsidRDefault="00AC292A">
            <w:pPr>
              <w:pStyle w:val="IASBTableTNR"/>
            </w:pPr>
            <w:r>
              <w:t>Fluxurile de trezorerie contractuale nu reprezintă plăţi ale principalului şi ale dobânzii aferente valorii principalului datorat deoarece reflectă o rentabilitate care este inconsecventă cu un angajament simplu de creditare (a se vedea punctul B4.1.7A); adică rentabilitatea este conexă valorii capitalurilor proprii ale emitentului.</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G</w:t>
            </w:r>
          </w:p>
          <w:p w:rsidR="00AC292A" w:rsidRDefault="00AC292A">
            <w:pPr>
              <w:pStyle w:val="IASBTableTNR"/>
            </w:pPr>
            <w:r>
              <w:t>Instrumentul G este un împrumut care plăteşte o rată invers fluctuantă a dobânzii (adică rata dobânzii are o relaţie inversă cu ratele dobânzilor de pe piaţă).</w:t>
            </w:r>
          </w:p>
        </w:tc>
        <w:tc>
          <w:tcPr>
            <w:tcW w:w="4550" w:type="dxa"/>
            <w:tcBorders>
              <w:top w:val="nil"/>
              <w:left w:val="nil"/>
              <w:bottom w:val="single" w:sz="4" w:space="0" w:color="auto"/>
              <w:right w:val="single" w:sz="4" w:space="0" w:color="auto"/>
            </w:tcBorders>
          </w:tcPr>
          <w:p w:rsidR="00AC292A" w:rsidRDefault="00AC292A">
            <w:pPr>
              <w:pStyle w:val="IASBTableTNR"/>
            </w:pPr>
            <w:r>
              <w:t>Fluxurile de trezorerie contractuale nu sunt exclusiv plăţi ale principalului şi ale dobânzii aferente valorii principalului datorat.</w:t>
            </w:r>
          </w:p>
          <w:p w:rsidR="00AC292A" w:rsidRDefault="00AC292A">
            <w:pPr>
              <w:pStyle w:val="IASBTableTNR"/>
            </w:pPr>
            <w:r>
              <w:t>Valorile dobânzii nu reprezintă contravaloarea pentru valoarea-timp a banilor aferentă valorii principalului datorat.</w:t>
            </w:r>
          </w:p>
        </w:tc>
      </w:tr>
      <w:tr w:rsidR="00AC292A">
        <w:trPr>
          <w:cantSplit/>
        </w:trPr>
        <w:tc>
          <w:tcPr>
            <w:tcW w:w="3694" w:type="dxa"/>
            <w:tcBorders>
              <w:top w:val="nil"/>
              <w:left w:val="single" w:sz="4" w:space="0" w:color="auto"/>
              <w:bottom w:val="single" w:sz="4" w:space="0" w:color="auto"/>
              <w:right w:val="single" w:sz="4" w:space="0" w:color="auto"/>
            </w:tcBorders>
          </w:tcPr>
          <w:p w:rsidR="00AC292A" w:rsidRDefault="00AC292A">
            <w:pPr>
              <w:pStyle w:val="IASBTableTNR"/>
            </w:pPr>
            <w:r>
              <w:rPr>
                <w:b/>
              </w:rPr>
              <w:t>Instrumentul H</w:t>
            </w:r>
          </w:p>
          <w:p w:rsidR="00AC292A" w:rsidRDefault="00AC292A">
            <w:pPr>
              <w:pStyle w:val="IASBTableTNR"/>
            </w:pPr>
            <w:r>
              <w:t>Instrumentul H este un instrument perpetuu, dar emitentul ar putea să răscumpere instrumentul oricând şi să îi plătească deţinătorului valoarea nominală plus dobânda acumulată scadentă.</w:t>
            </w:r>
          </w:p>
          <w:p w:rsidR="00AC292A" w:rsidRDefault="00AC292A">
            <w:pPr>
              <w:pStyle w:val="IASBTableTNR"/>
            </w:pPr>
            <w:r>
              <w:t>Instrumentul H plăteşte o rată a dobânzii de piaţă, dar plata dobânzii nu poate fi făcută decât dacă emitentul poate să rămână solvabil imediat după acel moment.</w:t>
            </w:r>
          </w:p>
          <w:p w:rsidR="00AC292A" w:rsidRDefault="00AC292A">
            <w:pPr>
              <w:pStyle w:val="IASBTableTNR"/>
            </w:pPr>
            <w:r>
              <w:t>Dobânda amânată nu acumulează dobândă suplimentară.</w:t>
            </w:r>
          </w:p>
        </w:tc>
        <w:tc>
          <w:tcPr>
            <w:tcW w:w="4550" w:type="dxa"/>
            <w:tcBorders>
              <w:top w:val="nil"/>
              <w:left w:val="nil"/>
              <w:bottom w:val="single" w:sz="4" w:space="0" w:color="auto"/>
              <w:right w:val="single" w:sz="4" w:space="0" w:color="auto"/>
            </w:tcBorders>
          </w:tcPr>
          <w:p w:rsidR="00AC292A" w:rsidRDefault="00AC292A">
            <w:pPr>
              <w:pStyle w:val="IASBTableTNR"/>
            </w:pPr>
            <w:r>
              <w:t>Fluxurile de trezorerie contractuale nu sunt plăţi ale principalului şi ale dobânzii aferente valorii principalului datorat. Aceasta pentru că emitentului i se poate impune să amâne plata dobânzilor şi nu se acumulează dobândă suplimentară pentru acele valori ale dobânzilor amânate. Ca urmare, valorile dobânzii nu reprezintă contravaloarea valorii-timp a banilor aferentă valorii principalului datorat.</w:t>
            </w:r>
          </w:p>
          <w:p w:rsidR="00AC292A" w:rsidRDefault="00AC292A">
            <w:pPr>
              <w:pStyle w:val="IASBTableTNR"/>
            </w:pPr>
            <w:r>
              <w:t>Dacă s-ar acumula dobândă pentru valorile amânate, fluxurile de trezorerie contractuale ar putea fi plăţi ale principalului și ale dobânzii aferente valorii principalului datorat.</w:t>
            </w:r>
          </w:p>
        </w:tc>
      </w:tr>
      <w:tr w:rsidR="00AC292A">
        <w:trPr>
          <w:cantSplit/>
        </w:trPr>
        <w:tc>
          <w:tcPr>
            <w:tcW w:w="3694" w:type="dxa"/>
            <w:tcBorders>
              <w:top w:val="nil"/>
              <w:left w:val="single" w:sz="4" w:space="0" w:color="auto"/>
              <w:bottom w:val="single" w:sz="4" w:space="0" w:color="auto"/>
              <w:right w:val="single" w:sz="4" w:space="0" w:color="auto"/>
            </w:tcBorders>
            <w:vAlign w:val="bottom"/>
          </w:tcPr>
          <w:p w:rsidR="00AC292A" w:rsidRDefault="00AC292A">
            <w:pPr>
              <w:pStyle w:val="IASBTableArial"/>
            </w:pPr>
          </w:p>
        </w:tc>
        <w:tc>
          <w:tcPr>
            <w:tcW w:w="4550" w:type="dxa"/>
            <w:tcBorders>
              <w:top w:val="nil"/>
              <w:left w:val="nil"/>
              <w:bottom w:val="single" w:sz="4" w:space="0" w:color="auto"/>
              <w:right w:val="single" w:sz="4" w:space="0" w:color="auto"/>
            </w:tcBorders>
          </w:tcPr>
          <w:p w:rsidR="00AC292A" w:rsidRDefault="00AC292A">
            <w:pPr>
              <w:pStyle w:val="IASBTableTNR"/>
            </w:pPr>
            <w:r>
              <w:t>Faptul că instrumentul H este perpetuu nu înseamnă, în sine, că fluxurile de trezorerie contractuale nu sunt plăţi ale principalului şi ale dobânzii aferente valorii principalului datorat. De fapt, un instrument perpetuu are opţiuni continue (multiple) de prelungire. Aceste opţiuni pot avea ca rezultat fluxuri de trezorerie contractuale care sunt plăţi ale principalului şi ale dobânzii aferente valorii principalului datorat dacă plățile dobânzii sunt obligatorii și trebuie plătite continuu.</w:t>
            </w:r>
          </w:p>
          <w:p w:rsidR="00AC292A" w:rsidRDefault="00AC292A">
            <w:pPr>
              <w:pStyle w:val="IASBTableTNR"/>
            </w:pPr>
            <w:r>
              <w:t>De asemenea, faptul că instrumentul H este răscumpărabil înainte de scadenţă nu înseamnă că fluxurile de trezorerie contractuale nu sunt plăţi ale principalului şi ale dobânzii aferente valorii principalului datorat decât dacă acesta este răscumpărabil înainte de scadenţă la o valoare care nu reflectă, în mod substanţial, plata principalului datorat şi a dobânzii aferente valorii principalului datorat. Chiar dacă valoarea răscumpărabilă înainte de scadenţă include o valoare care compensează, în mod rezonabil, deţinătorul pentru rezilierea anticipată a instrumentului, fluxurile de trezorerie contractuale ar putea fi plăţi ale principalului şi ale dobânzii aferente valorii principalului datorat. (A se vedea de asemenea punctul B4.1.12.)</w:t>
            </w:r>
          </w:p>
        </w:tc>
      </w:tr>
    </w:tbl>
    <w:p w:rsidR="00AC292A" w:rsidRDefault="00AC292A">
      <w:pPr>
        <w:pStyle w:val="IASBNormalnpara"/>
      </w:pPr>
    </w:p>
    <w:p w:rsidR="00AC292A" w:rsidRDefault="00AC292A">
      <w:pPr>
        <w:pStyle w:val="IASBNormalnpara"/>
      </w:pPr>
      <w:r>
        <w:lastRenderedPageBreak/>
        <w:t>B4.1.15</w:t>
      </w:r>
      <w:r>
        <w:tab/>
      </w:r>
      <w:bookmarkStart w:id="627" w:name="F32571643"/>
      <w:r>
        <w:t>În unele cazuri, un activ financiar poate avea fluxuri de trezorerie contractuale care sunt descrise drept principal şi dobândă, dar acele fluxuri de trezorerie nu reprezintă plata principalului şi a dobânzii aferente valorii principalului datorat, conform descrierii de la punctele 4.1.2 litera (b), 4.1.2A litera (b) şi 4.1.3 din prezentul standard.</w:t>
      </w:r>
      <w:bookmarkEnd w:id="627"/>
    </w:p>
    <w:p w:rsidR="00AC292A" w:rsidRDefault="00AC292A">
      <w:pPr>
        <w:pStyle w:val="IASBNormalnpara"/>
      </w:pPr>
      <w:r>
        <w:t>B4.1.16</w:t>
      </w:r>
      <w:r>
        <w:tab/>
      </w:r>
      <w:bookmarkStart w:id="628" w:name="F32571644"/>
      <w:r>
        <w:t>Această situație poate apărea dacă activul financiar reprezintă o investiţie în anumite active sau fluxuri de trezorerie, iar fluxurile de trezorerie contractuale nu reprezintă, prin urmare, exclusiv plăţi ale principalului şi ale dobânzii aferente valorii principalului datorat. De exemplu, dacă termenele contractuale stipulează că fluxurile de trezorerie ale activului financiar cresc pe măsură ce mai multe autovehicule utilizează un anumit drum cu taxă, respectivele fluxuri de trezorerie contractuale sunt inconsecvente cu un angajament simplu de creditare. Ca urmare, instrumentul nu va îndeplini condiţia de la punctele 4.1.2 litera (b) şi 4.1.2A litera (b). Acesta ar putea fi cazul atunci când o pretenţie a creditorului se limitează la anumite active ale debitorului sau la fluxurile de trezorerie din anumite active (de exemplu, un activ financiar parţial garantat).</w:t>
      </w:r>
      <w:bookmarkEnd w:id="628"/>
    </w:p>
    <w:p w:rsidR="00AC292A" w:rsidRDefault="00AC292A">
      <w:pPr>
        <w:pStyle w:val="IASBNormalnpara"/>
      </w:pPr>
      <w:r>
        <w:t>B4.1.17</w:t>
      </w:r>
      <w:r>
        <w:tab/>
      </w:r>
      <w:bookmarkStart w:id="629" w:name="F32571645"/>
      <w:r>
        <w:t>Totuşi, faptul că un activ financiar este unul parţial garantat nu împiedică neapărat, în sine, ca activul financiar să îndeplinească condiţia de la punctele 4.1.2 litera (b) şi 4.1.2A litera (b). În astfel de situaţii, creditorul trebuie să evalueze („cerceteze”) activele-suport sau fluxurile de trezorerie specifice pentru a determina dacă fluxurile de trezorerie contractuale ale activului financiar clasificat sunt plăţi ale principalului şi ale dobânzii aferente valorii principalului datorat. Dacă termenele activului financiar generează orice alte fluxuri de trezorerie sau limitează fluxurile de trezorerie într-un mod care nu este consecvent cu plăţile care reprezintă principal şi dobândă, activul financiar nu îndeplineşte condiţia de la punctele 4.1.2 litera (b) şi 4.1.2A litera (b). Măsura în care activele-suport sunt active financiare sau active nefinanciare nu afectează, în sine, această evaluare.</w:t>
      </w:r>
      <w:bookmarkEnd w:id="629"/>
    </w:p>
    <w:p w:rsidR="00AC292A" w:rsidRDefault="00AC292A">
      <w:pPr>
        <w:pStyle w:val="IASBNormalnpara"/>
      </w:pPr>
      <w:r>
        <w:t>B4.1.18</w:t>
      </w:r>
      <w:r>
        <w:tab/>
      </w:r>
      <w:bookmarkStart w:id="630" w:name="F32571646"/>
      <w:r>
        <w:t>O caracteristică a fluxurilor de trezorerie contractuale nu afectează clasificarea activului financiar dacă ar putea avea doar un efect de minimis asupra fluxurilor de trezorerie contractuale ale activului financiar. Pentru a stabili acest aspect, o entitate trebuie să aibă în vedere efectul posibil al caracteristicii fluxului de trezorerie contractual în fiecare perioadă de raportare şi cumulat pe parcursul duratei de viață a instrumentului financiar. În plus, dacă o caracteristică a fluxului de trezorerie contractual ar putea avea un efect asupra fluxurilor de trezorerie contractuale care este mai mult decât de minimis (fie într-o singură perioadă de raportare, fie cumulat), dar respectiva caracteristică a fluxului de trezorerie nu este autentică, aceasta nu afectează clasificarea unui activ financiar. O caracteristică a fluxului de trezorerie nu este autentică dacă afectează fluxurile de trezorerie contractuale ale instrumentului numai la apariţia unui eveniment care este extrem de rar, foarte neobișnuit şi foarte puţin probabil.</w:t>
      </w:r>
      <w:bookmarkEnd w:id="630"/>
    </w:p>
    <w:p w:rsidR="00AC292A" w:rsidRDefault="00AC292A">
      <w:pPr>
        <w:pStyle w:val="IASBNormalnpara"/>
      </w:pPr>
      <w:r>
        <w:t>B4.1.19</w:t>
      </w:r>
      <w:r>
        <w:tab/>
      </w:r>
      <w:bookmarkStart w:id="631" w:name="F32571647"/>
      <w:r>
        <w:t>În aproape toate tranzacţiile de creditare, instrumentul creditorului este clasificat în raport cu instrumentele altor creditori ai debitorului. Un instrument care este subordonat altor instrumente poate avea fluxuri de trezorerie contractuale care sunt plăţi ale principalului şi ale dobânzii aferente valorii principalului datorat dacă neplata debitorului este o încălcare a contractului şi deţinătorul are un drept contractual la sumele neplătite ale principalului şi ale dobânzii aferente valorii principalului datorat chiar şi în cazul falimentului debitorului. De exemplu, o creanţă comercială conform căreia creditorul său este clasificat drept creditor general s-ar califica drept având plăţi ale principalului şi ale dobânzii aferente valorii principalului datorat. Acest lucru se întâmplă şi în cazul în care debitorul emite împrumuturi cu garanţii reale care, în cazul falimentului, ar da prioritate deţinătorului împrumutului asupra pretenţiilor creditorului general cu privire la garanţiile reale, dar care nu afectează dreptul contractual al creditorului general asupra principalului neplătit şi a altor valori datorate.</w:t>
      </w:r>
      <w:bookmarkEnd w:id="631"/>
    </w:p>
    <w:p w:rsidR="00AC292A" w:rsidRDefault="00AC292A">
      <w:pPr>
        <w:pStyle w:val="IASBSectionTitle4Ind"/>
      </w:pPr>
      <w:bookmarkStart w:id="632" w:name="F32571649"/>
      <w:r>
        <w:t>Instrumente legate contractual</w:t>
      </w:r>
      <w:bookmarkEnd w:id="632"/>
    </w:p>
    <w:p w:rsidR="00AC292A" w:rsidRDefault="00AC292A">
      <w:pPr>
        <w:pStyle w:val="IASBNormalnpara"/>
      </w:pPr>
      <w:r>
        <w:t>B4.1.20</w:t>
      </w:r>
      <w:r>
        <w:tab/>
      </w:r>
      <w:bookmarkStart w:id="633" w:name="F32571650"/>
      <w:r>
        <w:t>În anumite tipuri de tranzacţii, un emitent poate favoriza plăţi către deţinătorii activelor financiare utilizând mai multe instrumente legate contractual care generează concentrări ale riscului de credit (tranșe). Fiecare tranșă are o ierarhie de subordonare care specifică ordinea în care orice fluxuri de trezorerie generate de emitent sunt alocate tranșei. În astfel de situaţii, deţinătorii unei tranșe au dreptul la plăţi ale principalului şi ale dobânzii aferente valorii principalului datorat numai dacă emitentul generează suficiente fluxuri de trezorerie pentru a satisface tranșele de rang superior.</w:t>
      </w:r>
      <w:bookmarkEnd w:id="633"/>
    </w:p>
    <w:p w:rsidR="00AC292A" w:rsidRDefault="00AC292A">
      <w:pPr>
        <w:pStyle w:val="IASBNormalnpara"/>
      </w:pPr>
      <w:r>
        <w:t>B4.1.21</w:t>
      </w:r>
      <w:r>
        <w:tab/>
      </w:r>
      <w:bookmarkStart w:id="634" w:name="F32571651"/>
      <w:r>
        <w:t>În astfel de tranzacţii, o tranșă are caracteristici ale fluxului de trezorerie care sunt plăţi ale principalului şi ale dobânzii aferente valorii principalului datorat numai dacă:</w:t>
      </w:r>
      <w:bookmarkEnd w:id="634"/>
    </w:p>
    <w:p w:rsidR="00AC292A" w:rsidRDefault="00AC292A">
      <w:pPr>
        <w:pStyle w:val="IASBNormalnparaL1"/>
      </w:pPr>
      <w:r>
        <w:t>(a)</w:t>
      </w:r>
      <w:r>
        <w:tab/>
      </w:r>
      <w:bookmarkStart w:id="635" w:name="F32571654"/>
      <w:r>
        <w:t>termenele contractuale ale tranșei evaluate pentru clasificare (fără a analiza grupul-suport de instrumente financiare) generează fluxuri de trezorerie care sunt exclusiv plăţi ale principalului şi ale dobânzii aferente valorii principalului datorat (de exemplu, rata dobânzii aferentă tranșei nu este corelată cu un indice de marfă);</w:t>
      </w:r>
      <w:bookmarkEnd w:id="635"/>
    </w:p>
    <w:p w:rsidR="00AC292A" w:rsidRDefault="00AC292A">
      <w:pPr>
        <w:pStyle w:val="IASBNormalnparaL1"/>
      </w:pPr>
      <w:r>
        <w:t>(b)</w:t>
      </w:r>
      <w:r>
        <w:tab/>
      </w:r>
      <w:bookmarkStart w:id="636" w:name="F32626062"/>
      <w:r>
        <w:t>grupul-suport de instrumente financiare are caracteristicile fluxului de trezorerie prevăzute la punctele B4.1.23 şi B4.1.24; și</w:t>
      </w:r>
      <w:bookmarkEnd w:id="636"/>
    </w:p>
    <w:p w:rsidR="00AC292A" w:rsidRDefault="00AC292A">
      <w:pPr>
        <w:pStyle w:val="IASBNormalnparaL1"/>
      </w:pPr>
      <w:r>
        <w:lastRenderedPageBreak/>
        <w:t>(c)</w:t>
      </w:r>
      <w:r>
        <w:tab/>
      </w:r>
      <w:bookmarkStart w:id="637" w:name="F32626064"/>
      <w:r>
        <w:t>expunerea la riscul de credit în grupul-suport de instrumente financiare inerentă tranșei este mai mică sau egală cu expunerea la riscul de credit al grupului-suport de instrumente financiare (de exemplu, ratingul de credit al tranșei evaluate pentru clasificare este mai mare sau egal cu ratingul de credit care s-ar aplica unei singure tranșe care a finanţat grupul-suport de instrumente financiare).</w:t>
      </w:r>
      <w:bookmarkEnd w:id="637"/>
    </w:p>
    <w:p w:rsidR="00AC292A" w:rsidRDefault="00AC292A">
      <w:pPr>
        <w:pStyle w:val="IASBNormalnpara"/>
      </w:pPr>
      <w:r>
        <w:t>B4.1.22</w:t>
      </w:r>
      <w:r>
        <w:tab/>
      </w:r>
      <w:bookmarkStart w:id="638" w:name="F32626065"/>
      <w:r>
        <w:t>O entitate trebuie să cerceteze până când poate identifica grupul-suport de instrumente care generează (nu intersectează) fluxurile de trezorerie. Acesta este grupul-suport de instrumente financiare.</w:t>
      </w:r>
      <w:bookmarkEnd w:id="638"/>
    </w:p>
    <w:p w:rsidR="00AC292A" w:rsidRDefault="00AC292A">
      <w:pPr>
        <w:pStyle w:val="IASBNormalnpara"/>
      </w:pPr>
      <w:r>
        <w:t>B4.1.23</w:t>
      </w:r>
      <w:r>
        <w:tab/>
      </w:r>
      <w:bookmarkStart w:id="639" w:name="F32626066"/>
      <w:r>
        <w:t>Grupul-suport trebuie să conţină unul sau mai multe instrumente cu fluxuri de trezorerie contractuale care sunt exclusiv plăţi ale principalului şi ale dobânzii aferente valorii principalului datorat.</w:t>
      </w:r>
      <w:bookmarkEnd w:id="639"/>
    </w:p>
    <w:p w:rsidR="00AC292A" w:rsidRDefault="00AC292A">
      <w:pPr>
        <w:pStyle w:val="IASBNormalnpara"/>
      </w:pPr>
      <w:r>
        <w:t>B4.1.24</w:t>
      </w:r>
      <w:r>
        <w:tab/>
      </w:r>
      <w:bookmarkStart w:id="640" w:name="F32626067"/>
      <w:r>
        <w:t>Grupul-suport de instrumente poate să includă și instrumente care:</w:t>
      </w:r>
      <w:bookmarkEnd w:id="640"/>
    </w:p>
    <w:p w:rsidR="00AC292A" w:rsidRDefault="00AC292A">
      <w:pPr>
        <w:pStyle w:val="IASBNormalnparaL1"/>
      </w:pPr>
      <w:r>
        <w:t>(a)</w:t>
      </w:r>
      <w:r>
        <w:tab/>
      </w:r>
      <w:bookmarkStart w:id="641" w:name="F32626070"/>
      <w:r>
        <w:t>reduc variabilitatea fluxului de trezorerie al instrumentelor de la punctul B4.1.23 şi, atunci când sunt combinate cu instrumentele de la punctul B4.1.23, au drept rezultat fluxuri de trezorerie care sunt exclusiv plăţi ale principalului şi ale dobânzii aferente valorii principalului datorat (de exemplu, plafonul maxim sau minim al ratei dobânzii sau un contract care reduce riscul de credit al tuturor instrumentelor de la punctul B4.1.23 sau al unora dintre acestea); sau</w:t>
      </w:r>
      <w:bookmarkEnd w:id="641"/>
    </w:p>
    <w:p w:rsidR="00AC292A" w:rsidRDefault="00AC292A">
      <w:pPr>
        <w:pStyle w:val="IASBNormalnparaL1"/>
      </w:pPr>
      <w:r>
        <w:t>(b)</w:t>
      </w:r>
      <w:r>
        <w:tab/>
      </w:r>
      <w:bookmarkStart w:id="642" w:name="F32626072"/>
      <w:r>
        <w:t>aliniază fluxurile de trezorerie ale tranșelor cu fluxurile de trezorerie ale grupului-suport de instrumente de la punctul B4.1.23 pentru a trata diferenţe ce țin de și numai de:</w:t>
      </w:r>
      <w:bookmarkEnd w:id="642"/>
    </w:p>
    <w:p w:rsidR="00AC292A" w:rsidRDefault="00AC292A">
      <w:pPr>
        <w:pStyle w:val="IASBNormalnparaL2"/>
      </w:pPr>
      <w:r>
        <w:t>(i)</w:t>
      </w:r>
      <w:r>
        <w:tab/>
      </w:r>
      <w:bookmarkStart w:id="643" w:name="F32626075"/>
      <w:r>
        <w:t>măsura în care rata dobânzii este fixă sau fluctuantă;</w:t>
      </w:r>
      <w:bookmarkEnd w:id="643"/>
    </w:p>
    <w:p w:rsidR="00AC292A" w:rsidRDefault="00AC292A">
      <w:pPr>
        <w:pStyle w:val="IASBNormalnparaL2"/>
      </w:pPr>
      <w:r>
        <w:t>(ii)</w:t>
      </w:r>
      <w:r>
        <w:tab/>
      </w:r>
      <w:bookmarkStart w:id="644" w:name="F32626077"/>
      <w:r>
        <w:t>moneda în care fluxurile de trezorerie sunt exprimate, inclusiv inflaţia monedei respective; sau</w:t>
      </w:r>
      <w:bookmarkEnd w:id="644"/>
    </w:p>
    <w:p w:rsidR="00AC292A" w:rsidRDefault="00AC292A">
      <w:pPr>
        <w:pStyle w:val="IASBNormalnparaL2"/>
      </w:pPr>
      <w:r>
        <w:t>(iii)</w:t>
      </w:r>
      <w:r>
        <w:tab/>
      </w:r>
      <w:bookmarkStart w:id="645" w:name="F32626079"/>
      <w:r>
        <w:t>plasarea în timp a fluxurilor de trezorerie.</w:t>
      </w:r>
      <w:bookmarkEnd w:id="645"/>
    </w:p>
    <w:p w:rsidR="00AC292A" w:rsidRDefault="00AC292A">
      <w:pPr>
        <w:pStyle w:val="IASBNormalnpara"/>
      </w:pPr>
      <w:r>
        <w:t>B4.1.25</w:t>
      </w:r>
      <w:r>
        <w:tab/>
      </w:r>
      <w:bookmarkStart w:id="646" w:name="F32626080"/>
      <w:r>
        <w:t>În cazul în care oricare instrument din grup nu îndeplineşte condiţiile de la punctul B4.1.23 sau de la punctul B4.1.24, nu este îndeplinită condiţia de la punctul B4.1.21 litera (b). Este posibil ca la realizarea acestei evaluări să nu fie necesară o analiză detaliată a fiecărui instrument în parte din cadrul grupului. Totuşi, o entitate trebuie să utilizeze raţionamentul şi să realizeze o analiză suficientă pentru a stabili dacă instrumentele din grup îndeplinesc condiţiile de la punctele B4.1.23-B4.1.24. (A se vedea și punctul B4.1.18 pentru îndrumări cu privire la caracteristicile fluxului de trezorerie contractual care au doar un efect de minimis.)</w:t>
      </w:r>
      <w:bookmarkEnd w:id="646"/>
    </w:p>
    <w:p w:rsidR="00AC292A" w:rsidRDefault="00AC292A">
      <w:pPr>
        <w:pStyle w:val="IASBNormalnpara"/>
      </w:pPr>
      <w:r>
        <w:t>B4.1.26</w:t>
      </w:r>
      <w:r>
        <w:tab/>
      </w:r>
      <w:bookmarkStart w:id="647" w:name="F32626081"/>
      <w:r>
        <w:t>Dacă deţinătorul nu poate evalua condiţiile de la punctul B4.1.21 la recunoaşterea iniţială, tranșa trebuie evaluată la valoarea justă prin profit sau pierdere. Dacă grupul-suport de instrumente se poate modifica după recunoaşterea iniţială astfel încât este posibil ca grupul să nu îndeplinească condiţiile de la punctele B4.1.23-B4.1.24, tranșa nu îndeplineşte condiţiile de la punctul B4.1.21 şi trebuie evaluată la valoarea justă prin profit sau pierdere. Cu toate acestea, dacă grupul-suport include instrumente cu garanţii reale sub forma unor active care nu îndeplinesc condiţiile de la punctele B4.1.23-B4.1.24, capacitatea de a intra în posesia unor astfel de active nu va fi avută în vedere în sensul aplicării acestui punct, exceptând cazul în care entitatea a achiziţionat tranșa cu intenţia de a controla garanţia reală.</w:t>
      </w:r>
      <w:bookmarkEnd w:id="647"/>
    </w:p>
    <w:p w:rsidR="00AC292A" w:rsidRDefault="00AC292A">
      <w:pPr>
        <w:pStyle w:val="IASBSectionTitle2Ind"/>
      </w:pPr>
      <w:bookmarkStart w:id="648" w:name="F32626083"/>
      <w:r>
        <w:t>Opţiunea de desemnare a unui activ financiar sau a unei datorii financiare ca fiind la valoarea justă prin profit sau pierdere (secţiunile 4.1 şi 4.2)</w:t>
      </w:r>
      <w:bookmarkEnd w:id="648"/>
    </w:p>
    <w:p w:rsidR="00AC292A" w:rsidRDefault="00AC292A">
      <w:pPr>
        <w:pStyle w:val="IASBNormalnpara"/>
      </w:pPr>
      <w:r>
        <w:t>B4.1.27</w:t>
      </w:r>
      <w:r>
        <w:tab/>
      </w:r>
      <w:bookmarkStart w:id="649" w:name="F32626084"/>
      <w:r>
        <w:t>Sub rezerva condiţiilor de la punctele 4.1.5 şi 4.2.2, prezentul standard permite unei entităţi să desemneze un activ financiar, o datorie financiară sau un grup de instrumente financiare (active financiare, datorii financiare sau ambele) ca fiind la valoarea justă prin profit sau pierdere, cu condiţia ca această acţiune să genereze informaţii mai relevante.</w:t>
      </w:r>
      <w:bookmarkEnd w:id="649"/>
    </w:p>
    <w:p w:rsidR="00AC292A" w:rsidRDefault="00AC292A">
      <w:pPr>
        <w:pStyle w:val="IASBNormalnpara"/>
      </w:pPr>
      <w:r>
        <w:t>B4.1.28</w:t>
      </w:r>
      <w:r>
        <w:tab/>
      </w:r>
      <w:bookmarkStart w:id="650" w:name="F32626085"/>
      <w:r>
        <w:t>Decizia unei entităţi de a desemna un activ financiar sau o datorie financiară ca fiind la valoarea justă prin profit sau pierdere este similară alegerii unei politici contabile (deşi, spre deosebire de alegerea politicii contabile, nu se impune aplicarea consecventă pentru toate tranzacţiile similare). Atunci când o entitate face o astfel de alegere, punctul 14 litera (b) din IAS 8 prevede ca politica aleasă să aibă drept rezultat situaţii financiare care să ofere informaţii fiabile şi mai relevante cu privire la efectele tranzacţiilor, ale altor evenimente şi condiţii asupra poziţiei financiare, performanţei financiare sau fluxurilor de trezorerie ale entității. De exemplu, în cazul desemnării unei datorii financiare ca fiind la valoarea justă prin profit sau pierdere, punctul 4.2.2 stabileşte cele două circumstanţe în care se îndeplineşte dispoziţia de a furniza mai multe informaţii relevante. Prin urmare, pentru a alege această desemnare în conformitate cu punctul 4.2.2, entitatea trebuie să demonstreze că se regăseşte în unul dintre aceste cazuri (sau în ambele).</w:t>
      </w:r>
      <w:bookmarkEnd w:id="650"/>
    </w:p>
    <w:p w:rsidR="00AC292A" w:rsidRDefault="00AC292A">
      <w:pPr>
        <w:pStyle w:val="IASBSectionTitle3Ind"/>
      </w:pPr>
      <w:bookmarkStart w:id="651" w:name="F32626087"/>
      <w:r>
        <w:lastRenderedPageBreak/>
        <w:t>Desemnarea elimină sau reduce semnificativ o necorelare contabilă</w:t>
      </w:r>
      <w:bookmarkEnd w:id="651"/>
    </w:p>
    <w:p w:rsidR="00AC292A" w:rsidRDefault="00AC292A">
      <w:pPr>
        <w:pStyle w:val="IASBNormalnpara"/>
      </w:pPr>
      <w:r>
        <w:t>B4.1.29</w:t>
      </w:r>
      <w:r>
        <w:tab/>
      </w:r>
      <w:bookmarkStart w:id="652" w:name="F32626088"/>
      <w:r>
        <w:t>Evaluarea unui activ financiar sau a unei datorii financiare şi clasificarea modificărilor recunoscute ale valorii sale sunt determinate de clasificarea elementului şi de măsura în care elementul face parte dintr-o relaţie desemnată de acoperire împotriva riscurilor. Aceste dispoziţii pot genera o inconsecvenţă de evaluare sau de recunoaştere (numită uneori o „necorelare contabilă”) atunci când, de exemplu, în absenţa desemnării ca fiind la valoarea justă prin profit sau pierdere, un activ financiar ar fi clasificat ca fiind evaluat ulterior la valoarea justă prin profit sau pierdere, iar o datorie pe care entitatea o consideră asociată acestuia va fi evaluată ulterior la costul amortizat (modificările valorii juste nefiind recunoscute). În astfel de cazuri, o entitate poate ajunge la concluzia că situaţiile sale financiare vor furniza informaţii mai relevante dacă atât activul, cât şi datoria sunt evaluate ca fiind la valoarea justă prin profit sau pierdere.</w:t>
      </w:r>
      <w:bookmarkEnd w:id="652"/>
    </w:p>
    <w:p w:rsidR="00AC292A" w:rsidRDefault="00AC292A">
      <w:pPr>
        <w:pStyle w:val="IASBNormalnpara"/>
      </w:pPr>
      <w:r>
        <w:t>B4.1.30</w:t>
      </w:r>
      <w:r>
        <w:tab/>
      </w:r>
      <w:bookmarkStart w:id="653" w:name="F32626089"/>
      <w:r>
        <w:t>Următoarele exemple arată când ar putea fi îndeplinită această condiţie. În toate situațiile, o entitate poate utiliza acest criteriu pentru desemnarea activelor financiare sau a datoriilor financiare la valoarea justă prin profit sau pierdere numai dacă se respectă principiul de la punctul 4.1.5 sau 4.2.2 litera (a):</w:t>
      </w:r>
      <w:bookmarkEnd w:id="653"/>
    </w:p>
    <w:p w:rsidR="00AC292A" w:rsidRDefault="00AC292A">
      <w:pPr>
        <w:pStyle w:val="IASBNormalnparaL1"/>
      </w:pPr>
      <w:r>
        <w:t>(a)</w:t>
      </w:r>
      <w:r>
        <w:tab/>
      </w:r>
      <w:bookmarkStart w:id="654" w:name="F32626092"/>
      <w:r>
        <w:t>o entitate are datorii din contracte de asigurare a căror evaluare încorporează informaţii curente (permise la punctul 24 din IFRS 4) şi active financiare pe care le consideră asociate şi care, altfel, ar fi evaluate fie la valoarea justă prin alte elemente ale rezultatului global, fie la costul amortizat.</w:t>
      </w:r>
      <w:bookmarkEnd w:id="654"/>
    </w:p>
    <w:p w:rsidR="00AC292A" w:rsidRDefault="00AC292A">
      <w:pPr>
        <w:pStyle w:val="IASBNormalnparaL1"/>
      </w:pPr>
      <w:r>
        <w:t>(b)</w:t>
      </w:r>
      <w:r>
        <w:tab/>
      </w:r>
      <w:bookmarkStart w:id="655" w:name="F32626094"/>
      <w:r>
        <w:t>o entitate are active financiare, datorii financiare sau ambele, cu risc comun, cum ar fi riscul ratei dobânzii, care generează modificări contrare ale valorii juste ce tind să se compenseze reciproc. Totuşi, numai unele dintre instrumente vor fi evaluate la valoarea justă prin profit sau pierdere (de exemplu, cele care sunt instrumente financiare derivate sau sunt clasificate drept deţinute în vederea tranzacţionării). Este posibil și ca dispoziţiile privind contabilitatea de acoperire împotriva riscurilor să nu fie respectate deoarece, de exemplu, nu sunt îndeplinite dispoziţiile privind eficacitatea acoperirii împotriva riscurilor de la punctul 6.4.1.</w:t>
      </w:r>
      <w:bookmarkEnd w:id="655"/>
    </w:p>
    <w:p w:rsidR="00AC292A" w:rsidRDefault="00AC292A">
      <w:pPr>
        <w:pStyle w:val="IASBNormalnparaL1"/>
      </w:pPr>
      <w:r>
        <w:t>(c)</w:t>
      </w:r>
      <w:r>
        <w:tab/>
      </w:r>
      <w:bookmarkStart w:id="656" w:name="F32626096"/>
      <w:r>
        <w:t>o entitate are active financiare, datorii financiare sau ambele cu risc comun, cum ar fi riscul ratei dobânzii, care generează modificări contrare ale valorii juste ce tind să se compenseze reciproc și niciunul dintre activele financiare sau niciuna dintre datoriile financiare nu îndeplinește condițiile pentru desemnarea ca instrument de acoperire împotriva riscurilor deoarece nu sunt evaluate la valoarea justă prin profit sau pierdere. Mai mult, în absenţa contabilităţii de acoperire împotriva riscurilor există o inconsecvenţă semnificativă în recunoaşterea câştigurilor şi pierderilor. De exemplu, entitatea a finanţat un grup specific de împrumuturi prin emiterea unor obligaţiuni tranzacţionate ale căror modificări ale valorii juste tind să se compenseze reciproc. Dacă, în plus, entitatea cumpără şi vinde în mod regulat obligaţiunile, dar cumpără şi vinde împrumuturile rar, chiar niciodată, atât raportarea împrumuturilor, cât şi cea a obligaţiunilor la valoarea justă prin profit sau pierdere elimină inconsecvenţa plasării în timp a recunoaşterii câştigurilor şi pierderilor care, altfel, ar fi generate atât de evaluarea lor la costul amortizat, cât şi de recunoaşterea unui câştig sau a unei pierderi de fiecare dată când se răscumpără o obligaţiune.</w:t>
      </w:r>
      <w:bookmarkEnd w:id="656"/>
    </w:p>
    <w:p w:rsidR="00AC292A" w:rsidRDefault="00AC292A">
      <w:pPr>
        <w:pStyle w:val="IASBNormalnpara"/>
      </w:pPr>
      <w:r>
        <w:t>B4.1.31</w:t>
      </w:r>
      <w:r>
        <w:tab/>
      </w:r>
      <w:bookmarkStart w:id="657" w:name="F32626097"/>
      <w:r>
        <w:t>În cazuri asemănătoare celor descrise la punctul precedent, desemnarea, la recunoaşterea iniţială, a activelor financiare şi a datoriilor financiare care nu sunt, altminteri, evaluate astfel ca fiind la valoarea justă prin profit sau pierdere poate elimina sau reduce semnificativ inconsecvenţa de evaluare sau de recunoaştere şi poate produce informaţii mai relevante. În scopuri practice, nu este necesar ca entitatea să angajeze toate activele şi datoriile care generează o inconsecvenţă de evaluare sau de recunoaştere exact în acelaşi timp. Este permisă o întârziere rezonabilă cu condiţia ca fiecare tranzacţie să fie desemnată ca fiind la valoarea justă prin profit sau pierdere la recunoaşterea sa iniţială şi, în acel moment, să se preconizeze că vor avea loc toate tranzacţiile rămase.</w:t>
      </w:r>
      <w:bookmarkEnd w:id="657"/>
    </w:p>
    <w:p w:rsidR="00AC292A" w:rsidRDefault="00AC292A">
      <w:pPr>
        <w:pStyle w:val="IASBNormalnpara"/>
      </w:pPr>
      <w:r>
        <w:t>B4.1.32</w:t>
      </w:r>
      <w:r>
        <w:tab/>
      </w:r>
      <w:bookmarkStart w:id="658" w:name="F32626098"/>
      <w:r>
        <w:t>Nu ar fi acceptabil să se desemneze doar o parte din activele şi datoriile financiare care generează o inconsecvenţă ca fiind la valoarea justă prin profit sau pierdere dacă astfel nu se elimină sau nu se reduce în mod semnificativ inconsecvenţa şi, prin urmare, nu se obţin mai multe informaţii relevante. Totuşi, ar fi acceptabil să se desemneze doar o parte din activele sau datoriile financiare similare dacă astfel se obţine o reducere semnificativă a inconsecvenţei (şi posibil o reducere mai mare decât prin alte desemnări permise). De exemplu, să presupunem că o entitate are un număr de datorii financiare similare care însumează 100 u.m. şi un număr de active financiare similare care însumează 50 u.m., însă sunt evaluate pe o bază diferită. Entitatea poate reduce în mod semnificativ inconsecvenţa de evaluare prin desemnarea la recunoaşterea iniţială a tuturor activelor, dar numai a unora dintre datorii (de exemplu, datoriile individuale cu un total combinat de 45 u.m.) ca fiind la valoarea justă prin profit sau pierdere. Totuşi, deoarece desemnarea ca fiind la valoarea justă prin profit sau pierdere poate fi aplicată numai întregului instrument financiar, entitatea din acest exemplu trebuie să desemneze una sau mai multe datorii în ansamblul lor. Ea nu poate desemna nici o componentă a unei datorii (de exemplu, modificările valorii care se pot atribui doar unui singur risc, cum ar fi modificările ratei dobânzii de referinţă) şi nici o proporţie (adică un procent) dintr-o datorie.</w:t>
      </w:r>
      <w:bookmarkEnd w:id="658"/>
    </w:p>
    <w:p w:rsidR="00AC292A" w:rsidRDefault="00AC292A">
      <w:pPr>
        <w:pStyle w:val="IASBSectionTitle3Ind"/>
      </w:pPr>
      <w:bookmarkStart w:id="659" w:name="F32626100"/>
      <w:r>
        <w:lastRenderedPageBreak/>
        <w:t>Un grup de datorii financiare sau de active financiare şi datorii financiare este gestionat, iar performanţa sa este evaluată pe baza valorii juste</w:t>
      </w:r>
      <w:bookmarkEnd w:id="659"/>
    </w:p>
    <w:p w:rsidR="00AC292A" w:rsidRDefault="00AC292A">
      <w:pPr>
        <w:pStyle w:val="IASBNormalnpara"/>
      </w:pPr>
      <w:r>
        <w:t>B4.1.33</w:t>
      </w:r>
      <w:r>
        <w:tab/>
      </w:r>
      <w:bookmarkStart w:id="660" w:name="F32626101"/>
      <w:r>
        <w:t>O entitate poate gestiona şi evalua performanţa unui grup de datorii financiare sau de active financiare şi datorii financiare astfel încât evaluarea acelui grup la valoarea justă prin profit sau pierdere să genereze informaţii mai relevante. În acest caz, accentul se pune pe modalitatea în care entitatea gestionează şi evaluează performanţa, şi nu pe natura instrumentelor sale financiare.</w:t>
      </w:r>
      <w:bookmarkEnd w:id="660"/>
    </w:p>
    <w:p w:rsidR="00AC292A" w:rsidRDefault="00AC292A">
      <w:pPr>
        <w:pStyle w:val="IASBNormalnpara"/>
      </w:pPr>
      <w:r>
        <w:t>B4.1.34</w:t>
      </w:r>
      <w:r>
        <w:tab/>
      </w:r>
      <w:bookmarkStart w:id="661" w:name="F32626102"/>
      <w:r>
        <w:t>De exemplu, o entitate poate utiliza această condiţie pentru a desemna datoriile financiare ca fiind la valoarea justă prin profit sau pierdere dacă se respectă principiul de la punctul 4.2.2 litera (b), iar entitatea are active financiare şi datorii financiare care au unul sau mai multe riscuri comune, aceste riscuri fiind gestionate şi evaluate pe baza valorii juste în conformitate cu o politică documentată de gestionare a activelor și datoriilor. Un exemplu ar putea fi o entitate care a emis „produse structurate” ce conţin instrumente derivate încorporate cu caracteristici multiple şi gestionează riscurile rezultante pe baza valorii juste, utilizând o combinaţie de instrumente financiare derivate şi nederivate.</w:t>
      </w:r>
      <w:bookmarkEnd w:id="661"/>
    </w:p>
    <w:p w:rsidR="00AC292A" w:rsidRDefault="00AC292A">
      <w:pPr>
        <w:pStyle w:val="IASBNormalnpara"/>
      </w:pPr>
      <w:r>
        <w:t>B4.1.35</w:t>
      </w:r>
      <w:r>
        <w:tab/>
      </w:r>
      <w:bookmarkStart w:id="662" w:name="F32626103"/>
      <w:r>
        <w:t>Aşa cum s-a arătat mai sus, această condiţie se bazează pe modul în care entitatea gestionează şi evaluează performanţa grupului de instrumente financiare în cauză. Prin urmare (sub rezerva dispoziţiei de desemnare la recunoaşterea iniţială), o entitate care desemnează datoriile financiare ca fiind la valoarea justă prin profit sau pierdere pe baza acestei condiţii va desemna astfel toate instrumentele financiare eligibile care sunt gestionate şi evaluate împreună.</w:t>
      </w:r>
      <w:bookmarkEnd w:id="662"/>
    </w:p>
    <w:p w:rsidR="00AC292A" w:rsidRDefault="00AC292A">
      <w:pPr>
        <w:pStyle w:val="IASBNormalnpara"/>
      </w:pPr>
      <w:r>
        <w:t>B4.1.36</w:t>
      </w:r>
      <w:r>
        <w:tab/>
      </w:r>
      <w:bookmarkStart w:id="663" w:name="F32626104"/>
      <w:r>
        <w:t>Nu este necesar ca documentarea strategiei entităţii să fie extinsă, dar aceasta trebuie să fie suficientă pentru a demonstra respectarea punctului 4.2.2 litera (b). O astfel de documentare nu este solicitată pentru fiecare element individual, dar poate fi la nivel de portofoliu. De exemplu, dacă sistemul de gestionare a performanţei unui departament – aprobat de personalul-cheie din conducerea entităţii – demonstrează în mod clar că performanţa sa este evaluată pe această bază, nu se solicită o justificare suplimentară pentru a demonstra respectarea punctului 4.2.2 litera (b).</w:t>
      </w:r>
      <w:bookmarkEnd w:id="663"/>
    </w:p>
    <w:p w:rsidR="00AC292A" w:rsidRDefault="00AC292A">
      <w:pPr>
        <w:pStyle w:val="IASBSectionTitle2Ind"/>
      </w:pPr>
      <w:bookmarkStart w:id="664" w:name="F32626113"/>
      <w:r>
        <w:t>Instrumente derivate încorporate (secţiunea 4.3)</w:t>
      </w:r>
      <w:bookmarkEnd w:id="664"/>
    </w:p>
    <w:p w:rsidR="00AC292A" w:rsidRDefault="00AC292A">
      <w:pPr>
        <w:pStyle w:val="IASBNormalnpara"/>
      </w:pPr>
      <w:r>
        <w:t>B4.3.1</w:t>
      </w:r>
      <w:r>
        <w:tab/>
      </w:r>
      <w:bookmarkStart w:id="665" w:name="F32626116"/>
      <w:r>
        <w:t>Atunci când o entitate devine parte a unui contract-hibrid cu o gazdă care nu este un activ ce intră sub incidenţa prezentului standard, punctul 4.3.3 impune entităţii să identifice orice instrument derivat încorporat, să evalueze dacă se impune ca acesta să fie separat de contractul-gazdă şi, pentru cele care trebuie separate, să evalueze instrumentele derivate la valoarea justă la recunoaşterea iniţială şi ulterior la valoarea justă prin profit sau pierdere.</w:t>
      </w:r>
      <w:bookmarkEnd w:id="665"/>
    </w:p>
    <w:p w:rsidR="00AC292A" w:rsidRDefault="00AC292A">
      <w:pPr>
        <w:pStyle w:val="IASBNormalnpara"/>
      </w:pPr>
      <w:r>
        <w:t>B4.3.2</w:t>
      </w:r>
      <w:r>
        <w:tab/>
      </w:r>
      <w:bookmarkStart w:id="666" w:name="F32626119"/>
      <w:r>
        <w:t>Dacă un contract-gazdă nu are o scadenţă declarată sau predeterminată şi reprezintă o participaţie reziduală în activele nete ale unei entităţi, caracteristicile şi riscurile sale economice sunt cele ale unui instrument de capitaluri proprii și ar fi necesar ca un instrument derivat încorporat să prezinte caracteristici de capitaluri proprii ce ţin de aceeaşi entitate pentru a fi considerat drept strâns legat. În cazul în care contractul-gazdă nu este un instrument de capitaluri proprii şi corespunde definiţiei unui instrument financiar, caracteristicile şi riscurile sale economice sunt acelea ale unui instrument de datorie.</w:t>
      </w:r>
      <w:bookmarkEnd w:id="666"/>
    </w:p>
    <w:p w:rsidR="00AC292A" w:rsidRDefault="00AC292A">
      <w:pPr>
        <w:pStyle w:val="IASBNormalnpara"/>
      </w:pPr>
      <w:r>
        <w:t>B4.3.3</w:t>
      </w:r>
      <w:r>
        <w:tab/>
      </w:r>
      <w:bookmarkStart w:id="667" w:name="F32626123"/>
      <w:r>
        <w:t>Un instrument derivat încorporat non-opţiune (cum ar fi un swap sau un forward încorporat) este separat de contractul său gazdă pe baza condiţiilor esenţiale declarate sau implicite, astfel încât să aibă o valoare justă egală cu zero la recunoaşterea iniţială. Un instrument derivat încorporat bazat pe opţiuni (cum ar fi un instrument încorporat put, call, cap, floor sau swaption) este separat de contractul său gazdă pe baza clauzelor declarate ale caracteristicii opţiunii. Valoarea contabilă iniţială a instrumentului-gazdă este valoarea reziduală de după separarea instrumentului derivat încorporat.</w:t>
      </w:r>
      <w:bookmarkEnd w:id="667"/>
    </w:p>
    <w:p w:rsidR="00AC292A" w:rsidRDefault="00AC292A">
      <w:pPr>
        <w:pStyle w:val="IASBNormalnpara"/>
      </w:pPr>
      <w:r>
        <w:t>B4.3.4</w:t>
      </w:r>
      <w:r>
        <w:tab/>
      </w:r>
      <w:bookmarkStart w:id="668" w:name="F32626128"/>
      <w:r>
        <w:t xml:space="preserve">În general, instrumentele derivate încorporate cu caracteristici multiple într-un singur contract-hibrid sunt tratate ca un singur instrument derivat încorporat compus. Cu toate acestea, instrumentele derivate încorporate care sunt clasificate drept capitaluri proprii (a se vedea IAS 32 </w:t>
      </w:r>
      <w:r>
        <w:rPr>
          <w:i/>
        </w:rPr>
        <w:t>Instrumente financiare: prezentare</w:t>
      </w:r>
      <w:r>
        <w:t>) sunt contabilizate separat de cele clasificate drept active sau datorii. În plus, dacă un contract-hibrid are mai mult de un instrument derivat încorporat, iar acele instrumente derivate sunt legate de diferite expuneri la risc şi sunt uşor de separat şi independente unele față de altele, ele sunt contabilizate separat.</w:t>
      </w:r>
      <w:bookmarkEnd w:id="668"/>
    </w:p>
    <w:p w:rsidR="00AC292A" w:rsidRDefault="00AC292A">
      <w:pPr>
        <w:pStyle w:val="IASBNormalnpara"/>
      </w:pPr>
      <w:r>
        <w:t>B4.3.5</w:t>
      </w:r>
      <w:r>
        <w:tab/>
      </w:r>
      <w:bookmarkStart w:id="669" w:name="F32626132"/>
      <w:r>
        <w:t>În următoarele exemple, caracteristicile şi riscurile economice ale unui instrument derivat încorporat nu sunt strâns legate de contractul-gazdă (punctul 4.3.3 litera (a)). În aceste exemple, presupunând că sunt îndeplinite condiţiile de la punctul 4.3.3 literele (b) şi (c), o entitate contabilizează instrumentul derivat încorporat separat de contractul-gazdă.</w:t>
      </w:r>
      <w:bookmarkEnd w:id="669"/>
    </w:p>
    <w:p w:rsidR="00AC292A" w:rsidRDefault="00AC292A">
      <w:pPr>
        <w:pStyle w:val="IASBNormalnparaL1"/>
      </w:pPr>
      <w:r>
        <w:t>(a)</w:t>
      </w:r>
      <w:r>
        <w:tab/>
      </w:r>
      <w:bookmarkStart w:id="670" w:name="F32626137"/>
      <w:r>
        <w:t xml:space="preserve">O opţiune put încorporată într-un instrument care permite deţinătorului să îi solicite emitentului să redobândească instrumentul pentru o sumă în numerar sau pentru alte active care variază pe </w:t>
      </w:r>
      <w:r>
        <w:lastRenderedPageBreak/>
        <w:t>baza modificării preţului sau a indicelui mărfurilor sau capitalurilor proprii nu este strâns legată de un instrument-gazdă de datorie.</w:t>
      </w:r>
      <w:bookmarkEnd w:id="670"/>
    </w:p>
    <w:p w:rsidR="00AC292A" w:rsidRDefault="00AC292A">
      <w:pPr>
        <w:pStyle w:val="IASBNormalnparaL1"/>
      </w:pPr>
      <w:r>
        <w:t>(b)</w:t>
      </w:r>
      <w:r>
        <w:tab/>
      </w:r>
      <w:bookmarkStart w:id="671" w:name="F32626139"/>
      <w:r>
        <w:t>O opţiune sau o prevedere automată de a prelungi termenul rămas până la scadenţa unui instrument de datorie nu este strâns legată de instrumentul-gazdă de datorie decât dacă există o ajustare concomitentă la rata aproximativă a dobânzii actuale pe piaţă la momentul prelungirii. Dacă o entitate emite un instrument de datorie, iar deţinătorul acelui instrument de datorie emite către un terţ o opţiune call asupra instrumentului de datorie, atunci emitentul consideră opţiunea call ca extinzând termenul până la scadenţa instrumentului de datorie, cu condiţia ca emitentului să i se poată solicita să participe la, sau să faciliteze, repunerea pe piaţă a instrumentului de datorie ca rezultat al exercitării opţiunii call.</w:t>
      </w:r>
      <w:bookmarkEnd w:id="671"/>
    </w:p>
    <w:p w:rsidR="00AC292A" w:rsidRDefault="00AC292A">
      <w:pPr>
        <w:pStyle w:val="IASBNormalnparaL1"/>
      </w:pPr>
      <w:r>
        <w:t>(c)</w:t>
      </w:r>
      <w:r>
        <w:tab/>
      </w:r>
      <w:bookmarkStart w:id="672" w:name="F32626141"/>
      <w:r>
        <w:t>Dobânda indexată în funcţie de capitalurile proprii sau plăţile principalului încorporate într-un instrument-gazdă de datorie sau într-un contract de asigurare—prin care valoarea dobânzii sau a principalului este indexată la valoarea instrumentelor de capitaluri proprii—nu sunt strâns legate de instrumentul-gazdă deoarece riscurile inerente contractului-gazdă şi instrumentului derivat încorporat nu sunt similare.</w:t>
      </w:r>
      <w:bookmarkEnd w:id="672"/>
    </w:p>
    <w:p w:rsidR="00AC292A" w:rsidRDefault="00AC292A">
      <w:pPr>
        <w:pStyle w:val="IASBNormalnparaL1"/>
      </w:pPr>
      <w:r>
        <w:t>(d)</w:t>
      </w:r>
      <w:r>
        <w:tab/>
      </w:r>
      <w:bookmarkStart w:id="673" w:name="F32626143"/>
      <w:r>
        <w:t>Plăţile de dobândă sau de principal indexate în funcţie de mărfuri încorporate într-un instrument-gazdă de datorie sau într-un contract de asigurare – prin care valoarea dobânzii sau a principalului este indexată în funcţie de preţul unei mărfi (cum ar fi aurul) – nu sunt strâns legate de instrumentul-gazdă deoarece riscurile inerente contractului-gazdă şi instrumentului derivat încorporat nu sunt similare.</w:t>
      </w:r>
      <w:bookmarkEnd w:id="673"/>
    </w:p>
    <w:p w:rsidR="00AC292A" w:rsidRDefault="00AC292A">
      <w:pPr>
        <w:pStyle w:val="IASBNormalnparaL1"/>
      </w:pPr>
      <w:r>
        <w:t>(e)</w:t>
      </w:r>
      <w:r>
        <w:tab/>
      </w:r>
      <w:bookmarkStart w:id="674" w:name="F32626145"/>
      <w:r>
        <w:t>O opţiune call, put sau de plată anticipată încorporată într-un contract-gazdă de datorie sau într-un contract-gazdă de asigurare nu este strâns legată de contractul-gazdă decât dacă:</w:t>
      </w:r>
      <w:bookmarkEnd w:id="674"/>
    </w:p>
    <w:p w:rsidR="00AC292A" w:rsidRDefault="00AC292A">
      <w:pPr>
        <w:pStyle w:val="IASBNormalnparaL2"/>
      </w:pPr>
      <w:r>
        <w:t>(i)</w:t>
      </w:r>
      <w:r>
        <w:tab/>
      </w:r>
      <w:bookmarkStart w:id="675" w:name="F32626150"/>
      <w:r>
        <w:t>preţul de exercitare al opţiunii este aproximativ egal, la fiecare dată de exercitare, cu costul amortizat al instrumentului-gazdă de datorie sau cu valoarea contabilă a contractului-gazdă de asigurare; sau</w:t>
      </w:r>
      <w:bookmarkEnd w:id="675"/>
    </w:p>
    <w:p w:rsidR="00AC292A" w:rsidRDefault="00AC292A">
      <w:pPr>
        <w:pStyle w:val="IASBNormalnparaL2"/>
      </w:pPr>
      <w:r>
        <w:t>(ii)</w:t>
      </w:r>
      <w:r>
        <w:tab/>
      </w:r>
      <w:bookmarkStart w:id="676" w:name="F32626152"/>
      <w:r>
        <w:t>preţul de exercitare al unei opţiuni de plată în avans îi rambursează creditorului o sumă care poate ajunge la valoarea actualizată aproximativă a dobânzii pierdute pentru termenul rămas din contractul-gazdă. Dobânda pierdută este rezultatul valorii principalului plătite în avans şi multiplicate cu diferenţa de rată a dobânzii. Diferenţa de rată a dobânzii reprezintă diferenţa dintre rata dobânzii efective aferentă contractului-gazdă şi rata dobânzii efective pe care entitatea ar primi-o la data plăţii anticipate dacă ar reinvesti valoarea plătită în avans a principalului într-un contract similar pentru perioada rămasă din contractul-gazdă.</w:t>
      </w:r>
      <w:bookmarkEnd w:id="676"/>
    </w:p>
    <w:p w:rsidR="00AC292A" w:rsidRDefault="00AC292A">
      <w:pPr>
        <w:pStyle w:val="IASBNormalnparaL1P"/>
      </w:pPr>
      <w:bookmarkStart w:id="677" w:name="F32626153"/>
      <w:r>
        <w:t>Evaluarea măsurii în care o opţiune put sau call este strâns legată de contractul-gazdă de datorie este făcută înainte de separarea elementului de capitaluri proprii al unui instrument de datorie convertibil în conformitate cu IAS 32.</w:t>
      </w:r>
      <w:bookmarkEnd w:id="677"/>
    </w:p>
    <w:p w:rsidR="00AC292A" w:rsidRDefault="00AC292A">
      <w:pPr>
        <w:pStyle w:val="IASBNormalnparaL1"/>
      </w:pPr>
      <w:r>
        <w:t>(f)</w:t>
      </w:r>
      <w:r>
        <w:tab/>
      </w:r>
      <w:bookmarkStart w:id="678" w:name="F32626156"/>
      <w:r>
        <w:t>Instrumentele derivate de credit care sunt încorporate într-un instrument-gazdă de datorie şi care permit unei părţi („beneficiarul”) să transfere riscul de credit al unui anumit activ de referinţă, pe care poate să nu îl deţină, unei alte părţi („garantul”) nu sunt strâns legate de instrumentul-gazdă de datorie. Aceste instrumente derivate de credit permit garantului să îşi asume riscul de credit asociat activului de referinţă fără a-l deţine în mod direct.</w:t>
      </w:r>
      <w:bookmarkEnd w:id="678"/>
    </w:p>
    <w:p w:rsidR="00AC292A" w:rsidRDefault="00AC292A">
      <w:pPr>
        <w:pStyle w:val="IASBNormalnpara"/>
      </w:pPr>
      <w:r>
        <w:t>B4.3.6</w:t>
      </w:r>
      <w:r>
        <w:tab/>
      </w:r>
      <w:bookmarkStart w:id="679" w:name="F32626159"/>
      <w:r>
        <w:t>Un exemplu de contract-hibrid este un instrument financiar care îi dă deţinătorului dreptul de a vinde instrumentul financiar înapoi emitentului în schimbul unei sume în numerar sau în schimbul altor active financiare care variază pe baza modificărilor unui indice de capitaluri proprii sau de marfă care poate creşte sau descreşte (un „instrument care poate fi lichidat de deţinător înainte de scadenţă”). Cu excepţia cazului în care emitentul, la recunoaşterea iniţială, desemnează instrumentul care poate fi lichidat de deţinător înainte de scadenţă ca o datorie financiară la valoarea justă prin profit sau pierdere, este necesară separarea unui instrument derivat încorporat (adică plata indexată a principalului) în baza punctului 4.3.3 deoarece contractul-gazdă este un instrument de datorie în conformitate cu punctul B4.3.2, iar plata indexată a principalului nu este strâns legată de un instrument-gazdă de datorie în baza punctului B4.3.5 litera (a). Deoarece plata principalului poate creşte şi descreşte, instrumentul derivat încorporat este un instrument derivat non-opţiune a cărui valoare este indexată la variabila de bază.</w:t>
      </w:r>
      <w:bookmarkEnd w:id="679"/>
    </w:p>
    <w:p w:rsidR="00AC292A" w:rsidRDefault="00AC292A">
      <w:pPr>
        <w:pStyle w:val="IASBNormalnpara"/>
      </w:pPr>
      <w:r>
        <w:t>B4.3.7</w:t>
      </w:r>
      <w:r>
        <w:tab/>
      </w:r>
      <w:bookmarkStart w:id="680" w:name="F32626160"/>
      <w:r>
        <w:t>În cazul unui instrument care poate fi lichidat de deţinător înainte de scadenţă şi care poate fi vândut înapoi în orice moment pentru o sumă în numerar egală cu o parte proporţională din valoarea activului net al unei entităţi (cum sunt unităţile unui fond mutual deschis sau anumite produse de investiţii legate de unităţi), efectul separării unui instrument derivat încorporat şi al contabilizării fiecărei componente este evaluarea contractului-hibrid la valoarea de răscumpărare care este plătibilă la finalul perioadei de raportare dacă deţinătorul şi-a exercitat dreptul de a vinde instrumentul înapoi emitentului.</w:t>
      </w:r>
      <w:bookmarkEnd w:id="680"/>
    </w:p>
    <w:p w:rsidR="00AC292A" w:rsidRDefault="00AC292A">
      <w:pPr>
        <w:pStyle w:val="IASBNormalnpara"/>
      </w:pPr>
      <w:r>
        <w:lastRenderedPageBreak/>
        <w:t>B4.3.8</w:t>
      </w:r>
      <w:r>
        <w:tab/>
      </w:r>
      <w:bookmarkStart w:id="681" w:name="F46437850"/>
      <w:r>
        <w:t>În următoarele exemple, caracteristicile şi riscurile economice ale unui instrument derivat încorporat sunt strâns legate de caracteristicile şi riscurile economice ale contractului-gazdă. În aceste exemple, o entitate nu contabilizează instrumentul derivat încorporat separat de contractul-gazdă.</w:t>
      </w:r>
      <w:bookmarkEnd w:id="681"/>
    </w:p>
    <w:p w:rsidR="00AC292A" w:rsidRDefault="00AC292A">
      <w:pPr>
        <w:pStyle w:val="IASBNormalnparaL1"/>
      </w:pPr>
      <w:r>
        <w:t>(a)</w:t>
      </w:r>
      <w:r>
        <w:tab/>
      </w:r>
      <w:bookmarkStart w:id="682" w:name="F46437853"/>
      <w:r>
        <w:t>Un instrument derivat încorporat în care instrumentul de bază este o rată a dobânzii sau un indice de rată a dobânzii ce poate modifica valoarea dobânzii care, altfel, ar fi plătită sau primită printr-un contract-gazdă de datorie purtător de dobândă sau printr-un contract de asigurare este strâns legat de contractul-gazdă, cu excepţia cazului în care contractul-hibrid poate fi decontat astfel încât deţinătorul să nu îşi recupereze cea mai mare parte din investiţia sa recunoscută sau astfel încât instrumentul derivat încorporat să poată cel puţin să dubleze rata iniţială de rentabilitate a deţinătorului din contractul-gazdă şi să aibă ca rezultat o rată a rentabilităţii care este de cel puţin două ori mai mare decât ar fi rentabilitatea pe piață pentru un contract cu aceleaşi condiţii ca şi contractul-gazdă.</w:t>
      </w:r>
      <w:bookmarkEnd w:id="682"/>
    </w:p>
    <w:p w:rsidR="00AC292A" w:rsidRDefault="00AC292A">
      <w:pPr>
        <w:pStyle w:val="IASBNormalnparaL1"/>
      </w:pPr>
      <w:r>
        <w:t>(b)</w:t>
      </w:r>
      <w:r>
        <w:tab/>
      </w:r>
      <w:bookmarkStart w:id="683" w:name="F46437857"/>
      <w:r>
        <w:t>Un „cap” sau un „floor” încorporat pentru rata dobânzii aferentă unui contract de datorie sau unui contract de asigurare este strâns legat de contractul-gazdă cu următoarea condiţie: „cap-ul” să fie mai mare sau egal cu rata dobânzii pe piaţă și „floor-ul” să fie mai mic sau egal cu rata dobânzii pe piaţă atunci când este emis contractul, iar „cap-ul” sau „floor-ul” să nu fie afectat de efectul de levier în relație cu contractul-gazdă. În mod similar, prevederile cuprinse într-un contract de cumpărare sau de vânzare a unui activ (de exemplu, o marfă) care stabilesc un „cap” şi un „floor” pentru preţul care trebuie plătit sau primit pentru activ sunt strâns legate de contractul-gazdă dacă atât „cap-ul”, cât şi „floor-ul” erau în afara banilor („out of the money”) la început şi nu sunt afectate de efectul de levier.</w:t>
      </w:r>
      <w:bookmarkEnd w:id="683"/>
    </w:p>
    <w:p w:rsidR="00AC292A" w:rsidRDefault="00AC292A">
      <w:pPr>
        <w:pStyle w:val="IASBNormalnparaL1"/>
      </w:pPr>
      <w:r>
        <w:t>(c)</w:t>
      </w:r>
      <w:r>
        <w:tab/>
      </w:r>
      <w:bookmarkStart w:id="684" w:name="F46437859"/>
      <w:r>
        <w:t xml:space="preserve">Un instrument derivat valutar încorporat care furnizează un flux de plăţi ale principalului sau ale dobânzii exprimate într-o valută şi care este încorporat într-un instrument-gazdă de datorie (de exemplu, o obligaţiune valutară duală) este strâns legat de instrumentul-gazdă de datorie. Un astfel de instrument derivat nu este separat de instrumentul-gazdă deoarece IAS 21 </w:t>
      </w:r>
      <w:r>
        <w:rPr>
          <w:i/>
        </w:rPr>
        <w:t>Efectele variaţiei cursurilor de schimb valutar</w:t>
      </w:r>
      <w:r>
        <w:t xml:space="preserve"> prevede ca pierderile şi câştigurile valutare din elemente monetare să fie recunoscute în profit sau pierdere.</w:t>
      </w:r>
      <w:bookmarkEnd w:id="684"/>
    </w:p>
    <w:p w:rsidR="00AC292A" w:rsidRDefault="00AC292A">
      <w:pPr>
        <w:pStyle w:val="IASBNormalnparaL1"/>
      </w:pPr>
      <w:r>
        <w:t>(d)</w:t>
      </w:r>
      <w:r>
        <w:tab/>
      </w:r>
      <w:bookmarkStart w:id="685" w:name="F46437864"/>
      <w:r>
        <w:t>Un instrument derivat valutar încorporat într-un contract-gazdă care este un contract de asigurare sau care nu este un instrument financiar (cum ar fi un contract pentru cumpărarea sau vânzarea unui element nefinanciar în care preţul este exprimat în valută) este strâns legat de contractul-gazdă, cu condiţia să nu fie afectat de efectul de levier, să nu conţină o caracteristică de opţiune şi să necesite plăţi exprimate în una dintre următoarele monede:</w:t>
      </w:r>
      <w:bookmarkEnd w:id="685"/>
    </w:p>
    <w:p w:rsidR="00AC292A" w:rsidRDefault="00AC292A">
      <w:pPr>
        <w:pStyle w:val="IASBNormalnparaL2"/>
      </w:pPr>
      <w:r>
        <w:t>(i)</w:t>
      </w:r>
      <w:r>
        <w:tab/>
      </w:r>
      <w:bookmarkStart w:id="686" w:name="F46437867"/>
      <w:r>
        <w:t>moneda funcţională a oricărei părţi importante din acel contract;</w:t>
      </w:r>
      <w:bookmarkEnd w:id="686"/>
    </w:p>
    <w:p w:rsidR="00AC292A" w:rsidRDefault="00AC292A">
      <w:pPr>
        <w:pStyle w:val="IASBNormalnparaL2"/>
      </w:pPr>
      <w:r>
        <w:t>(ii)</w:t>
      </w:r>
      <w:r>
        <w:tab/>
      </w:r>
      <w:bookmarkStart w:id="687" w:name="F46437869"/>
      <w:r>
        <w:t>moneda în care preţul bunului sau serviciului aferent care este achiziţionat sau livrat este exprimat, în mod normal, în tranzacţiile comerciale din întreaga lume (cum ar fi dolarul american pentru tranzacţiile cu ţiţei brut); sau</w:t>
      </w:r>
      <w:bookmarkEnd w:id="687"/>
    </w:p>
    <w:p w:rsidR="00AC292A" w:rsidRDefault="00AC292A">
      <w:pPr>
        <w:pStyle w:val="IASBNormalnparaL2"/>
      </w:pPr>
      <w:r>
        <w:t>(iii)</w:t>
      </w:r>
      <w:r>
        <w:tab/>
      </w:r>
      <w:bookmarkStart w:id="688" w:name="F46437875"/>
      <w:r>
        <w:t>o monedă care este utilizată de obicei în contracte de vânzare sau cumpărare de elemente nefinanciare în mediul economic în care are loc tranzacţia (de exemplu, o monedă relativ stabilă şi lichidă care este utilizată de obicei în cazul tranzacţiilor de afaceri locale sau în comerţul exterior).</w:t>
      </w:r>
      <w:bookmarkEnd w:id="688"/>
    </w:p>
    <w:p w:rsidR="00AC292A" w:rsidRDefault="00AC292A">
      <w:pPr>
        <w:pStyle w:val="IASBNormalnparaL1"/>
      </w:pPr>
      <w:r>
        <w:t>(e)</w:t>
      </w:r>
      <w:r>
        <w:tab/>
      </w:r>
      <w:bookmarkStart w:id="689" w:name="F46437885"/>
      <w:r>
        <w:t>O opţiune de plată anticipată încorporată într-o componentă de dobândă sau într-o componentă de capital este strâns legată de contractul-gazdă cu condiţia ca acesta (i) să fi rezultat iniţial din separarea dreptului de a primi fluxuri de trezorerie contractuale dintr-un instrument financiar care, în sine, nu conţinea un instrument derivat încorporat, şi (ii) să nu conţină condiții care nu existau în contractul-gazdă de datorie iniţial.</w:t>
      </w:r>
      <w:bookmarkEnd w:id="689"/>
    </w:p>
    <w:p w:rsidR="00AC292A" w:rsidRDefault="00AC292A">
      <w:pPr>
        <w:pStyle w:val="IASBNormalnparaL1"/>
      </w:pPr>
      <w:r>
        <w:t>(f)</w:t>
      </w:r>
      <w:r>
        <w:tab/>
      </w:r>
      <w:bookmarkStart w:id="690" w:name="F46437887"/>
      <w:r>
        <w:t>Un instrument derivat încorporat într-un contract-gazdă de leasing este strâns legat de contractul-gazdă dacă instrumentul derivat încorporat este (i) un indice legat de inflaţie, cum ar fi un indice al plăţilor leasingului la un indice al preţului de consum (cu condiţia ca leasingul să nu fie afectat de efectul de levier şi indicele să fie legat de inflaţie în propriul mediu economic al entităţii), (ii) reprezentat de plăți variabile de leasing bazate pe vânzări aferente sau (iii) reprezentat de plăți variabile de leasing bazate pe ratele variabile ale dobânzii.</w:t>
      </w:r>
      <w:bookmarkEnd w:id="690"/>
    </w:p>
    <w:p w:rsidR="00AC292A" w:rsidRDefault="00AC292A">
      <w:pPr>
        <w:pStyle w:val="IASBNormalnparaL1"/>
      </w:pPr>
      <w:r>
        <w:t>(g)</w:t>
      </w:r>
      <w:r>
        <w:tab/>
      </w:r>
      <w:bookmarkStart w:id="691" w:name="F46437889"/>
      <w:r>
        <w:t>O caracteristică de corelare cu o unitate încorporată într-un instrument financiar gazdă sau într-un contract-gazdă de asigurare este strâns legată de instrumentul-gazdă sau de contractul-gazdă dacă plăţile exprimate în unităţi sunt evaluate la valorile curente ale unităţii care reflectă valorile juste ale activelor fondului. O caracteristică de corelare cu o unitate este o condiţie contractuală care prevede plăţi exprimate în unităţi ale unui fond de investiţii intern sau extern.</w:t>
      </w:r>
      <w:bookmarkEnd w:id="691"/>
    </w:p>
    <w:p w:rsidR="00AC292A" w:rsidRDefault="00AC292A">
      <w:pPr>
        <w:pStyle w:val="IASBNormalnparaL1"/>
      </w:pPr>
      <w:r>
        <w:t>(h)</w:t>
      </w:r>
      <w:r>
        <w:tab/>
      </w:r>
      <w:bookmarkStart w:id="692" w:name="F46437891"/>
      <w:r>
        <w:t xml:space="preserve">Un instrument derivat încorporat într-un contract de asigurare este strâns legat de contractul-gazdă de asigurare dacă instrumentul derivat încorporat şi contractul-gazdă sunt atât de </w:t>
      </w:r>
      <w:r>
        <w:lastRenderedPageBreak/>
        <w:t>interdependente încât o entitate nu poate evalua separat instrumentul derivat încorporat (adică fără a lua în considerare contractul-gazdă).</w:t>
      </w:r>
      <w:bookmarkEnd w:id="692"/>
    </w:p>
    <w:p w:rsidR="00AC292A" w:rsidRDefault="00AC292A">
      <w:pPr>
        <w:pStyle w:val="IASBSectionTitle3Ind"/>
      </w:pPr>
      <w:bookmarkStart w:id="693" w:name="F32626196"/>
      <w:r>
        <w:t>Instrumente care conţin instrumente derivate încorporate</w:t>
      </w:r>
      <w:bookmarkEnd w:id="693"/>
    </w:p>
    <w:p w:rsidR="00AC292A" w:rsidRDefault="00AC292A">
      <w:pPr>
        <w:pStyle w:val="IASBNormalnpara"/>
      </w:pPr>
      <w:r>
        <w:t>B4.3.9</w:t>
      </w:r>
      <w:r>
        <w:tab/>
      </w:r>
      <w:bookmarkStart w:id="694" w:name="F32626199"/>
      <w:r>
        <w:t xml:space="preserve">Aşa cum s-a precizat la punctul B4.3.1, atunci când o entitate devine parte a unui contract-hibrid cu o gazdă care nu reprezintă un activ ce intră sub incidenţa prezentului standard şi care are unul sau mai multe instrumente derivate încorporate, punctul 4.3.3 impune entităţii să identifice orice astfel de instrument derivat încorporat, să evalueze măsura în care se impune ca acesta să fie separat de contractul-gazdă şi, pentru cele care trebuie să fie separate, să evalueze instrumentele derivate la valoarea justă la recunoaşterea iniţială şi ulterior. Aceste dispoziţii pot fi mai complexe sau pot avea ca rezultat evaluări mai puţin fiabile decât evaluarea întregului instrument la valoarea justă prin profit sau pierdere. În consecință, prezentul standard permite ca întregul contract-hibrid să fie desemnat la valoarea justă prin profit sau pierdere. </w:t>
      </w:r>
      <w:bookmarkEnd w:id="694"/>
    </w:p>
    <w:p w:rsidR="00AC292A" w:rsidRDefault="00AC292A">
      <w:pPr>
        <w:pStyle w:val="IASBNormalnpara"/>
      </w:pPr>
      <w:r>
        <w:t>B4.3.10</w:t>
      </w:r>
      <w:r>
        <w:tab/>
      </w:r>
      <w:bookmarkStart w:id="695" w:name="F32626202"/>
      <w:r>
        <w:t xml:space="preserve">O astfel de desemnare poate fi utilizată indiferent dacă punctul 4.3.3 impune ca instrumentele derivate încorporate să fie separate de contractul-gazdă sau interzice o astfel de separare. Totuşi, punctul 4.3.5 nu justifică desemnarea contractului-hibrid la valoarea justă prin profit sau pierdere în cazurile enunţate la punctul 4.3.5 literele (a) şi (b), deoarece acest lucru nu ar reduce complexitatea și nici nu ar mări fiabilitatea. </w:t>
      </w:r>
      <w:bookmarkEnd w:id="695"/>
    </w:p>
    <w:p w:rsidR="00AC292A" w:rsidRDefault="00AC292A">
      <w:pPr>
        <w:pStyle w:val="IASBSectionTitle3Ind"/>
      </w:pPr>
      <w:bookmarkStart w:id="696" w:name="F32626204"/>
      <w:r>
        <w:t>Reevaluarea instrumentelor derivate încorporate</w:t>
      </w:r>
      <w:bookmarkEnd w:id="696"/>
    </w:p>
    <w:p w:rsidR="00AC292A" w:rsidRDefault="00AC292A">
      <w:pPr>
        <w:pStyle w:val="IASBNormalnpara"/>
      </w:pPr>
      <w:r>
        <w:t>B4.3.11</w:t>
      </w:r>
      <w:r>
        <w:tab/>
      </w:r>
      <w:bookmarkStart w:id="697" w:name="F32626207"/>
      <w:r>
        <w:t xml:space="preserve">În conformitate cu punctul 4.3.3, o entitate trebuie să evalueze dacă este sau nu necesar ca un instrument derivat încorporat să fie separat de contractul-gazdă şi contabilizat ca instrument derivat atunci când entitatea devine pentru prima dată parte la contract. Reevaluarea ulterioară este interzisă, cu excepţia situaţiei în care există o schimbare a termenelor contractuale care să modifice în mod semnificativ fluxurile de trezorerie pe care, altfel, contractul le-ar impune, caz în care este necesară reevaluarea. O entitate stabileşte dacă o modificare a fluxurilor de trezorerie este semnificativă analizând măsura în care fluxurile de trezorerie viitoare preconizate asociate instrumentului derivat încorporat, contractului-gazdă sau amândurora au suferit modificări şi dacă modificarea este semnificativă în raport cu fluxurile de trezorerie preconizate anterior aferente contractului. </w:t>
      </w:r>
      <w:bookmarkEnd w:id="697"/>
    </w:p>
    <w:p w:rsidR="00AC292A" w:rsidRDefault="00AC292A">
      <w:pPr>
        <w:pStyle w:val="IASBNormalnpara"/>
      </w:pPr>
      <w:r>
        <w:t>B4.3.12</w:t>
      </w:r>
      <w:r>
        <w:tab/>
      </w:r>
      <w:bookmarkStart w:id="698" w:name="F32626210"/>
      <w:r>
        <w:t>Punctul B4.3.11 nu se aplică pentru instrumentele derivate încorporate din contractele dobândite:</w:t>
      </w:r>
      <w:bookmarkEnd w:id="698"/>
    </w:p>
    <w:p w:rsidR="00AC292A" w:rsidRDefault="00AC292A">
      <w:pPr>
        <w:pStyle w:val="IASBNormalnparaL1"/>
      </w:pPr>
      <w:r>
        <w:t>(a)</w:t>
      </w:r>
      <w:r>
        <w:tab/>
      </w:r>
      <w:bookmarkStart w:id="699" w:name="F32626213"/>
      <w:r>
        <w:t xml:space="preserve">într-o combinare de întreprinderi (așa cum este definită în IFRS 3 </w:t>
      </w:r>
      <w:r>
        <w:rPr>
          <w:i/>
        </w:rPr>
        <w:t>Combinări de întreprinderi</w:t>
      </w:r>
      <w:r>
        <w:t>);</w:t>
      </w:r>
      <w:bookmarkEnd w:id="699"/>
    </w:p>
    <w:p w:rsidR="00AC292A" w:rsidRDefault="00AC292A">
      <w:pPr>
        <w:pStyle w:val="IASBNormalnparaL1"/>
      </w:pPr>
      <w:r>
        <w:t>(b)</w:t>
      </w:r>
      <w:r>
        <w:tab/>
      </w:r>
      <w:bookmarkStart w:id="700" w:name="F32626216"/>
      <w:r>
        <w:t>într-o combinare de entităţi sau de întreprinderi care se află sub control comun, aşa cum se prezintă la punctele B1–B4 din IFRS 3; sau</w:t>
      </w:r>
      <w:bookmarkEnd w:id="700"/>
    </w:p>
    <w:p w:rsidR="00AC292A" w:rsidRDefault="00AC292A">
      <w:pPr>
        <w:pStyle w:val="IASBNormalnparaL1"/>
      </w:pPr>
      <w:r>
        <w:t>(c)</w:t>
      </w:r>
      <w:r>
        <w:tab/>
      </w:r>
      <w:bookmarkStart w:id="701" w:name="F32626218"/>
      <w:r>
        <w:t xml:space="preserve">la constituirea unei asocieri în participaţie, așa cum este definită în IFRS 11 </w:t>
      </w:r>
      <w:r>
        <w:rPr>
          <w:i/>
        </w:rPr>
        <w:t>Angajamente comune</w:t>
      </w:r>
      <w:bookmarkEnd w:id="701"/>
    </w:p>
    <w:p w:rsidR="00AC292A" w:rsidRDefault="00AC292A">
      <w:pPr>
        <w:pStyle w:val="IASBNormalnparaP"/>
      </w:pPr>
      <w:bookmarkStart w:id="702" w:name="F32626221"/>
      <w:r>
        <w:t>sau la posibila lor reevaluare la data achiziţiei.</w:t>
      </w:r>
      <w:r>
        <w:rPr>
          <w:rStyle w:val="FootnoteReference"/>
        </w:rPr>
        <w:footnoteReference w:id="3"/>
      </w:r>
      <w:bookmarkEnd w:id="702"/>
    </w:p>
    <w:p w:rsidR="00AC292A" w:rsidRDefault="00AC292A">
      <w:pPr>
        <w:pStyle w:val="IASBSectionTitle2Ind"/>
      </w:pPr>
      <w:bookmarkStart w:id="703" w:name="F32626106"/>
      <w:r>
        <w:t>Reclasificarea activelor financiare (secţiunea 4.4)</w:t>
      </w:r>
      <w:bookmarkEnd w:id="703"/>
    </w:p>
    <w:p w:rsidR="00AC292A" w:rsidRDefault="00AC292A">
      <w:pPr>
        <w:pStyle w:val="IASBSectionTitle3Ind"/>
      </w:pPr>
      <w:bookmarkStart w:id="704" w:name="F32626108"/>
      <w:r>
        <w:t>Reclasificarea activelor financiare</w:t>
      </w:r>
      <w:bookmarkEnd w:id="704"/>
    </w:p>
    <w:p w:rsidR="00AC292A" w:rsidRDefault="00AC292A">
      <w:pPr>
        <w:pStyle w:val="IASBNormalnpara"/>
      </w:pPr>
      <w:r>
        <w:t>B4.4.1</w:t>
      </w:r>
      <w:r>
        <w:tab/>
      </w:r>
      <w:bookmarkStart w:id="705" w:name="F32626109"/>
      <w:r>
        <w:t>Punctul 4.4.1 prevede ca o entitate să reclasifice activele financiare dacă entitatea îşi modifică obiectivul modelului de afaceri pentru gestionarea acelor instrumente financiare. Se estimează că astfel de modificări vor fi foarte rare. Astfel de modificări sunt determinate de către conducerea superioară a entităţii ca urmare a modificărilor externe sau interne şi trebuie să fie semnificative pentru operaţiunile entităţii şi demonstrabile părţilor externe. În consecinţă, o modificare a modelului de afaceri al unei entităţi va avea loc doar dacă o entitate fie începe, fie încetează o activitate care este semnificativă pentru operaţiunile sale; de exemplu, atunci când entitatea a dobândit, a cedat sau a închis o linie de producţie. Exemplele de modificări ale modelului de afaceri includ următoarele:</w:t>
      </w:r>
      <w:bookmarkEnd w:id="705"/>
    </w:p>
    <w:p w:rsidR="00AC292A" w:rsidRDefault="00AC292A">
      <w:pPr>
        <w:pStyle w:val="IASBNormalnparaL1"/>
      </w:pPr>
      <w:r>
        <w:t>(a)</w:t>
      </w:r>
      <w:r>
        <w:tab/>
      </w:r>
      <w:bookmarkStart w:id="706" w:name="F32626222"/>
      <w:r>
        <w:t xml:space="preserve">O entitate are un portofoliu de împrumuturi comerciale pe care le deţine pentru a le vinde pe termen scurt. Entitatea dobândeşte o companie care gestionează împrumuturi comerciale şi are un model de activitate care păstrează împrumuturile pentru a colecta fluxurile de trezorerie contractuale. Portofoliul de împrumuturi comerciale nu mai este de vânzare, iar portofoliul este </w:t>
      </w:r>
      <w:r>
        <w:lastRenderedPageBreak/>
        <w:t>acum gestionat împreună cu împrumuturile comerciale dobândite şi toate sunt deţinute pentru a colecta fluxurile de trezorerie contractuale.</w:t>
      </w:r>
      <w:bookmarkEnd w:id="706"/>
    </w:p>
    <w:p w:rsidR="00AC292A" w:rsidRDefault="00AC292A">
      <w:pPr>
        <w:pStyle w:val="IASBNormalnparaL1"/>
      </w:pPr>
      <w:r>
        <w:t>(b)</w:t>
      </w:r>
      <w:r>
        <w:tab/>
      </w:r>
      <w:bookmarkStart w:id="707" w:name="F32626224"/>
      <w:r>
        <w:t>O firmă de servicii financiare decide să își închidă activitatea de împrumut ipotecar pentru persoane fizice. Segmentul respectiv de activitate nu mai acceptă tranzacţii noi şi firma de servicii financiare îşi promovează activ pentru vânzare portofoliul său de împrumuturi ipotecare.</w:t>
      </w:r>
      <w:bookmarkEnd w:id="707"/>
    </w:p>
    <w:p w:rsidR="00AC292A" w:rsidRDefault="00AC292A">
      <w:pPr>
        <w:pStyle w:val="IASBNormalnpara"/>
      </w:pPr>
      <w:r>
        <w:t>B4.4.2</w:t>
      </w:r>
      <w:r>
        <w:tab/>
      </w:r>
      <w:bookmarkStart w:id="708" w:name="F32626225"/>
      <w:r>
        <w:t>O modificare a obiectivului modelului de afaceri al entităţii trebuie realizată înainte de data reclasificării. De exemplu, dacă o firmă de servicii financiare decide să închidă activitatea sa de împrumut ipotecar pentru persoane fizice la 15 februarie şi, prin urmare, trebuie să reclasifice toate activele financiare afectate la 1 aprilie (adică în prima zi din următoarea perioadă de raportare a entităţii), entitatea nu trebuie să accepte noi activități de împrumut ipotecar pentru persoane fizice sau să se implice, în vreun alt mod, în activităţi compatibile cu vechiul său model de afaceri după data de 15 februarie.</w:t>
      </w:r>
      <w:bookmarkEnd w:id="708"/>
    </w:p>
    <w:p w:rsidR="00AC292A" w:rsidRDefault="00AC292A">
      <w:pPr>
        <w:pStyle w:val="IASBNormalnpara"/>
      </w:pPr>
      <w:r>
        <w:t>B4.4.3</w:t>
      </w:r>
      <w:r>
        <w:tab/>
      </w:r>
      <w:bookmarkStart w:id="709" w:name="F32626226"/>
      <w:r>
        <w:t>Următoarele nu sunt modificări în modelul de afaceri:</w:t>
      </w:r>
      <w:bookmarkEnd w:id="709"/>
    </w:p>
    <w:p w:rsidR="00AC292A" w:rsidRDefault="00AC292A">
      <w:pPr>
        <w:pStyle w:val="IASBNormalnparaL1"/>
      </w:pPr>
      <w:r>
        <w:t>(a)</w:t>
      </w:r>
      <w:r>
        <w:tab/>
      </w:r>
      <w:bookmarkStart w:id="710" w:name="F32626229"/>
      <w:r>
        <w:t>o modificare a intenţiei cu privire la anumite active financiare (chiar în situaţia unor modificări semnificative ale condiţiilor de pe piaţă).</w:t>
      </w:r>
      <w:bookmarkEnd w:id="710"/>
    </w:p>
    <w:p w:rsidR="00AC292A" w:rsidRDefault="00AC292A">
      <w:pPr>
        <w:pStyle w:val="IASBNormalnparaL1"/>
      </w:pPr>
      <w:r>
        <w:t>(b)</w:t>
      </w:r>
      <w:r>
        <w:tab/>
      </w:r>
      <w:bookmarkStart w:id="711" w:name="F32626231"/>
      <w:r>
        <w:t>dispariţia temporară a unei anumite pieţe pentru activele financiare.</w:t>
      </w:r>
      <w:bookmarkEnd w:id="711"/>
    </w:p>
    <w:p w:rsidR="00AC292A" w:rsidRDefault="00AC292A">
      <w:pPr>
        <w:pStyle w:val="IASBNormalnparaL1"/>
      </w:pPr>
      <w:r>
        <w:t>(c)</w:t>
      </w:r>
      <w:r>
        <w:tab/>
      </w:r>
      <w:bookmarkStart w:id="712" w:name="F32626233"/>
      <w:r>
        <w:t>un transfer de active financiare între părţi ale entităţii care au modele de afaceri diferite.</w:t>
      </w:r>
      <w:bookmarkEnd w:id="712"/>
    </w:p>
    <w:p w:rsidR="00AC292A" w:rsidRDefault="00AC292A">
      <w:pPr>
        <w:pStyle w:val="IASBSectionTitle1NonInd"/>
      </w:pPr>
      <w:bookmarkStart w:id="713" w:name="F32626243"/>
      <w:r>
        <w:t>Evaluare (capitolul 5)</w:t>
      </w:r>
      <w:bookmarkEnd w:id="713"/>
    </w:p>
    <w:p w:rsidR="00AC292A" w:rsidRDefault="00AC292A">
      <w:pPr>
        <w:pStyle w:val="IASBSectionTitle2Ind"/>
      </w:pPr>
      <w:bookmarkStart w:id="714" w:name="F32626248"/>
      <w:r>
        <w:t>Evaluarea iniţială (secţiunea 5.1)</w:t>
      </w:r>
      <w:bookmarkEnd w:id="714"/>
    </w:p>
    <w:p w:rsidR="00AC292A" w:rsidRDefault="00AC292A">
      <w:pPr>
        <w:pStyle w:val="IASBNormalnpara"/>
      </w:pPr>
      <w:r>
        <w:t>B5.1.1</w:t>
      </w:r>
      <w:r>
        <w:tab/>
      </w:r>
      <w:bookmarkStart w:id="715" w:name="F32626249"/>
      <w:r>
        <w:t>Valoarea justă a unui instrument financiar la recunoaşterea iniţială este, în mod normal, preţul tranzacţiei (adică valoarea justă a contravalorii plătite sau primite, a se vedea și punctul B5.1.2A şi IFRS 13). Totuşi, dacă o parte din contravaloarea plătită sau primită este pentru alt element decât instrumentul financiar, o entitate trebuie să evalueze valoarea justă a instrumentului financiar. De exemplu, valoarea justă a unui împrumut pe termen lung sau a unei creanţe care nu este purtătoare de dobândă poate fi evaluată drept valoarea actualizată a tuturor intrărilor viitoare de numerar actualizate utilizând rata de referință a (ratele de referință ale) dobânzii de pe piaţă pentru un instrument similar (din punctul de vedere al monedei, condiţiilor, tipului ratei dobânzii şi al altor factori) cu un rating de credit similar. Orice sumă suplimentară împrumutată este o cheltuială sau o reducere a venitului, cu excepţia cazului în care îndeplineşte condiţiile pentru a fi recunoscută drept un alt tip de activ.</w:t>
      </w:r>
      <w:bookmarkEnd w:id="715"/>
    </w:p>
    <w:p w:rsidR="00AC292A" w:rsidRDefault="00AC292A">
      <w:pPr>
        <w:pStyle w:val="IASBNormalnpara"/>
      </w:pPr>
      <w:r>
        <w:t>B5.1.2</w:t>
      </w:r>
      <w:r>
        <w:tab/>
      </w:r>
      <w:bookmarkStart w:id="716" w:name="F32626255"/>
      <w:r>
        <w:t>Dacă o entitate este sursa unui împrumut care are o rată a dobânzii în afara pieţei (de exemplu, 5% atunci când rata pieţei pentru împrumuturi similare este de 8%) şi primeşte un comision drept compensare, entitatea recunoaşte împrumutul la valoarea sa justă, adică net de comisioanele pe care le primeşte.</w:t>
      </w:r>
      <w:bookmarkEnd w:id="716"/>
    </w:p>
    <w:p w:rsidR="00AC292A" w:rsidRDefault="00AC292A">
      <w:pPr>
        <w:pStyle w:val="IASBNormalnpara"/>
      </w:pPr>
      <w:r>
        <w:t>B5.1.2A</w:t>
      </w:r>
      <w:r>
        <w:tab/>
      </w:r>
      <w:bookmarkStart w:id="717" w:name="F32626258"/>
      <w:r>
        <w:t xml:space="preserve">În mod normal, cea mai bună dovadă a valorii juste a unui instrument financiar la recunoaşterea iniţială este preţul tranzacţiei (adică valoarea justă a contravalorii plătite sau primite, a se vedea, de asemenea, IFRS 13). Dacă o entitate stabileşte că valoarea justă la recunoaşterea iniţială este diferită de preţul tranzacţiei, așa cum se menţionează la punctul 5.1.1A, entitatea trebuie să contabilizeze acel instrument la acea dată după cum urmează: </w:t>
      </w:r>
      <w:bookmarkEnd w:id="717"/>
    </w:p>
    <w:p w:rsidR="00AC292A" w:rsidRDefault="00AC292A">
      <w:pPr>
        <w:pStyle w:val="IASBNormalnparaL1"/>
      </w:pPr>
      <w:r>
        <w:t>(a)</w:t>
      </w:r>
      <w:r>
        <w:tab/>
      </w:r>
      <w:bookmarkStart w:id="718" w:name="F32626264"/>
      <w:r>
        <w:t>la evaluarea prevăzută la punctul 5.1.1, dacă acea valoare justă este ilustrată printr-un preţ cotat pe o piaţă activă pentru un activ sau o datorie identic(ă) (adică o dată de intrare de nivelul 1) sau se bazează pe o tehnică de evaluare care utilizează doar date de pe pieţe observabile. O entitate trebuie să recunoască diferenţa dintre valoarea justă la recunoaşterea iniţială şi preţul tranzacţiei drept câştig sau pierdere.</w:t>
      </w:r>
      <w:bookmarkEnd w:id="718"/>
    </w:p>
    <w:p w:rsidR="00AC292A" w:rsidRDefault="00AC292A">
      <w:pPr>
        <w:pStyle w:val="IASBNormalnparaL1"/>
      </w:pPr>
      <w:r>
        <w:t>(b)</w:t>
      </w:r>
      <w:r>
        <w:tab/>
      </w:r>
      <w:bookmarkStart w:id="719" w:name="F32626272"/>
      <w:r>
        <w:t>în toate celelalte cazuri, la evaluarea prevăzută la punctul 5.1.1, ajustată pentru a amâna diferenţa dintre valoarea justă la recunoaşterea iniţială şi preţul tranzacţiei. După recunoaşterea iniţială, entitatea trebuie să recunoască acea diferenţă amânată drept câştig sau pierdere doar în măsura în care aceasta apare în urma modificării unui factor (inclusiv durata) de care ar ţine cont participanţii de pe piaţă la determinarea valorii activului sau a datoriei.</w:t>
      </w:r>
      <w:bookmarkEnd w:id="719"/>
    </w:p>
    <w:p w:rsidR="00AC292A" w:rsidRDefault="00AC292A">
      <w:pPr>
        <w:pStyle w:val="IASBSectionTitle2Ind"/>
      </w:pPr>
      <w:bookmarkStart w:id="720" w:name="F32626276"/>
      <w:r>
        <w:t>Evaluarea ulterioară (secţiunile 5.2 şi 5.3)</w:t>
      </w:r>
      <w:bookmarkEnd w:id="720"/>
    </w:p>
    <w:p w:rsidR="00AC292A" w:rsidRDefault="00AC292A">
      <w:pPr>
        <w:pStyle w:val="IASBNormalnpara"/>
      </w:pPr>
      <w:r>
        <w:t>B5.2.1</w:t>
      </w:r>
      <w:r>
        <w:tab/>
      </w:r>
      <w:bookmarkStart w:id="721" w:name="F32626279"/>
      <w:r>
        <w:t xml:space="preserve">Dacă un instrument financiar care a fost recunoscut anterior ca activ financiar este evaluat la valoarea justă prin profit sau pierdere şi valoarea sa justă scade sub zero, acesta este o datorie financiară evaluată în </w:t>
      </w:r>
      <w:r>
        <w:lastRenderedPageBreak/>
        <w:t>conformitate cu punctul 4.2.1. Totuşi, contractele-hibrid în care gazdele sunt active care intră sub incidenţa prezentului standard sunt întotdeauna evaluate în conformitate cu punctul 4.3.2.</w:t>
      </w:r>
      <w:bookmarkEnd w:id="721"/>
    </w:p>
    <w:p w:rsidR="00AC292A" w:rsidRDefault="00AC292A">
      <w:pPr>
        <w:pStyle w:val="IASBNormalnpara"/>
      </w:pPr>
      <w:r>
        <w:t>B5.2.2</w:t>
      </w:r>
      <w:r>
        <w:tab/>
      </w:r>
      <w:bookmarkStart w:id="722" w:name="F32626284"/>
      <w:r>
        <w:t>Următorul exemplu ilustrează contabilizarea costurilor de tranzacţie la evaluarea iniţială și ulterioară a unui activ financiar evaluat la valoarea justă cu modificările prin alte elemente ale rezultatului global, în conformitate cu punctul 5.7.5 sau 4.1.2A. O entitate dobândeşte un activ financiar pentru 100 u.m. plus un comision la cumpărare de 2 u.m. Iniţial, entitatea recunoaşte activul la 102 u.m. Perioada de raportare se încheie o zi mai târziu, atunci când preţul cotat pe piaţă al activului este de 100 u.m. Dacă activul ar fi vândut, s-ar plăti un comision de 3 u.m. La acea dată, entitatea evaluează activul la 100 u.m. (fără a ţine cont de posibilul comision la vânzare) şi recunoaşte o pierdere de 2 u.m. în alte elemente ale rezultatului global. Dacă activul financiar este evaluat la valoarea justă prin alte elemente ale rezultatului global în conformitate cu punctul 4.1.2A, costurile de tranzacţie sunt amortizate în profit sau pierdere prin metoda dobânzii efective.</w:t>
      </w:r>
      <w:bookmarkEnd w:id="722"/>
    </w:p>
    <w:p w:rsidR="00AC292A" w:rsidRDefault="00AC292A">
      <w:pPr>
        <w:pStyle w:val="IASBNormalnpara"/>
      </w:pPr>
      <w:r>
        <w:t>B5.2.2A</w:t>
      </w:r>
      <w:r>
        <w:tab/>
      </w:r>
      <w:bookmarkStart w:id="723" w:name="F32626287"/>
      <w:r>
        <w:t xml:space="preserve">Evaluarea ulterioară a unui activ financiar sau a unei datorii financiare şi recunoaşterea ulterioară a câştigurilor și pierderilor descrise la punctul B5.1.2A trebuie să fie consecvente cu dispoziţiile prezentului standard. </w:t>
      </w:r>
      <w:bookmarkEnd w:id="723"/>
    </w:p>
    <w:p w:rsidR="00AC292A" w:rsidRDefault="00AC292A">
      <w:pPr>
        <w:pStyle w:val="IASBSectionTitle3Ind"/>
      </w:pPr>
      <w:bookmarkStart w:id="724" w:name="F32626291"/>
      <w:r>
        <w:t>Investiţii în instrumente de capitaluri proprii şi contracte aferente acestor investiţii</w:t>
      </w:r>
      <w:bookmarkEnd w:id="724"/>
    </w:p>
    <w:p w:rsidR="00AC292A" w:rsidRDefault="00AC292A">
      <w:pPr>
        <w:pStyle w:val="IASBNormalnpara"/>
      </w:pPr>
      <w:r>
        <w:t>B5.2.3</w:t>
      </w:r>
      <w:r>
        <w:tab/>
      </w:r>
      <w:bookmarkStart w:id="725" w:name="F32626294"/>
      <w:r>
        <w:t>Toate investiţiile în instrumente de capitaluri proprii și contractele aferente acestor instrumente trebuie evaluate la valoarea justă. Totuşi, în anumite situaţii, costul poate reprezenta o evaluare corespunzătoare a valorii juste. Această situaţie poate apărea dacă nu sunt disponibile suficiente informaţii mai recente pentru a evalua valoarea justă sau dacă există o gamă largă de posibile evaluări la valoarea justă, iar costul reprezintă cea mai bună estimare a valorii juste din acea gamă.</w:t>
      </w:r>
      <w:bookmarkEnd w:id="725"/>
    </w:p>
    <w:p w:rsidR="00AC292A" w:rsidRDefault="00AC292A">
      <w:pPr>
        <w:pStyle w:val="IASBNormalnpara"/>
      </w:pPr>
      <w:r>
        <w:t>B5.2.4</w:t>
      </w:r>
      <w:r>
        <w:tab/>
      </w:r>
      <w:bookmarkStart w:id="726" w:name="F32626302"/>
      <w:r>
        <w:t>Printre indicatorii conform cărora costul poate să nu fie reprezentativ pentru valoarea justă se numără:</w:t>
      </w:r>
      <w:bookmarkEnd w:id="726"/>
    </w:p>
    <w:p w:rsidR="00AC292A" w:rsidRDefault="00AC292A">
      <w:pPr>
        <w:pStyle w:val="IASBNormalnparaL1"/>
      </w:pPr>
      <w:r>
        <w:t>(a)</w:t>
      </w:r>
      <w:r>
        <w:tab/>
      </w:r>
      <w:bookmarkStart w:id="727" w:name="F32626307"/>
      <w:r>
        <w:t>o modificare semnificativă în performanţa entităţii în care s-a investit, raportat la bugete, planuri sau obiective.</w:t>
      </w:r>
      <w:bookmarkEnd w:id="727"/>
    </w:p>
    <w:p w:rsidR="00AC292A" w:rsidRDefault="00AC292A">
      <w:pPr>
        <w:pStyle w:val="IASBNormalnparaL1"/>
      </w:pPr>
      <w:r>
        <w:t>(b)</w:t>
      </w:r>
      <w:r>
        <w:tab/>
      </w:r>
      <w:bookmarkStart w:id="728" w:name="F32626309"/>
      <w:r>
        <w:t>modificări ale estimării că obiectivele de producţie tehnică ale entităţii în care s-a investit  vor fi îndeplinite.</w:t>
      </w:r>
      <w:bookmarkEnd w:id="728"/>
    </w:p>
    <w:p w:rsidR="00AC292A" w:rsidRDefault="00AC292A">
      <w:pPr>
        <w:pStyle w:val="IASBNormalnparaL1"/>
      </w:pPr>
      <w:r>
        <w:t>(c)</w:t>
      </w:r>
      <w:r>
        <w:tab/>
      </w:r>
      <w:bookmarkStart w:id="729" w:name="F32626311"/>
      <w:r>
        <w:t>o modificare semnificativă pe piaţa capitalurilor proprii, a produselor sau a posibilelor produse ale entităţii în care s-a investit.</w:t>
      </w:r>
      <w:bookmarkEnd w:id="729"/>
    </w:p>
    <w:p w:rsidR="00AC292A" w:rsidRDefault="00AC292A">
      <w:pPr>
        <w:pStyle w:val="IASBNormalnparaL1"/>
      </w:pPr>
      <w:r>
        <w:t>(d)</w:t>
      </w:r>
      <w:r>
        <w:tab/>
      </w:r>
      <w:bookmarkStart w:id="730" w:name="F32626313"/>
      <w:r>
        <w:t>o modificare semnificativă în economia mondială sau în mediul economic în care activează entitatea în care s-a investit.</w:t>
      </w:r>
      <w:bookmarkEnd w:id="730"/>
    </w:p>
    <w:p w:rsidR="00AC292A" w:rsidRDefault="00AC292A">
      <w:pPr>
        <w:pStyle w:val="IASBNormalnparaL1"/>
      </w:pPr>
      <w:r>
        <w:t>(e)</w:t>
      </w:r>
      <w:r>
        <w:tab/>
      </w:r>
      <w:bookmarkStart w:id="731" w:name="F32626315"/>
      <w:r>
        <w:t>o modificare semnificativă în performanţa entităţilor comparabile sau în evaluările presupuse de piaţă per ansamblu.</w:t>
      </w:r>
      <w:bookmarkEnd w:id="731"/>
    </w:p>
    <w:p w:rsidR="00AC292A" w:rsidRDefault="00AC292A">
      <w:pPr>
        <w:pStyle w:val="IASBNormalnparaL1"/>
      </w:pPr>
      <w:r>
        <w:t>(f)</w:t>
      </w:r>
      <w:r>
        <w:tab/>
      </w:r>
      <w:bookmarkStart w:id="732" w:name="F32626317"/>
      <w:r>
        <w:t>aspecte interne ale entităţii în care s-a investit, precum fraudă, conflicte comerciale, litigii, modificări în administrare sau strategie.</w:t>
      </w:r>
      <w:bookmarkEnd w:id="732"/>
    </w:p>
    <w:p w:rsidR="00AC292A" w:rsidRDefault="00AC292A">
      <w:pPr>
        <w:pStyle w:val="IASBNormalnparaL1"/>
      </w:pPr>
      <w:r>
        <w:t>(g)</w:t>
      </w:r>
      <w:r>
        <w:tab/>
      </w:r>
      <w:bookmarkStart w:id="733" w:name="F32626319"/>
      <w:r>
        <w:t>dovezi din tranzacţiile externe în capitalurile proprii ale entităţii în care s-a investit, fie de către entitatea în care s-a investit (cum ar fi o emisiune nouă de capitaluri proprii), fie prin transferuri de instrumente de capitaluri proprii între terţe părţi.</w:t>
      </w:r>
      <w:bookmarkEnd w:id="733"/>
    </w:p>
    <w:p w:rsidR="00AC292A" w:rsidRDefault="00AC292A">
      <w:pPr>
        <w:pStyle w:val="IASBNormalnpara"/>
      </w:pPr>
      <w:r>
        <w:t>B5.2.5</w:t>
      </w:r>
      <w:r>
        <w:tab/>
      </w:r>
      <w:bookmarkStart w:id="734" w:name="F32626320"/>
      <w:r>
        <w:t xml:space="preserve">Lista de la punctul B5.2.4 nu este exhaustivă. O entitate trebuie să utilizeze toate informaţiile privind performanţa şi activităţile entităţii în care s-a investit care sunt disponibile după data recunoaşterii iniţiale. În măsura în care există astfel de factori relevanţi, aceştia pot arăta faptul că este posibil ca valoarea costului să nu fie reprezentativă pentru valoarea justă. În astfel de cazuri, entitatea trebuie să evalueze valoarea justă. </w:t>
      </w:r>
      <w:bookmarkEnd w:id="734"/>
    </w:p>
    <w:p w:rsidR="00AC292A" w:rsidRDefault="00AC292A">
      <w:pPr>
        <w:pStyle w:val="IASBNormalnpara"/>
      </w:pPr>
      <w:r>
        <w:t>B5.2.6</w:t>
      </w:r>
      <w:r>
        <w:tab/>
      </w:r>
      <w:bookmarkStart w:id="735" w:name="F32626323"/>
      <w:r>
        <w:t>Costul nu reprezintă niciodată cea mai bună estimare a valorii juste pentru investiţiile în instrumentele de capitaluri proprii cotate (sau pentru contractele pe instrumente de capitaluri proprii cotate).</w:t>
      </w:r>
      <w:bookmarkEnd w:id="735"/>
    </w:p>
    <w:p w:rsidR="00AC292A" w:rsidRDefault="00AC292A">
      <w:pPr>
        <w:pStyle w:val="IASBSectionTitle2Ind"/>
      </w:pPr>
      <w:bookmarkStart w:id="736" w:name="F32626235"/>
      <w:r>
        <w:t>Evaluarea la costul amortizat (secţiunea 5.4)</w:t>
      </w:r>
      <w:bookmarkEnd w:id="736"/>
    </w:p>
    <w:p w:rsidR="00AC292A" w:rsidRDefault="00AC292A">
      <w:pPr>
        <w:pStyle w:val="IASBSectionTitle3Ind"/>
      </w:pPr>
      <w:bookmarkStart w:id="737" w:name="F32626237"/>
      <w:r>
        <w:t>Metoda dobânzii efective</w:t>
      </w:r>
      <w:bookmarkEnd w:id="737"/>
    </w:p>
    <w:p w:rsidR="00AC292A" w:rsidRDefault="00AC292A">
      <w:pPr>
        <w:pStyle w:val="IASBNormalnpara"/>
      </w:pPr>
      <w:r>
        <w:t>B5.4.1</w:t>
      </w:r>
      <w:r>
        <w:tab/>
      </w:r>
      <w:bookmarkStart w:id="738" w:name="F32626238"/>
      <w:r>
        <w:t xml:space="preserve">La aplicarea metodei dobânzii efective, o entitate determină comisioanele care fac parte integrantă din rata dobânzii efective a unui instrument financiar. Descrierea comisioanelor pentru servicii financiare poate să nu indice natura şi fondul economic ale serviciilor prestate. Comisioanele care sunt parte integrantă din rata dobânzii efective a unui instrument financiar sunt tratate ca ajustare la rata dobânzii efective, exceptând </w:t>
      </w:r>
      <w:r>
        <w:lastRenderedPageBreak/>
        <w:t>cazul în care instrumentul financiar este evaluat la valoarea justă, modificarea valorii juste fiind recunoscută în profit sau pierdere. În aceste situaţii, comisioanele sunt recunoscute drept venituri sau cheltuieli atunci când instrumentul este recunoscut iniţial.</w:t>
      </w:r>
      <w:bookmarkEnd w:id="738"/>
    </w:p>
    <w:p w:rsidR="00AC292A" w:rsidRDefault="00AC292A">
      <w:pPr>
        <w:pStyle w:val="IASBNormalnpara"/>
      </w:pPr>
      <w:r>
        <w:t>B5.4.2</w:t>
      </w:r>
      <w:r>
        <w:tab/>
      </w:r>
      <w:bookmarkStart w:id="739" w:name="F32626239"/>
      <w:r>
        <w:t>Comisioanele care sunt parte integrantă din rata dobânzii efective a unui instrument financiar includ:</w:t>
      </w:r>
      <w:bookmarkEnd w:id="739"/>
    </w:p>
    <w:p w:rsidR="00AC292A" w:rsidRDefault="00AC292A">
      <w:pPr>
        <w:pStyle w:val="IASBNormalnparaL1"/>
      </w:pPr>
      <w:r>
        <w:t>(a)</w:t>
      </w:r>
      <w:r>
        <w:tab/>
      </w:r>
      <w:bookmarkStart w:id="740" w:name="F32626436"/>
      <w:r>
        <w:t>comisioane de emitere primite de entitate, aferente creării sau achiziţiei unui activ financiar. Astfel de onorarii pot include o compensaţie pentru activităţi cum ar fi evaluarea stării financiare a debitorului, evaluarea şi înregistrarea garanţiilor, a garanţiilor reale şi a altor angajamente privind titlurile de valoare, negocierea clauzelor instrumentului, elaborarea şi procesarea documentelor şi încheierea tranzacţiei. Aceste comisioane sunt parte integrantă din generarea unei implicări în instrumentul financiar rezultat.</w:t>
      </w:r>
      <w:bookmarkEnd w:id="740"/>
    </w:p>
    <w:p w:rsidR="00AC292A" w:rsidRDefault="00AC292A">
      <w:pPr>
        <w:pStyle w:val="IASBNormalnparaL1"/>
      </w:pPr>
      <w:r>
        <w:t>(b)</w:t>
      </w:r>
      <w:r>
        <w:tab/>
      </w:r>
      <w:bookmarkStart w:id="741" w:name="F32626438"/>
      <w:r>
        <w:t>comisioane de angajament primite de entitate pentru a emite un împrumut atunci când angajamentul de creditare nu este evaluat în conformitate cu punctul 4.2.1 litera (a) şi este probabil ca entitatea să intre într-un anumit angajament de creditare. Aceste comisioane sunt considerate o compensare a implicării continue în achiziţionarea unui instrument financiar. Dacă termenul angajamentului expiră fără ca entitatea să acorde împrumutul, comisionul este recunoscut ca venit la data expirării.</w:t>
      </w:r>
      <w:bookmarkEnd w:id="741"/>
    </w:p>
    <w:p w:rsidR="00AC292A" w:rsidRDefault="00AC292A">
      <w:pPr>
        <w:pStyle w:val="IASBNormalnparaL1"/>
      </w:pPr>
      <w:r>
        <w:t>(c)</w:t>
      </w:r>
      <w:r>
        <w:tab/>
      </w:r>
      <w:bookmarkStart w:id="742" w:name="F32626440"/>
      <w:r>
        <w:t>comisioane de emitere plătite la emiterea datoriilor financiare evaluate la cost amortizat. Aceste comisioane sunt parte integrantă din generarea unei implicări într-o datorie financiară. O entitate face distincţie între comisioanele şi costurile care sunt parte integrantă a ratei dobânzii efective pentru datoria financiară, pe de o parte, şi comisioanele de emitere şi costurile de tranzacţie care ţin de dreptul de a furniza servicii, cum ar fi cele de gestionare a investiţiei, pe de altă parte.</w:t>
      </w:r>
      <w:bookmarkEnd w:id="742"/>
    </w:p>
    <w:p w:rsidR="00AC292A" w:rsidRDefault="00AC292A">
      <w:pPr>
        <w:pStyle w:val="IASBNormalnpara"/>
      </w:pPr>
      <w:r>
        <w:t>B5.4.3</w:t>
      </w:r>
      <w:r>
        <w:tab/>
      </w:r>
      <w:bookmarkStart w:id="743" w:name="F32626441"/>
      <w:r>
        <w:t>Comisioanele care nu sunt parte integrantă a ratei dobânzii efective a unui instrument financiar şi care sunt contabilizate în conformitate cu IFRS 15 includ:</w:t>
      </w:r>
      <w:bookmarkEnd w:id="743"/>
    </w:p>
    <w:p w:rsidR="00AC292A" w:rsidRDefault="00AC292A">
      <w:pPr>
        <w:pStyle w:val="IASBNormalnparaL1"/>
      </w:pPr>
      <w:r>
        <w:t>(a)</w:t>
      </w:r>
      <w:r>
        <w:tab/>
      </w:r>
      <w:bookmarkStart w:id="744" w:name="F32626444"/>
      <w:r>
        <w:t>comisioane pentru administrarea unui împrumut;</w:t>
      </w:r>
      <w:bookmarkEnd w:id="744"/>
    </w:p>
    <w:p w:rsidR="00AC292A" w:rsidRDefault="00AC292A">
      <w:pPr>
        <w:pStyle w:val="IASBNormalnparaL1"/>
      </w:pPr>
      <w:r>
        <w:t>(b)</w:t>
      </w:r>
      <w:r>
        <w:tab/>
      </w:r>
      <w:bookmarkStart w:id="745" w:name="F32626446"/>
      <w:r>
        <w:t>comisioane de angajament pentru emiterea unui împrumut atunci când angajamentul de creditare nu este evaluat în conformitate cu punctul 4.2.1 litera (a) şi este puțin probabil să se încheie un angajament specific de creditare; și</w:t>
      </w:r>
      <w:bookmarkEnd w:id="745"/>
    </w:p>
    <w:p w:rsidR="00AC292A" w:rsidRDefault="00AC292A">
      <w:pPr>
        <w:pStyle w:val="IASBNormalnparaL1"/>
      </w:pPr>
      <w:r>
        <w:t>(c)</w:t>
      </w:r>
      <w:r>
        <w:tab/>
      </w:r>
      <w:bookmarkStart w:id="746" w:name="F32626448"/>
      <w:r>
        <w:t>comisioane de sindicalizare a împrumutului primite de o entitate care angajează un împrumut şi nu își păstrează nicio parte a pachetului de împrumut (sau păstrează o parte la aceeaşi rată a dobânzii efective în condiţii comparabile de risc față de ceilalţi participanţi).</w:t>
      </w:r>
      <w:bookmarkEnd w:id="746"/>
    </w:p>
    <w:p w:rsidR="00AC292A" w:rsidRDefault="00AC292A">
      <w:pPr>
        <w:pStyle w:val="IASBNormalnpara"/>
      </w:pPr>
      <w:r>
        <w:t>B5.4.4</w:t>
      </w:r>
      <w:r>
        <w:tab/>
      </w:r>
      <w:bookmarkStart w:id="747" w:name="F32626449"/>
      <w:r>
        <w:t>Atunci când aplică metoda dobânzii efective, o entitate amortizează, în general, orice comisioane, puncte plătite sau primite, costuri ale tranzacţiei sau alte prime sau reduceri care sunt incluse în calculul ratei dobânzii efective pe durata de viaţă preconizată a instrumentului financiar. Cu toate acestea, este utilizată o perioadă mai scurtă dacă aceasta este perioada de care se leagă onorariile, punctele plătite sau primite, costurile tranzacţiei şi primele sau reducerile. Acesta va fi cazul atunci când variabila căreia îi sunt asociate onorariile, punctele plătite sau primite, costurile tranzacţiei şi primele sau reducerile este reevaluată la ratele pieţei înainte de scadenţa preconizată a instrumentului financiar. Într-un astfel de caz, perioada corespunzătoare de amortizare este perioada până la următoarea dată de reevaluare. Spre exemplu, dacă o primă sau o reducere aferentă unui instrument financiar cu o rată fluctuantă reflectă dobânda care a fost angajată pentru acel instrument financiar începând cu momentul de la care dobânda a fost plătită ultima dată sau modificările ratelor pieţei din momentul în care rata fluctuantă a dobânzii a fost restabilită la ratele pieţei, acesta va fi amortizat la următoarea dată la care dobânda fluctuantă este restabilită la ratele pieţei. Motivul este că prima sau reducerea este asociată perioadei până la următoarea dată de restabilire a dobânzii deoarece, la acea dată, variabila asociată  primei sau reducerii (adică ratele dobânzii) este restabilită în funcție de ratele pieţei. Dacă, totuşi, prima sau reducerea rezultă dintr-o modificare a marjei de credit peste rata fluctuantă specificată în instrumentul financiar sau peste alte variabile care nu sunt restabilite la ratele pieţei, acesta este amortizat pe durata de viaţă preconizată a instrumentului financiar.</w:t>
      </w:r>
      <w:bookmarkEnd w:id="747"/>
    </w:p>
    <w:p w:rsidR="00AC292A" w:rsidRDefault="00AC292A">
      <w:pPr>
        <w:pStyle w:val="IASBNormalnpara"/>
      </w:pPr>
      <w:r>
        <w:t>B5.4.5</w:t>
      </w:r>
      <w:r>
        <w:tab/>
      </w:r>
      <w:bookmarkStart w:id="748" w:name="F32626450"/>
      <w:r>
        <w:t>Pentru activele financiare cu rată fluctuantă şi pentru datoriile financiare cu rată fluctuantă, reestimarea periodică a fluxurilor de trezorerie pentru a reflecta mişcările ratelor de piaţă ale dobânzii modifică rata dobânzii efective. Dacă un activ financiar cu rată fluctuantă sau o datorie financiară cu rată fluctuantă este recunoscut(ă) iniţial la o valoare egală cu principalul de încasat sau de plată la scadenţă, reestimarea plăţilor viitoare ale dobânzii nu are, în mod normal, niciun efect semnificativ asupra valorii contabile a activului sau a datoriei.</w:t>
      </w:r>
      <w:bookmarkEnd w:id="748"/>
    </w:p>
    <w:p w:rsidR="00AC292A" w:rsidRDefault="00AC292A">
      <w:pPr>
        <w:pStyle w:val="IASBNormalnpara"/>
      </w:pPr>
      <w:r>
        <w:t>B5.4.6</w:t>
      </w:r>
      <w:r>
        <w:tab/>
      </w:r>
      <w:bookmarkStart w:id="749" w:name="F32626451"/>
      <w:r>
        <w:t xml:space="preserve">Dacă o entitate își revizuieşte estimările plăţilor sau încasărilor (cu excepția modificărilor conforme cu punctul 5.4.3 şi a modificărilor în estimările pierderilor din creditare preconizate), entitatea va ajusta valoarea contabilă brută a activului financiar sau costul amortizat al unei datorii financiare (sau al unui grup de instrumente financiare) pentru a reflecta fluxurile de trezorerie contractuale estimate reale şi revizuite. Entitatea recalculează valoarea contabilă brută a activului financiar sau costul amortizat al datoriei </w:t>
      </w:r>
      <w:r>
        <w:lastRenderedPageBreak/>
        <w:t>financiare drept valoarea actualizată a fluxurilor de trezorerie contractuale viitoare estimate care sunt actualizate în funcție de rata dobânzii efective iniţiale a instrumentului financiar (sau de rata dobânzii efective ajustate în funcţie de credit pentru active financiare achiziţionate sau emise depreciate ca urmare a riscului de credit) sau, atunci când se aplică, în funcție de rata dobânzii efective revizuite, calculată în conformitate cu punctul 6.5.10. Ajustarea este recunoscută ca venit sau cheltuială în profit sau pierdere.</w:t>
      </w:r>
      <w:bookmarkEnd w:id="749"/>
    </w:p>
    <w:p w:rsidR="00AC292A" w:rsidRDefault="00AC292A">
      <w:pPr>
        <w:pStyle w:val="IASBNormalnpara"/>
      </w:pPr>
      <w:r>
        <w:t>B5.4.7</w:t>
      </w:r>
      <w:r>
        <w:tab/>
      </w:r>
      <w:bookmarkStart w:id="750" w:name="F32626452"/>
      <w:r>
        <w:t>În anumite cazuri, un activ financiar este considerat depreciat ca urmare a riscului de credit la recunoașterea inițială deoarece riscul de credit este foarte mare şi, în cazul unei achiziţii, acesta este dobândit cu o reducere semnificativă. Unei entităţi i se impune să includă pierderile din creditare preconizate iniţiale în fluxurile de trezorerie estimate la calcularea ratei dobânzii efective ajustate în funcţie de credit pentru activele financiare care sunt considerate ca fiind achiziţionate sau emise depreciate ca urmare a riscului de credit, la recunoaşterea iniţială. Totuşi, acest fapt nu înseamnă că rata dobânzii efective ajustată în funcţie de credit trebuie să fie aplicată doar pentru că activul financiar are un risc de credit mare la recunoaşterea iniţială.</w:t>
      </w:r>
      <w:bookmarkEnd w:id="750"/>
    </w:p>
    <w:p w:rsidR="00AC292A" w:rsidRDefault="00AC292A">
      <w:pPr>
        <w:pStyle w:val="IASBSectionTitle3Ind"/>
      </w:pPr>
      <w:bookmarkStart w:id="751" w:name="F32626454"/>
      <w:r>
        <w:t>Costurile tranzacţiei</w:t>
      </w:r>
      <w:bookmarkEnd w:id="751"/>
    </w:p>
    <w:p w:rsidR="00AC292A" w:rsidRDefault="00AC292A">
      <w:pPr>
        <w:pStyle w:val="IASBNormalnpara"/>
      </w:pPr>
      <w:r>
        <w:t>B5.4.8</w:t>
      </w:r>
      <w:r>
        <w:tab/>
      </w:r>
      <w:bookmarkStart w:id="752" w:name="F32626455"/>
      <w:r>
        <w:t>Costurile tranzacţiei includ onorarii şi comisioane plătite agenţilor (inclusiv angajaţilor care acţionează ca agenţi de vânzări), consilierilor, brokerilor şi dealerilor, cotizaţii plătite agenţiilor de reglementare şi comisiilor de valori mobiliare, precum şi impozite şi taxe de transfer. Costurile tranzacţiei nu includ prime sau reduceri asociate datoriei, nici costuri de finanţare sau costuri interne de administrare sau de deţinere.</w:t>
      </w:r>
      <w:bookmarkEnd w:id="752"/>
    </w:p>
    <w:p w:rsidR="00AC292A" w:rsidRDefault="00AC292A">
      <w:pPr>
        <w:pStyle w:val="IASBSectionTitle3Ind"/>
      </w:pPr>
      <w:bookmarkStart w:id="753" w:name="F32626458"/>
      <w:r>
        <w:t>Eliminare</w:t>
      </w:r>
      <w:bookmarkEnd w:id="753"/>
    </w:p>
    <w:p w:rsidR="00AC292A" w:rsidRDefault="00AC292A">
      <w:pPr>
        <w:pStyle w:val="IASBNormalnpara"/>
      </w:pPr>
      <w:r>
        <w:t>B5.4.9</w:t>
      </w:r>
      <w:r>
        <w:tab/>
      </w:r>
      <w:bookmarkStart w:id="754" w:name="F32626459"/>
      <w:r>
        <w:t>Eliminările se pot referi la un activ financiar în întregime sau la o parte din acesta. De exemplu, o entitate planifică să aplice garanţii reale în cazul unui activ financiar şi preconizează că va recupera cel mult 30% din activul financiar prin garanţiile reale. Dacă entitatea nu are perspective rezonabile de recuperare a unor fluxuri de trezorerie ulterioare din activul financiar, atunci trebuie să elimine restul de 70% din activul financiar.</w:t>
      </w:r>
      <w:bookmarkEnd w:id="754"/>
    </w:p>
    <w:p w:rsidR="00AC292A" w:rsidRDefault="00AC292A">
      <w:pPr>
        <w:pStyle w:val="IASBSectionTitle2Ind"/>
      </w:pPr>
      <w:bookmarkStart w:id="755" w:name="F32626461"/>
      <w:r>
        <w:t>Depreciere (secţiunea 5.5)</w:t>
      </w:r>
      <w:bookmarkEnd w:id="755"/>
    </w:p>
    <w:p w:rsidR="00AC292A" w:rsidRDefault="00AC292A">
      <w:pPr>
        <w:pStyle w:val="IASBSectionTitle3Ind"/>
      </w:pPr>
      <w:bookmarkStart w:id="756" w:name="F32626463"/>
      <w:r>
        <w:t>Bază de evaluare colectivă şi individuală</w:t>
      </w:r>
      <w:bookmarkEnd w:id="756"/>
    </w:p>
    <w:p w:rsidR="00AC292A" w:rsidRDefault="00AC292A">
      <w:pPr>
        <w:pStyle w:val="IASBNormalnpara"/>
      </w:pPr>
      <w:r>
        <w:t>B5.5.1</w:t>
      </w:r>
      <w:r>
        <w:tab/>
      </w:r>
      <w:bookmarkStart w:id="757" w:name="F32626464"/>
      <w:r>
        <w:t>Pentru a îndeplini obiectivul de recunoaştere a pierderilor din creditare preconizate pe toată durata de viață pentru creșterile semnificative ale riscului de credit de la recunoaşterea iniţială, poate fi necesară evaluarea creşterilor semnificative ale riscului de credit pe o bază colectivă prin analizarea informaţiilor care reprezintă un indicator al creşterilor semnificative în riscul de credit pentru un grup sau subgrup de instrumente financiare, de exemplu. Scopul este să se asigure că o entitate îndeplineşte obiectivul de recunoaştere a pierderilor din creditare preconizate pe toată durata de viață atunci când există creşteri semnificative ale riscului de credit, deși nu sunt încă disponibile dovezi ale acestor creşteri semnificative ale riscului de credit la nivelul instrumentului individual.</w:t>
      </w:r>
      <w:bookmarkEnd w:id="757"/>
    </w:p>
    <w:p w:rsidR="00AC292A" w:rsidRDefault="00AC292A">
      <w:pPr>
        <w:pStyle w:val="IASBNormalnpara"/>
      </w:pPr>
      <w:r>
        <w:t>B5.5.2</w:t>
      </w:r>
      <w:r>
        <w:tab/>
      </w:r>
      <w:bookmarkStart w:id="758" w:name="F32626465"/>
      <w:r>
        <w:t>Pierderile din creditare preconizate pe toată durata de viață sunt preconizate, în general, a fi recunoscute înainte ca instrumentul financiar să își depășească scadența. De obicei, riscul de credit creşte semnificativ înainte ca instrumentul financiar să devină restant sau înainte de a se observa alţi factori specifici întârzierii împrumutului (de exemplu, o modificare sau restructurare). În consecinţă, atunci când sunt disponibile informaţii rezonabile și justificabile care au un caracter mai previzional decât informațiile privind depășirea scadenței, fără cost sau efort nejustificat, acestea trebuie utilizate pentru a evalua modificările riscului de credit.</w:t>
      </w:r>
      <w:bookmarkEnd w:id="758"/>
    </w:p>
    <w:p w:rsidR="00AC292A" w:rsidRDefault="00AC292A">
      <w:pPr>
        <w:pStyle w:val="IASBNormalnpara"/>
      </w:pPr>
      <w:r>
        <w:t>B5.5.3</w:t>
      </w:r>
      <w:r>
        <w:tab/>
      </w:r>
      <w:bookmarkStart w:id="759" w:name="F32626466"/>
      <w:r>
        <w:t>Totuşi, în funcţie de natura instrumentelor financiare şi de informaţiile privind riscul de credit disponibile pentru anumite grupuri de instrumente financiare, este posibil ca o entitate să nu poată identifica modificări semnificative ale riscului de credit pentru instrumente financiare individuale înainte ca instrumentul financiar să devină restant. Acesta poate fi cazul instrumentelor financiare cum ar fi împrumuturile pentru persoane fizice pentru care există puţine sau niciun fel de informaţii actualizate despre riscul de credit care este, în mod obişnuit, obţinut şi monitorizat pentru un instrument individual până când clientul încalcă termenele contractuale. Dacă modificările riscului de credit pentru instrumente financiare individuale nu sunt identificate înainte ca acestea să devină restante, o ajustare pentru pierderi care se bazează doar pe informaţii despre credit la nivel de instrument financiar individual nu va reprezenta exact modificările riscului de credit de la recunoaşterea iniţială.</w:t>
      </w:r>
      <w:bookmarkEnd w:id="759"/>
    </w:p>
    <w:p w:rsidR="00AC292A" w:rsidRDefault="00AC292A">
      <w:pPr>
        <w:pStyle w:val="IASBNormalnpara"/>
      </w:pPr>
      <w:r>
        <w:lastRenderedPageBreak/>
        <w:t>B5.5.4</w:t>
      </w:r>
      <w:r>
        <w:tab/>
      </w:r>
      <w:bookmarkStart w:id="760" w:name="F32626467"/>
      <w:r>
        <w:t>În unele circumstanţe, o entitate nu deţine informaţii rezonabile și justificabile disponibile fără cost sau efort nejustificat pentru a evalua pierderile din creditare preconizate pe toată durata de viață pe baza unui instrument financiar individual. În acest caz, pierderile din creditare preconizate pe toată durata de viață trebuie recunoscute pe o bază colectivă care ia în considerare informaţii complete privind riscul de credit. Aceste informaţii complete privind riscul de credit trebuie să includă nu doar informaţii privind depășirea scadenței, ci şi toate informaţiile relevante despre credit, inclusiv informații macroeconomice cu caracter previzional, pentru a putea aproxima rezultatul recunoaşterii pierderilor din creditare preconizate pe toată durata de viață atunci când a existat o creştere semnificativă a riscului de credit de la recunoaşterea iniţială la nivel de instrument individual.</w:t>
      </w:r>
      <w:bookmarkEnd w:id="760"/>
    </w:p>
    <w:p w:rsidR="00AC292A" w:rsidRDefault="00AC292A">
      <w:pPr>
        <w:pStyle w:val="IASBNormalnpara"/>
      </w:pPr>
      <w:r>
        <w:t>B5.5.5</w:t>
      </w:r>
      <w:r>
        <w:tab/>
      </w:r>
      <w:bookmarkStart w:id="761" w:name="F32626468"/>
      <w:r>
        <w:t>În sensul determinării creşterilor semnificative ale riscului de credit şi al recunoaşterii unei ajustări pentru pierderi pe o bază colectivă, o entitate poate grupa instrumente financiare pe baza caracteristicilor comune privind riscul de credit, având ca obiectiv facilitarea unei analize care are rolul de a permite identificarea în timp util a creşterilor semnificative ale riscului de credit. Entitatea nu trebuie să ascundă aceste informaţii prin gruparea unor instrumente financiare cu caracteristici de risc diferite. Exemplele de caracteristici comune privind riscul de credit pot include, fără a se limita la:</w:t>
      </w:r>
      <w:bookmarkEnd w:id="761"/>
    </w:p>
    <w:p w:rsidR="00AC292A" w:rsidRDefault="00AC292A">
      <w:pPr>
        <w:pStyle w:val="IASBNormalnparaL1"/>
      </w:pPr>
      <w:r>
        <w:t>(a)</w:t>
      </w:r>
      <w:r>
        <w:tab/>
      </w:r>
      <w:bookmarkStart w:id="762" w:name="F32626472"/>
      <w:r>
        <w:t>tipul instrumentului;</w:t>
      </w:r>
      <w:bookmarkEnd w:id="762"/>
    </w:p>
    <w:p w:rsidR="00AC292A" w:rsidRDefault="00AC292A">
      <w:pPr>
        <w:pStyle w:val="IASBNormalnparaL1"/>
      </w:pPr>
      <w:r>
        <w:t>(b)</w:t>
      </w:r>
      <w:r>
        <w:tab/>
      </w:r>
      <w:bookmarkStart w:id="763" w:name="F32626473"/>
      <w:r>
        <w:t>ratinguri ale riscului de credit;</w:t>
      </w:r>
      <w:bookmarkEnd w:id="763"/>
    </w:p>
    <w:p w:rsidR="00AC292A" w:rsidRDefault="00AC292A">
      <w:pPr>
        <w:pStyle w:val="IASBNormalnparaL1"/>
      </w:pPr>
      <w:r>
        <w:t>(c)</w:t>
      </w:r>
      <w:r>
        <w:tab/>
      </w:r>
      <w:bookmarkStart w:id="764" w:name="F32626476"/>
      <w:r>
        <w:t>tipul garanţiei reale;</w:t>
      </w:r>
      <w:bookmarkEnd w:id="764"/>
    </w:p>
    <w:p w:rsidR="00AC292A" w:rsidRDefault="00AC292A">
      <w:pPr>
        <w:pStyle w:val="IASBNormalnparaL1"/>
      </w:pPr>
      <w:r>
        <w:t>(d)</w:t>
      </w:r>
      <w:r>
        <w:tab/>
      </w:r>
      <w:bookmarkStart w:id="765" w:name="F32626478"/>
      <w:r>
        <w:t>data recunoaşterii iniţiale;</w:t>
      </w:r>
      <w:bookmarkEnd w:id="765"/>
    </w:p>
    <w:p w:rsidR="00AC292A" w:rsidRDefault="00AC292A">
      <w:pPr>
        <w:pStyle w:val="IASBNormalnparaL1"/>
      </w:pPr>
      <w:r>
        <w:t>(e)</w:t>
      </w:r>
      <w:r>
        <w:tab/>
      </w:r>
      <w:bookmarkStart w:id="766" w:name="F32626480"/>
      <w:r>
        <w:t>termenul rămas până la scadență;</w:t>
      </w:r>
      <w:bookmarkEnd w:id="766"/>
    </w:p>
    <w:p w:rsidR="00AC292A" w:rsidRDefault="00AC292A">
      <w:pPr>
        <w:pStyle w:val="IASBNormalnparaL1"/>
      </w:pPr>
      <w:r>
        <w:t>(f)</w:t>
      </w:r>
      <w:r>
        <w:tab/>
      </w:r>
      <w:bookmarkStart w:id="767" w:name="F32626482"/>
      <w:r>
        <w:t>domeniul de activitate;</w:t>
      </w:r>
      <w:bookmarkEnd w:id="767"/>
    </w:p>
    <w:p w:rsidR="00AC292A" w:rsidRDefault="00AC292A">
      <w:pPr>
        <w:pStyle w:val="IASBNormalnparaL1"/>
      </w:pPr>
      <w:r>
        <w:t>(g)</w:t>
      </w:r>
      <w:r>
        <w:tab/>
      </w:r>
      <w:bookmarkStart w:id="768" w:name="F32626484"/>
      <w:r>
        <w:t>poziţia geografică a debitorului; și</w:t>
      </w:r>
      <w:bookmarkEnd w:id="768"/>
    </w:p>
    <w:p w:rsidR="00AC292A" w:rsidRDefault="00AC292A">
      <w:pPr>
        <w:pStyle w:val="IASBNormalnparaL1"/>
      </w:pPr>
      <w:r>
        <w:t>(h)</w:t>
      </w:r>
      <w:r>
        <w:tab/>
      </w:r>
      <w:bookmarkStart w:id="769" w:name="F32626486"/>
      <w:r>
        <w:t>valoarea garanţiei reale aferente activului financiar, dacă aceasta are un impact asupra probabilităţii apariţiei neîndeplinirii unor obligaţii (de exemplu, împrumuturi garantate parțial în anumite jurisdicţii sau rapoarte împrumut-valoare).</w:t>
      </w:r>
      <w:bookmarkEnd w:id="769"/>
    </w:p>
    <w:p w:rsidR="00AC292A" w:rsidRDefault="00AC292A">
      <w:pPr>
        <w:pStyle w:val="IASBNormalnpara"/>
      </w:pPr>
      <w:r>
        <w:t>B5.5.6</w:t>
      </w:r>
      <w:r>
        <w:tab/>
      </w:r>
      <w:bookmarkStart w:id="770" w:name="F32626487"/>
      <w:r>
        <w:t>Punctul 5.5.4 impune ca pierderile din creditare preconizate pe toată durata de viață să fie recunoscute pentru toate instrumentele financiare pentru care au existat creşteri semnificative ale riscului de credit de la recunoaşterea iniţială. Pentru a îndeplini acest obiectiv, dacă o entitate nu are capacitatea să grupeze instrumentele financiare pentru care se consideră că riscul de credit a crescut semnificativ de la recunoaşterea iniţială pe baza caracteristicilor comune privind riscul de credit, entitatea trebuie să recunoască pierderile din creditare preconizate pe toată durata de viață pentru o parte din activele financiare pentru care se consideră că riscul de credit a crescut semnificativ. Agregarea instrumentelor financiare pentru a evalua dacă există modificări ale riscului de credit pe o bază colectivă se poate modifica în timp, pe măsură ce devin disponibile noi informaţii despre grupuri de instrumente financiare sau despre instrumente financiare individuale.</w:t>
      </w:r>
      <w:bookmarkEnd w:id="770"/>
    </w:p>
    <w:p w:rsidR="00AC292A" w:rsidRDefault="00AC292A">
      <w:pPr>
        <w:pStyle w:val="IASBSectionTitle3Ind"/>
      </w:pPr>
      <w:bookmarkStart w:id="771" w:name="F32626489"/>
      <w:r>
        <w:t>Plasarea în timp a recunoașterii pierderilor din creditare preconizate pe toată durata de viață</w:t>
      </w:r>
      <w:bookmarkEnd w:id="771"/>
    </w:p>
    <w:p w:rsidR="00AC292A" w:rsidRDefault="00AC292A">
      <w:pPr>
        <w:pStyle w:val="IASBNormalnpara"/>
      </w:pPr>
      <w:r>
        <w:t>B5.5.7</w:t>
      </w:r>
      <w:r>
        <w:tab/>
      </w:r>
      <w:bookmarkStart w:id="772" w:name="F32626490"/>
      <w:r>
        <w:t>Atunci când se evaluează dacă pierderile din creditare preconizate pe toată durata de viață trebuie recunoscute, baza o constituie creşterile semnificative ale probabilităţii sau riscului de apariție a unei neîndepliniri a obligaţiilor de la recunoaşterea iniţială (indiferent dacă preţul unui instrument financiar a fost restabilit pentru a reflecta creşterea riscului de credit), și nu dovada deprecierii unui activ financiar ca urmare a riscului de credit la data raportării sau apariţia efectivă a unei neîndepliniri a obligaţiilor. În general, va avea loc o creştere semnificativă a riscului de credit înainte ca activul financiar să fie depreciat ca urmare a riscului de credit sau să apară efectiv a neîndeplinirea obligaţiilor.</w:t>
      </w:r>
      <w:bookmarkEnd w:id="772"/>
    </w:p>
    <w:p w:rsidR="00AC292A" w:rsidRDefault="00AC292A">
      <w:pPr>
        <w:pStyle w:val="IASBNormalnpara"/>
      </w:pPr>
      <w:r>
        <w:t>B5.5.8</w:t>
      </w:r>
      <w:r>
        <w:tab/>
      </w:r>
      <w:bookmarkStart w:id="773" w:name="F32626491"/>
      <w:r>
        <w:t>Pentru angajamentele de creditare, o entitate are în vedere modificările în riscul apariţiei unei neîndepliniri a obligaţiilor la împrumutul asociat angajamentului de creditare. Pentru contractele de garanţie financiară, o entitate ia în considerare modificările în riscul ca debitorul să nu îndeplinească obligaţiile contractuale.</w:t>
      </w:r>
      <w:bookmarkEnd w:id="773"/>
    </w:p>
    <w:p w:rsidR="00AC292A" w:rsidRDefault="00AC292A">
      <w:pPr>
        <w:pStyle w:val="IASBNormalnpara"/>
      </w:pPr>
      <w:r>
        <w:t>B5.5.9</w:t>
      </w:r>
      <w:r>
        <w:tab/>
      </w:r>
      <w:bookmarkStart w:id="774" w:name="F32626492"/>
      <w:r>
        <w:t>Importanţa unei modificări a riscului de credit de la recunoaşterea iniţială depinde de riscul apariţiei neîndeplinirii obligaţiilor de la recunoaşterea iniţială. Astfel, o anumită schimbare, în termeni absoluţi, în riscul neîndeplinirii obligaţiilor va fi mult mai importantă pentru un instrument financiar cu un risc iniţial de apariţie a neîndeplinirii obligaţiilor mai scăzut în comparaţie cu un instrument financiar cu un risc iniţial mai crescut.</w:t>
      </w:r>
      <w:bookmarkEnd w:id="774"/>
    </w:p>
    <w:p w:rsidR="00AC292A" w:rsidRDefault="00AC292A">
      <w:pPr>
        <w:pStyle w:val="IASBNormalnpara"/>
      </w:pPr>
      <w:r>
        <w:t>B5.5.10</w:t>
      </w:r>
      <w:r>
        <w:tab/>
      </w:r>
      <w:bookmarkStart w:id="775" w:name="F32626493"/>
      <w:r>
        <w:t xml:space="preserve">Riscul apariţiei unei neîndepliniri a obligaţiilor la instrumente financiare care au un risc de credit comparabil este mai ridicat cu cât este mai mare durata de viaţă preconizată a instrumentului; de exemplu, riscul apariţiei unei neîndepliniri a obligaţiilor pentru o obligaţiune cotată AAA cu o durată de viaţă </w:t>
      </w:r>
      <w:r>
        <w:lastRenderedPageBreak/>
        <w:t>preconizată de 10 ani este mai mare decât cel al unei obligaţiuni cotate AAA cu o durată de viaţă preconizată de cinci ani.</w:t>
      </w:r>
      <w:bookmarkEnd w:id="775"/>
    </w:p>
    <w:p w:rsidR="00AC292A" w:rsidRDefault="00AC292A">
      <w:pPr>
        <w:pStyle w:val="IASBNormalnpara"/>
      </w:pPr>
      <w:r>
        <w:t>B5.5.11</w:t>
      </w:r>
      <w:r>
        <w:tab/>
      </w:r>
      <w:bookmarkStart w:id="776" w:name="F32626494"/>
      <w:r>
        <w:t>Din cauza relaţiei dintre durata de viaţă preconizată şi riscul apariţiei unei neîndepliniri a obligaţiilor, modificarea riscului de credit nu poate fi evaluată doar prin compararea modificării în riscul absolut de apariţie a unei neîndepliniri a obligaţiilor în timp. De exemplu, dacă riscul apariţiei unei neîndepliniri a obligaţiilor pentru un instrument financiar cu o durată de viaţă preconizată de 10 ani la recunoaşterea iniţială este identic cu riscul apariţiei unei neîndepliniri a obligaţiilor pentru acel instrument financiar atunci când durata sa de viaţă preconizată, într-o perioadă ulterioară, este de doar cinci ani, acest aspect poate indica o creştere a riscului de credit. Aceasta pentru că riscul apariţiei unei neîndepliniri a obligaţiilor pe parcursul duratei de viață preconizate scade, de obicei, odată cu trecerea timpului dacă riscul de credit este neschimbat şi instrumentul financiar este mai aproape de scadenţă. Totuşi, pentru instrumentele financiare care au doar obligaţii de plată semnificative aproape de scadenţa instrumentului financiar, este posibil ca riscul apariţiei neîndeplinirii obligaţiilor să nu scadă odată cu trecerea timpului. În această situaţie, o entitate trebuie să ia în considerare și alţi factori calitativi care demonstrează dacă riscul de credit a crescut semnificativ de la recunoaşterea iniţială.</w:t>
      </w:r>
      <w:bookmarkEnd w:id="776"/>
    </w:p>
    <w:p w:rsidR="00AC292A" w:rsidRDefault="00AC292A">
      <w:pPr>
        <w:pStyle w:val="IASBNormalnpara"/>
      </w:pPr>
      <w:r>
        <w:t>B5.5.12</w:t>
      </w:r>
      <w:r>
        <w:tab/>
      </w:r>
      <w:bookmarkStart w:id="777" w:name="F32626495"/>
      <w:r>
        <w:t xml:space="preserve">O entitate poate aplica diverse abordări la evaluarea măsurii în care riscul de credit pentru un instrument financiar a crescut semnificativ de la recunoaşterea iniţială sau la evaluarea pierderilor din creditare preconizate. O entitate poate aplica metode diferite pentru instrumente financiare diferite. O metodă care nu include o probabilitate explicită a neîndeplinirii obligaţiilor ca date de intrare per se, cum ar fi o metodă a ratei pierderii din creditare, poate fi consecventă cu dispoziţiile prezentului standard, cu condiţia ca entitatea să poată separa modificările riscului apariţiei unei neîndepliniri a obligaţiilor de modificările altor factori ce determină pierderile din creditare preconizate, cum ar fi garanţiile reale, şi să ia în considerare următoarele aspecte atunci când face această evaluare: </w:t>
      </w:r>
      <w:bookmarkEnd w:id="777"/>
    </w:p>
    <w:p w:rsidR="00AC292A" w:rsidRDefault="00AC292A">
      <w:pPr>
        <w:pStyle w:val="IASBNormalnparaL1"/>
      </w:pPr>
      <w:r>
        <w:t>(a)</w:t>
      </w:r>
      <w:r>
        <w:tab/>
      </w:r>
      <w:bookmarkStart w:id="778" w:name="F32626498"/>
      <w:r>
        <w:t>modificarea riscului de apariţie a unei neîndepliniri a obligaţiilor de la recunoaşterea iniţială;</w:t>
      </w:r>
      <w:bookmarkEnd w:id="778"/>
    </w:p>
    <w:p w:rsidR="00AC292A" w:rsidRDefault="00AC292A">
      <w:pPr>
        <w:pStyle w:val="IASBNormalnparaL1"/>
      </w:pPr>
      <w:r>
        <w:t>(b)</w:t>
      </w:r>
      <w:r>
        <w:tab/>
      </w:r>
      <w:bookmarkStart w:id="779" w:name="F32626500"/>
      <w:r>
        <w:t>durata de viaţă preconizată a instrumentului financiar; și</w:t>
      </w:r>
      <w:bookmarkEnd w:id="779"/>
    </w:p>
    <w:p w:rsidR="00AC292A" w:rsidRDefault="00AC292A">
      <w:pPr>
        <w:pStyle w:val="IASBNormalnparaL1"/>
      </w:pPr>
      <w:r>
        <w:t>(c)</w:t>
      </w:r>
      <w:r>
        <w:tab/>
      </w:r>
      <w:bookmarkStart w:id="780" w:name="F32626502"/>
      <w:r>
        <w:t>informaţii rezonabile și justificabile care sunt disponibile fără cost sau efort nejustificat ce pot afecta riscul de credit.</w:t>
      </w:r>
      <w:bookmarkEnd w:id="780"/>
    </w:p>
    <w:p w:rsidR="00AC292A" w:rsidRDefault="00AC292A">
      <w:pPr>
        <w:pStyle w:val="IASBNormalnpara"/>
      </w:pPr>
      <w:r>
        <w:t>B5.5.13</w:t>
      </w:r>
      <w:r>
        <w:tab/>
      </w:r>
      <w:bookmarkStart w:id="781" w:name="F32626503"/>
      <w:r>
        <w:t>Metodele folosite pentru a stabili dacă riscul de credit a crescut semnificativ pentru un instrument financiar de la recunoaşterea iniţială trebuie să ia în considerare caracteristicile instrumentului financiar (sau ale grupului de instrumente financiare) şi tiparele anterioare de neîndeplinire a obligațiilor pentru instrumente financiare comparabile. În pofida dispoziţiei de la punctul 5.5.9, pentru instrumente financiare pentru care tiparele de neîndeplinire a obligațiilor nu se concentrează într-un anumit moment de pe parcursul duratei de viaţă preconizate a instrumentului financiar, modificările în riscul apariţiei unei neîndepliniri a obligaţiilor în următoarele 12 luni pot fi o aproximare rezonabilă a modificărilor riscului apariţiei unei neîndepliniri a obligaţiilor pe toată durata de viață. În aceste situaţii, o entitate poate folosi modificările riscului apariţiei unei neîndepliniri a obligaţiilor în următoarele 12 luni pentru stabili dacă riscul de credit a crescut semnificativ de la recunoaşterea iniţială, doar dacă circumstanţele nu indică faptul că este necesară o evaluare pe toată durata de viață.</w:t>
      </w:r>
      <w:bookmarkEnd w:id="781"/>
    </w:p>
    <w:p w:rsidR="00AC292A" w:rsidRDefault="00AC292A">
      <w:pPr>
        <w:pStyle w:val="IASBNormalnpara"/>
      </w:pPr>
      <w:r>
        <w:t>B5.5.14</w:t>
      </w:r>
      <w:r>
        <w:tab/>
      </w:r>
      <w:bookmarkStart w:id="782" w:name="F32626504"/>
      <w:r>
        <w:t>Totuşi, pentru anumite instrumente financiare, sau în anumite circumstanţe, este posibil să nu fie adecvată folosirea modificărilor în riscul apariţiei unei neîndepliniri a obligaţiilor în următoarele 12 luni pentru a stabili dacă trebuie recunoscute pierderile din creditare preconizate pe toată durata de viață. De exemplu, este posibil ca modificarea riscului apariţiei unei neîndepliniri a obligaţiilor în următoarele 12 luni să nu fie o bază adecvată pentru a stabili dacă riscul de credit a crescut pentru un instrument financiar cu o scadenţă mai mare de 12 luni atunci când:</w:t>
      </w:r>
      <w:bookmarkEnd w:id="782"/>
    </w:p>
    <w:p w:rsidR="00AC292A" w:rsidRDefault="00AC292A">
      <w:pPr>
        <w:pStyle w:val="IASBNormalnparaL1"/>
      </w:pPr>
      <w:r>
        <w:t>(a)</w:t>
      </w:r>
      <w:r>
        <w:tab/>
      </w:r>
      <w:bookmarkStart w:id="783" w:name="F32626507"/>
      <w:r>
        <w:t>instrumentul financiar are obligaţii de plată semnificative doar după următoarele 12 luni;</w:t>
      </w:r>
      <w:bookmarkEnd w:id="783"/>
    </w:p>
    <w:p w:rsidR="00AC292A" w:rsidRDefault="00AC292A">
      <w:pPr>
        <w:pStyle w:val="IASBNormalnparaL1"/>
      </w:pPr>
      <w:r>
        <w:t>(b)</w:t>
      </w:r>
      <w:r>
        <w:tab/>
      </w:r>
      <w:bookmarkStart w:id="784" w:name="F32626509"/>
      <w:r>
        <w:t>au loc schimbări ale factorilor macroeconomici sau ale altor factori legați de credit care nu sunt reflectați corespunzător în riscul apariţiei unei nerespectări a obligaţiilor în următoarele 12 luni; sau</w:t>
      </w:r>
      <w:bookmarkEnd w:id="784"/>
    </w:p>
    <w:p w:rsidR="00AC292A" w:rsidRDefault="00AC292A">
      <w:pPr>
        <w:pStyle w:val="IASBNormalnparaL1"/>
      </w:pPr>
      <w:r>
        <w:t>(c)</w:t>
      </w:r>
      <w:r>
        <w:tab/>
      </w:r>
      <w:bookmarkStart w:id="785" w:name="F32626511"/>
      <w:r>
        <w:t>schimbările factorilor legați de credit au un impact asupra riscului de credit al instrumentului financiar (sau au un efect mai pronunţat) doar după 12 luni.</w:t>
      </w:r>
      <w:bookmarkEnd w:id="785"/>
    </w:p>
    <w:p w:rsidR="00AC292A" w:rsidRDefault="00AC292A">
      <w:pPr>
        <w:pStyle w:val="IASBSectionTitle3Ind"/>
      </w:pPr>
      <w:bookmarkStart w:id="786" w:name="F32626513"/>
      <w:r>
        <w:t>Stabilirea măsurii în care riscul de credit a crescut semnificativ de la recunoaşterea iniţială</w:t>
      </w:r>
      <w:bookmarkEnd w:id="786"/>
    </w:p>
    <w:p w:rsidR="00AC292A" w:rsidRDefault="00AC292A">
      <w:pPr>
        <w:pStyle w:val="IASBNormalnpara"/>
      </w:pPr>
      <w:r>
        <w:t>B5.5.15</w:t>
      </w:r>
      <w:r>
        <w:tab/>
      </w:r>
      <w:bookmarkStart w:id="787" w:name="F32626514"/>
      <w:r>
        <w:t xml:space="preserve">Pentru a stabili dacă se impune recunoaşterea pierderilor din creditare preconizate pe toată durata de viață, o entitate trebuie să ia în considerare informaţii rezonabile şi justificabile care sunt disponibile fără cost sau efort nejustificat și care pot afecta riscul de credit pentru un instrument financiar în conformitate cu punctul </w:t>
      </w:r>
      <w:r>
        <w:lastRenderedPageBreak/>
        <w:t>5.5.17 litera (c). Nu este necesar ca o entitate să întreprindă o căutare exhaustivă pentru a obţine informaţii atunci când stabilește dacă riscul de credit a crescut semnificativ de la recunoaşterea iniţială.</w:t>
      </w:r>
      <w:bookmarkEnd w:id="787"/>
    </w:p>
    <w:p w:rsidR="00AC292A" w:rsidRDefault="00AC292A">
      <w:pPr>
        <w:pStyle w:val="IASBNormalnpara"/>
      </w:pPr>
      <w:r>
        <w:t>B5.5.16</w:t>
      </w:r>
      <w:r>
        <w:tab/>
      </w:r>
      <w:bookmarkStart w:id="788" w:name="F32626515"/>
      <w:r>
        <w:t>Analiza riscului de credit este o analiză holistică bazată pe factori multipli; măsura în care un factor specific este relevant şi ponderea sa în raport cu alţi factori depind de tipul produsului, de caracteristicile instrumentului financiar şi ale debitorului, precum şi de regiunea geografică. O entitate trebuie să ia în considerare informaţii rezonabile şi justificabile care sunt disponibile fără cost sau efort nejustificat şi care sunt relevante pentru instrumentul financiar care este evaluat. Totuşi, este posibil ca anumiţi factori sau indicatori să nu poată fi identificați la nivel de instrument financiar individual. În acest caz, factorii sau indicatorii trebuie evaluaţi pe portofolii, grupuri de portofolii sau părţi ale portofoliului de instrumente financiare adecvate pentru a se stabili dacă se aplică dispoziţia de la punctul 5.5.3 pentru recunoaşterea pierderilor din creditare preconizate pe toată durata de viață.</w:t>
      </w:r>
      <w:bookmarkEnd w:id="788"/>
    </w:p>
    <w:p w:rsidR="00AC292A" w:rsidRDefault="00AC292A">
      <w:pPr>
        <w:pStyle w:val="IASBNormalnpara"/>
      </w:pPr>
      <w:r>
        <w:t>B5.5.17</w:t>
      </w:r>
      <w:r>
        <w:tab/>
      </w:r>
      <w:bookmarkStart w:id="789" w:name="F32626516"/>
      <w:r>
        <w:t>Următoarea listă neexhaustivă de informaţii poate fi relevantă pentru evaluarea modificărilor riscului de credit:</w:t>
      </w:r>
      <w:bookmarkEnd w:id="789"/>
    </w:p>
    <w:p w:rsidR="00AC292A" w:rsidRDefault="00AC292A">
      <w:pPr>
        <w:pStyle w:val="IASBNormalnparaL1"/>
      </w:pPr>
      <w:r>
        <w:t>(a)</w:t>
      </w:r>
      <w:r>
        <w:tab/>
      </w:r>
      <w:bookmarkStart w:id="790" w:name="F32626519"/>
      <w:r>
        <w:t>modificări semnificative ale indicatorilor interni de preţ aferenți riscului de credit ca urmare a modificării riscului de credit de la început, incluzând, fără a se limita la, marja de credit care ar rezulta dacă un anumit instrument financiar sau un instrument financiar similar cu aceleaşi termene şi acelaşi partener ar fi nou-creat sau emis la data raportării.</w:t>
      </w:r>
      <w:bookmarkEnd w:id="790"/>
    </w:p>
    <w:p w:rsidR="00AC292A" w:rsidRDefault="00AC292A">
      <w:pPr>
        <w:pStyle w:val="IASBNormalnparaL1"/>
      </w:pPr>
      <w:r>
        <w:t>(b)</w:t>
      </w:r>
      <w:r>
        <w:tab/>
      </w:r>
      <w:bookmarkStart w:id="791" w:name="F32626521"/>
      <w:r>
        <w:t>alte modificări ale ratelor sau termenelor unui instrument financiar existent care sunt semnificativ diferite dacă instrumentul a fost nou-creat sau emis la data raportării (cum ar fi clauze mai stricte, valori mai mari ale garanţiilor reale sau ale garanţiilor sau o mai mare acoperire a venitului) din cauza modificărilor în riscul de credit al instrumentului financiar de la recunoaşterea iniţială.</w:t>
      </w:r>
      <w:bookmarkEnd w:id="791"/>
    </w:p>
    <w:p w:rsidR="00AC292A" w:rsidRDefault="00AC292A">
      <w:pPr>
        <w:pStyle w:val="IASBNormalnparaL1"/>
      </w:pPr>
      <w:r>
        <w:t>(c)</w:t>
      </w:r>
      <w:r>
        <w:tab/>
      </w:r>
      <w:bookmarkStart w:id="792" w:name="F32626523"/>
      <w:r>
        <w:t>modificări semnificative ale indicatorilor de piaţă externi ai riscului de credit pentru un anumit instrument financiar sau instrumente financiare similare cu aceeaşi durată de viaţă preconizată. Modificările indicatorilor de piaţă ai riscului de credit includ, fără a se limita la:</w:t>
      </w:r>
      <w:bookmarkEnd w:id="792"/>
    </w:p>
    <w:p w:rsidR="00AC292A" w:rsidRDefault="00AC292A">
      <w:pPr>
        <w:pStyle w:val="IASBNormalnparaL2"/>
      </w:pPr>
      <w:r>
        <w:t>(i)</w:t>
      </w:r>
      <w:r>
        <w:tab/>
      </w:r>
      <w:bookmarkStart w:id="793" w:name="F32626527"/>
      <w:r>
        <w:t>marja de credit;</w:t>
      </w:r>
      <w:bookmarkEnd w:id="793"/>
    </w:p>
    <w:p w:rsidR="00AC292A" w:rsidRDefault="00AC292A">
      <w:pPr>
        <w:pStyle w:val="IASBNormalnparaL2"/>
      </w:pPr>
      <w:r>
        <w:t>(ii)</w:t>
      </w:r>
      <w:r>
        <w:tab/>
      </w:r>
      <w:bookmarkStart w:id="794" w:name="F32626528"/>
      <w:r>
        <w:t>preţuri ale swapului pe riscul de credit pentru debitor;</w:t>
      </w:r>
      <w:bookmarkEnd w:id="794"/>
    </w:p>
    <w:p w:rsidR="00AC292A" w:rsidRDefault="00AC292A">
      <w:pPr>
        <w:pStyle w:val="IASBNormalnparaL2"/>
      </w:pPr>
      <w:r>
        <w:t>(iii)</w:t>
      </w:r>
      <w:r>
        <w:tab/>
      </w:r>
      <w:bookmarkStart w:id="795" w:name="F32626530"/>
      <w:r>
        <w:t>perioada de timp sau măsura în care valoarea justă a activului financiar a fost mai mică decât costul său amortizat; și</w:t>
      </w:r>
      <w:bookmarkEnd w:id="795"/>
    </w:p>
    <w:p w:rsidR="00AC292A" w:rsidRDefault="00AC292A">
      <w:pPr>
        <w:pStyle w:val="IASBNormalnparaL2"/>
      </w:pPr>
      <w:r>
        <w:t>(iv)</w:t>
      </w:r>
      <w:r>
        <w:tab/>
      </w:r>
      <w:bookmarkStart w:id="796" w:name="F32626532"/>
      <w:r>
        <w:t>alte informaţii din piaţă cu privire la debitor, cum ar fi modificări ale preţului unei datorii a debitorului şi a instrumentelor de capitaluri proprii.</w:t>
      </w:r>
      <w:bookmarkEnd w:id="796"/>
    </w:p>
    <w:p w:rsidR="00AC292A" w:rsidRDefault="00AC292A">
      <w:pPr>
        <w:pStyle w:val="IASBNormalnparaL1"/>
      </w:pPr>
      <w:r>
        <w:t>(d)</w:t>
      </w:r>
      <w:r>
        <w:tab/>
      </w:r>
      <w:bookmarkStart w:id="797" w:name="F32626534"/>
      <w:r>
        <w:t>o modificare semnificativă reală sau preconizată a ratingului de credit extern al instrumentului financiar.</w:t>
      </w:r>
      <w:bookmarkEnd w:id="797"/>
    </w:p>
    <w:p w:rsidR="00AC292A" w:rsidRDefault="00AC292A">
      <w:pPr>
        <w:pStyle w:val="IASBNormalnparaL1"/>
      </w:pPr>
      <w:r>
        <w:t>(e)</w:t>
      </w:r>
      <w:r>
        <w:tab/>
      </w:r>
      <w:bookmarkStart w:id="798" w:name="F32626536"/>
      <w:r>
        <w:t>o deteriorare reală sau preconizată a ratingului de credit intern pentru debitor sau o scădere a scoringului comportamental folosit pentru a evalua intern riscul de credit. Ratingurile de credit interne şi scoringul comportamental intern sunt mai fiabile atunci când sunt asociate ratingurilor externe sau sunt susţinute de studii referitoare la neîndeplinirea obligaţiilor.</w:t>
      </w:r>
      <w:bookmarkEnd w:id="798"/>
    </w:p>
    <w:p w:rsidR="00AC292A" w:rsidRDefault="00AC292A">
      <w:pPr>
        <w:pStyle w:val="IASBNormalnparaL1"/>
      </w:pPr>
      <w:r>
        <w:t>(f)</w:t>
      </w:r>
      <w:r>
        <w:tab/>
      </w:r>
      <w:bookmarkStart w:id="799" w:name="F32626538"/>
      <w:r>
        <w:t>modificări defavorabile, existente sau prognozate, condiţii financiare sau economice de afaceri preconizate că vor modifica semnificativ capacitatea debitorului de a-şi îndeplini obligaţiile privind datoria, cum ar fi o creştere reală sau preconizată a ratelor dobânzii sau o creştere reală sau preconizată a ratelor de şomaj.</w:t>
      </w:r>
      <w:bookmarkEnd w:id="799"/>
    </w:p>
    <w:p w:rsidR="00AC292A" w:rsidRDefault="00AC292A">
      <w:pPr>
        <w:pStyle w:val="IASBNormalnparaL1"/>
      </w:pPr>
      <w:r>
        <w:t>(g)</w:t>
      </w:r>
      <w:r>
        <w:tab/>
      </w:r>
      <w:bookmarkStart w:id="800" w:name="F32626540"/>
      <w:r>
        <w:t>o modificare semnificativă, reală sau preconizată în rezultatele de exploatare ale debitorului. Exemplele includ declinuri reale sau preconizate ale veniturilor sau marjelor, riscuri de exploatare din ce în ce mai mari, deficienţe ale capitalului de lucru, calitatea redusă a activului, creşterea efectului de levier al bilanţului, lichiditate, probleme ale conducerii sau modificări în domeniul de activitate sau ale structurii organizaţionale (cum ar fi suspendarea unui segment al activităţii) ce au ca rezultat o modificare semnificativă a capacităţii debitorului de a-şi îndeplini obligaţiile legate de datorie.</w:t>
      </w:r>
      <w:bookmarkEnd w:id="800"/>
    </w:p>
    <w:p w:rsidR="00AC292A" w:rsidRDefault="00AC292A">
      <w:pPr>
        <w:pStyle w:val="IASBNormalnparaL1"/>
      </w:pPr>
      <w:r>
        <w:t>(h)</w:t>
      </w:r>
      <w:r>
        <w:tab/>
      </w:r>
      <w:bookmarkStart w:id="801" w:name="F32626542"/>
      <w:r>
        <w:t>creşteri semnificative ale riscului de credit pentru alte instrumente financiare ale aceluiaşi debitor.</w:t>
      </w:r>
      <w:bookmarkEnd w:id="801"/>
    </w:p>
    <w:p w:rsidR="00AC292A" w:rsidRDefault="00AC292A">
      <w:pPr>
        <w:pStyle w:val="IASBNormalnparaL1"/>
      </w:pPr>
      <w:r>
        <w:t>(i)</w:t>
      </w:r>
      <w:r>
        <w:tab/>
      </w:r>
      <w:bookmarkStart w:id="802" w:name="F32626544"/>
      <w:r>
        <w:t>o modificare semnificativă defavorabilă, reală sau preconizată, a mediului de reglementare, economic sau tehnologic al debitorului ce conduce la o modificare semnificativă a capacităţii debitorului de a-şi îndeplini obligaţiile privind datoria, cum ar fi o scădere a cererii pentru produsele vândute de debitor din cauza schimbărilor tehnologice.</w:t>
      </w:r>
      <w:bookmarkEnd w:id="802"/>
    </w:p>
    <w:p w:rsidR="00AC292A" w:rsidRDefault="00AC292A">
      <w:pPr>
        <w:pStyle w:val="IASBNormalnparaL1"/>
      </w:pPr>
      <w:r>
        <w:t>(j)</w:t>
      </w:r>
      <w:r>
        <w:tab/>
      </w:r>
      <w:bookmarkStart w:id="803" w:name="F32626546"/>
      <w:r>
        <w:t xml:space="preserve">modificări semnificative ale valorii garanţiilor reale care susţin obligaţia sau ale calităţii garanţiilor de la terţe părţi sau ameliorări ale condiţiilor de credit care se preconizează că vor reduce stimulentele economice ale debitorului de efectuare a unor plăţi planificate conform contractului sau că pot avea, altfel, un efect asupra probabilităţii apariţiei neîndeplinirii </w:t>
      </w:r>
      <w:r>
        <w:lastRenderedPageBreak/>
        <w:t>obligaţiilor. De exemplu, dacă valoarea unei garanţii reale scade din cauza scăderii preţurilor la case, debitorii din anumite jurisdicţii sunt mai stimulați să nu îşi îndeplinească obligaţiile aferente ipotecilor pe care le deţin.</w:t>
      </w:r>
      <w:bookmarkEnd w:id="803"/>
    </w:p>
    <w:p w:rsidR="00AC292A" w:rsidRDefault="00AC292A">
      <w:pPr>
        <w:pStyle w:val="IASBNormalnparaL1"/>
      </w:pPr>
      <w:r>
        <w:t>(k)</w:t>
      </w:r>
      <w:r>
        <w:tab/>
      </w:r>
      <w:bookmarkStart w:id="804" w:name="F32626548"/>
      <w:r>
        <w:t>o modificare semnificativă a calităţii garanţiei furnizate de un acţionar (sau societăţile-mamă ale unui individ) dacă acţionarul (sau societăţile-mamă) are (au) un stimulent şi capacitatea financiară de a preveni neîndeplinirea obligaţiilor prin infuzie de capital sau de numerar.</w:t>
      </w:r>
      <w:bookmarkEnd w:id="804"/>
    </w:p>
    <w:p w:rsidR="00AC292A" w:rsidRDefault="00AC292A">
      <w:pPr>
        <w:pStyle w:val="IASBNormalnparaL1"/>
      </w:pPr>
      <w:r>
        <w:t>(l)</w:t>
      </w:r>
      <w:r>
        <w:tab/>
      </w:r>
      <w:bookmarkStart w:id="805" w:name="F32626550"/>
      <w:r>
        <w:t>modificări semnificative, cum ar fi reduceri ale susţinerii financiare din partea unei societăţi-mamă sau a altei entități afiliate sau o modificare semnificativă, reală sau preconizată, a nivelului de ameliorare a condiţiilor de credit, care se preconizează că vor reduce stimulentul economic al debitorului de a efectua plăţile contractuale planificate. Ameliorările condiţiilor de credit sau susţinerea includ analizarea condiţiei financiare a garantului şi/sau pentru interese în securizări, indiferent dacă se preconizează că interesele subordonate vor fi capabile să absoarbă pierderile din creditare preconizate (de exemplu, pentru împrumuturile pe care se bazează garanţia).</w:t>
      </w:r>
      <w:bookmarkEnd w:id="805"/>
    </w:p>
    <w:p w:rsidR="00AC292A" w:rsidRDefault="00AC292A">
      <w:pPr>
        <w:pStyle w:val="IASBNormalnparaL1"/>
      </w:pPr>
      <w:r>
        <w:t>(m)</w:t>
      </w:r>
      <w:r>
        <w:tab/>
      </w:r>
      <w:bookmarkStart w:id="806" w:name="F32626552"/>
      <w:r>
        <w:t>modificări preconizate în documentaţia împrumutului, inclusiv o încălcare preconizată a contractului ce poate conduce la abateri de la acord sau amendamente la acord, perioadă de grație pentru plata dobânzii, creşteri ale ratei dobânzii, care impun garanţii sau garanţii reale suplimentare, sau alte modificări ale cadrului general contractual al instrumentului.</w:t>
      </w:r>
      <w:bookmarkEnd w:id="806"/>
    </w:p>
    <w:p w:rsidR="00AC292A" w:rsidRDefault="00AC292A">
      <w:pPr>
        <w:pStyle w:val="IASBNormalnparaL1"/>
      </w:pPr>
      <w:r>
        <w:t>(n)</w:t>
      </w:r>
      <w:r>
        <w:tab/>
      </w:r>
      <w:bookmarkStart w:id="807" w:name="F32626554"/>
      <w:r>
        <w:t>modificări semnificative ale performanţei şi comportamentului preconizate ale debitorului, inclusiv modificări ale stadiului plăţilor debitorilor din grup (de exemplu, o creştere a numărului sau amplorii preconizate a plăţilor contractuale amânate sau creşteri semnificative ale numărului preconizat de debitori de carduri de credit despre care se preconizează că îşi vor atinge sau depăşi limita de credit sau se preconizează că vor plăti valoarea lunară minimă).</w:t>
      </w:r>
      <w:bookmarkEnd w:id="807"/>
    </w:p>
    <w:p w:rsidR="00AC292A" w:rsidRDefault="00AC292A">
      <w:pPr>
        <w:pStyle w:val="IASBNormalnparaL1"/>
      </w:pPr>
      <w:r>
        <w:t>(o)</w:t>
      </w:r>
      <w:r>
        <w:tab/>
      </w:r>
      <w:bookmarkStart w:id="808" w:name="F32626556"/>
      <w:r>
        <w:t>schimbări în metoda conducerii entităţii de gestionare a creditului cu privire la instrumentul financiar; adică, pe baza indicatorilor emergenţi ai schimbărilor riscului de credit al instrumentului financiar, se preconizează că practica entității de gestionare a riscului de credit va deveni mai activă sau mai axată pe gestionarea instrumentului, instrumentul fiind, de asemenea, monitorizat sau controlat mai îndeaproape sau entitatea intervenind, în mod punctual, pe lângă debitor.</w:t>
      </w:r>
      <w:bookmarkEnd w:id="808"/>
    </w:p>
    <w:p w:rsidR="00AC292A" w:rsidRDefault="00AC292A">
      <w:pPr>
        <w:pStyle w:val="IASBNormalnparaL1"/>
      </w:pPr>
      <w:r>
        <w:t>(p)</w:t>
      </w:r>
      <w:r>
        <w:tab/>
      </w:r>
      <w:bookmarkStart w:id="809" w:name="F32626558"/>
      <w:r>
        <w:t>informaţii privind depășirea scadenței, inclusiv prezumţia relativă prezentată la punctul 5.5.11.</w:t>
      </w:r>
      <w:bookmarkEnd w:id="809"/>
    </w:p>
    <w:p w:rsidR="00AC292A" w:rsidRDefault="00AC292A">
      <w:pPr>
        <w:pStyle w:val="IASBNormalnpara"/>
      </w:pPr>
      <w:r>
        <w:t>B5.5.18</w:t>
      </w:r>
      <w:r>
        <w:tab/>
      </w:r>
      <w:bookmarkStart w:id="810" w:name="F32626559"/>
      <w:r>
        <w:t xml:space="preserve">În unele cazuri, informaţiile calitative şi cantitative nestatistice disponibile pot fi suficiente pentru a stabili că un instrument financiar a îndeplinit criteriul pentru recunoaşterea unei ajustări pentru pierderi la o valoare egală cu pierderile din creditare preconizate pe toată durata de viață. Aceasta înseamnă că nu este necesar ca informaţiile să treacă printr-un model statistic sau un proces de rating de credit pentru a se stabili dacă a existat o creştere semnificativă a riscului de credit al instrumentului financiar. În alte cazuri, o entitate poate fi nevoită să analizeze alte informaţii, inclusiv informaţii din modelele sale statistice sau procesele sale de rating de credit. Alternativ, entitatea își poate baza evaluarea pe ambele tipuri de informaţii, adică pe factori calitativi care nu sunt surprinși în cadrul procesului intern de rating şi pe o categorie specifică de rating intern la data raportării, luând în considerare caracteristicile riscului de credit la recunoaşterea iniţială, dacă ambele tipuri de informații sunt relevante. </w:t>
      </w:r>
      <w:bookmarkEnd w:id="810"/>
    </w:p>
    <w:p w:rsidR="00AC292A" w:rsidRDefault="00AC292A">
      <w:pPr>
        <w:pStyle w:val="IASBSectionTitle4Ind"/>
      </w:pPr>
      <w:bookmarkStart w:id="811" w:name="F32626561"/>
      <w:r>
        <w:t>Prezumția relativă că termenul a fost depășit cu peste 30 de zile</w:t>
      </w:r>
      <w:bookmarkEnd w:id="811"/>
    </w:p>
    <w:p w:rsidR="00AC292A" w:rsidRDefault="00AC292A">
      <w:pPr>
        <w:pStyle w:val="IASBNormalnpara"/>
      </w:pPr>
      <w:r>
        <w:t>B5.5.19</w:t>
      </w:r>
      <w:r>
        <w:tab/>
      </w:r>
      <w:bookmarkStart w:id="812" w:name="F32626562"/>
      <w:r>
        <w:t>Prezumţia relativă de la punctul 5.5.11 nu este un indicator absolut că pierderile din creditare preconizate pe toată durata de viață trebuie recunoscute, dar se presupune că este cel mai recent moment la care trebuie recunoscute pierderile din creditare preconizate pe toată durata de viață chiar şi atunci când sunt utilizate informaţii cu caracter previzional (inclusiv factori macroeconomici la nivel de portofoliu).</w:t>
      </w:r>
      <w:bookmarkEnd w:id="812"/>
    </w:p>
    <w:p w:rsidR="00AC292A" w:rsidRDefault="00AC292A">
      <w:pPr>
        <w:pStyle w:val="IASBNormalnpara"/>
      </w:pPr>
      <w:r>
        <w:t>B5.5.20</w:t>
      </w:r>
      <w:r>
        <w:tab/>
      </w:r>
      <w:bookmarkStart w:id="813" w:name="F32626563"/>
      <w:r>
        <w:t>O entitate poate respinge această prezumţie. Totuşi, entitatea poate face acest lucru doar atunci când deține informaţii rezonabile şi justificabile care demonstrează că, și atunci când plăţile contractuale își depășesc scadența cu mai mult de 30 de zile, aceasta nu reprezintă o creştere semnificativă a riscului de credit al instrumentului financiar. De exemplu, atunci când neplata a fost o omisiune administrativă şi nu a fost cauzată de probleme financiare ale debitorului sau atunci când entitatea are acces la dovezi istorice care demonstrează că nu există o legătură între creşterile semnificative ale riscului apariţiei unei neîndepliniri a obligaţiilor şi activele financiare la care plăţile sunt restante de peste 30 de zile, însă dovezile respective identifică o astfel de legătură atunci când plăţile sunt restante de mai mult de 60 de zile.</w:t>
      </w:r>
      <w:bookmarkEnd w:id="813"/>
    </w:p>
    <w:p w:rsidR="00AC292A" w:rsidRDefault="00AC292A">
      <w:pPr>
        <w:pStyle w:val="IASBNormalnpara"/>
      </w:pPr>
      <w:r>
        <w:t>B5.5.21</w:t>
      </w:r>
      <w:r>
        <w:tab/>
      </w:r>
      <w:bookmarkStart w:id="814" w:name="F32626564"/>
      <w:r>
        <w:t>O entitate nu poate corela plasarea în timp a creşterilor semnificative ale riscului de credit și recunoaşterea pierderilor din creditare preconizate pe toată durata de viață cu momentul în care un activ financiar este considerat depreciat ca urmare a riscului de credit sau cu definiţia internă a neîndeplinirii obligaţiilor folosită de o entitate.</w:t>
      </w:r>
      <w:bookmarkEnd w:id="814"/>
    </w:p>
    <w:p w:rsidR="00AC292A" w:rsidRDefault="00AC292A">
      <w:pPr>
        <w:pStyle w:val="IASBSectionTitle4Ind"/>
      </w:pPr>
      <w:bookmarkStart w:id="815" w:name="F32626566"/>
      <w:r>
        <w:lastRenderedPageBreak/>
        <w:t>Instrumente financiare care prezintă un risc de credit scăzut la data raportării</w:t>
      </w:r>
      <w:bookmarkEnd w:id="815"/>
    </w:p>
    <w:p w:rsidR="00AC292A" w:rsidRDefault="00AC292A">
      <w:pPr>
        <w:pStyle w:val="IASBNormalnpara"/>
      </w:pPr>
      <w:r>
        <w:t>B5.5.22</w:t>
      </w:r>
      <w:r>
        <w:tab/>
      </w:r>
      <w:bookmarkStart w:id="816" w:name="F32626567"/>
      <w:r>
        <w:t>Riscul de credit pentru un instrument financiar este considerat scăzut în sensul punctului 5.5.10 dacă instrumentul financiar are un risc scăzut de neîndeplinire a obligaţiilor, debitorul are o capacitate mare de îndeplinire a obligaţiilor sale asociate fluxurilor de trezorerie contractuale pe termen apropiat, iar schimbările nefavorabile ale condiţiilor economice şi de afaceri pe termen lung pot, dar nu în mod necesar, reduce capacitatea debitorului de a-şi îndeplini obligaţiile asociate fluxurilor de trezorerie contractuale. Instrumentele financiare nu sunt considerate ca prezentând un risc de credit scăzut atunci când se consideră că au un risc redus de pierdere doar din cauza valorii garanţiei reale și nu se consideră că instrumentul financiar fără acea garanţie reală are un risc de credit scăzut. De asemenea, instrumentele financiare nu sunt considerate ca având un risc de credit scăzut doar pentru că au un risc mai mic de neîndeplinire a obligaţiilor decât celelalte instrumente financiare ale entităţii sau în comparație cu riscul de credit din jurisdicţia în care entitatea activează.</w:t>
      </w:r>
      <w:bookmarkEnd w:id="816"/>
    </w:p>
    <w:p w:rsidR="00AC292A" w:rsidRDefault="00AC292A">
      <w:pPr>
        <w:pStyle w:val="IASBNormalnpara"/>
      </w:pPr>
      <w:r>
        <w:t>B5.5.23</w:t>
      </w:r>
      <w:r>
        <w:tab/>
      </w:r>
      <w:bookmarkStart w:id="817" w:name="F32626568"/>
      <w:r>
        <w:t>Pentru a stabili dacă un instrument financiar are un risc de credit scăzut, o entitate poate folosi ratingurile de credit interne sau alte metodologii care sunt consecvente cu o definiţie la nivel global a riscului de credit şi care analizează riscurile şi tipul de instrumente financiare care sunt evaluate. Un rating extern al „categoriei recomandate investițiilor” este un exemplu de instrument financiar care poate fi considerat ca având un risc de credit scăzut. Totuşi, instrumentele financiare nu trebuie să treacă printr-un rating extern pentru a fi considerate ca fiind cu risc de credit scăzut. Totuşi, acestea trebuie considerate ca având un risc de credit scăzut din perspectiva participantului pe piaţă, luând în considerare toate termenele și condiţiile instrumentului financiar.</w:t>
      </w:r>
      <w:bookmarkEnd w:id="817"/>
    </w:p>
    <w:p w:rsidR="00AC292A" w:rsidRDefault="00AC292A">
      <w:pPr>
        <w:pStyle w:val="IASBNormalnpara"/>
      </w:pPr>
      <w:r>
        <w:t>B5.5.24</w:t>
      </w:r>
      <w:r>
        <w:tab/>
      </w:r>
      <w:bookmarkStart w:id="818" w:name="F32626569"/>
      <w:r>
        <w:t>Pierderile din creditare preconizate pe toată durata de viață nu sunt recunoscute pentru un instrument financiar doar pentru că se consideră că acesta a avut un risc de credit scăzut în perioadele de raportare anterioare şi pentru că nu se consideră că prezintă un risc de credit scăzut la data de raportare. Într-o astfel de situaţie, o entitate trebuie să stabilească dacă a existat o creştere semnificativă a riscului de credit de la recunoaşterea iniţială şi, prin urmare, dacă pierderile din creditare preconizate pe toată durata de viață trebuie recunoscute în conformitate cu punctul 5.5.3.</w:t>
      </w:r>
      <w:bookmarkEnd w:id="818"/>
    </w:p>
    <w:p w:rsidR="00AC292A" w:rsidRDefault="00AC292A">
      <w:pPr>
        <w:pStyle w:val="IASBSectionTitle3Ind"/>
      </w:pPr>
      <w:bookmarkStart w:id="819" w:name="F32626571"/>
      <w:r>
        <w:t>Modificări</w:t>
      </w:r>
      <w:bookmarkEnd w:id="819"/>
    </w:p>
    <w:p w:rsidR="00AC292A" w:rsidRDefault="00AC292A">
      <w:pPr>
        <w:pStyle w:val="IASBNormalnpara"/>
      </w:pPr>
      <w:r>
        <w:t>B5.5.25</w:t>
      </w:r>
      <w:r>
        <w:tab/>
      </w:r>
      <w:bookmarkStart w:id="820" w:name="F32626572"/>
      <w:r>
        <w:t>În unele circumstanţe, renegocierea sau modificarea fluxurilor de trezorerie contractuale ale unui activ financiar poate conduce la derecunoaşterea activului financiar existent în conformitate cu prezentul standard. Atunci când modificarea unui activ financiar are ca rezultat derecunoaşterea activului financiar existent şi recunoaşterea ulterioară a activului financiar modificat, activul modificat este considerat un activ financiar „nou” în sensul prezentului standard.</w:t>
      </w:r>
      <w:bookmarkEnd w:id="820"/>
    </w:p>
    <w:p w:rsidR="00AC292A" w:rsidRDefault="00AC292A">
      <w:pPr>
        <w:pStyle w:val="IASBNormalnpara"/>
      </w:pPr>
      <w:r>
        <w:t>B5.5.26</w:t>
      </w:r>
      <w:r>
        <w:tab/>
      </w:r>
      <w:bookmarkStart w:id="821" w:name="F32626573"/>
      <w:r>
        <w:t>Prin urmare, data modificării trebuie tratată ca fiind data recunoaşterii iniţiale a activului financiar atunci când se aplică dispoziţiile privind deprecierea în cazul activului financiar modificat. Acest lucru presupune, de obicei, evaluarea ajustării pentru pierderi la o valoare egală cu pierderile din creditare preconizate pe 12 luni până la momentul la care sunt îndeplinite dispoziţiile de recunoaştere a pierderilor din creditare preconizate pe toată durata de viață de la punctul 5.5.3. Totuşi, în unele circumstanţe neobişnuite ulterioare unei modificări ce are ca rezultat derecunoaşterea activului financiar iniţial, pot exista dovezi că activul financiar modificat este depreciat ca urmare a riscului de credit, la recunoaşterea iniţială şi, prin urmare, activul financiar trebuie recunoscut ca activ financiar emis depreciat ca urmare a riscului de credit. Acest lucru se poate întâmpla, de exemplu, într-o situaţie în care a avut loc o modificare substanţială a unui activ uzat, modificare ce a condus la derecunoaşterea activului financiar iniţial. În această situaţie, este posibil ca modificarea să aibă ca rezultat un nou activ financiar depreciat ca urmare a riscului de credit la recunoaşterea iniţială.</w:t>
      </w:r>
      <w:bookmarkEnd w:id="821"/>
    </w:p>
    <w:p w:rsidR="00AC292A" w:rsidRDefault="00AC292A">
      <w:pPr>
        <w:pStyle w:val="IASBNormalnpara"/>
      </w:pPr>
      <w:r>
        <w:t>B5.5.27</w:t>
      </w:r>
      <w:r>
        <w:tab/>
      </w:r>
      <w:bookmarkStart w:id="822" w:name="F32626574"/>
      <w:r>
        <w:t>Dacă fluxurile de trezorerie contractuale ale unui activ financiar au fost renegociate sau altfel modificate, dar activul financiar nu este derecunoscut, acel activ financiar nu este automat considerat ca având un risc de credit scăzut. O entitate trebuie să evalueze dacă a existat o creştere semnificativă a riscului de credit de la recunoaşterea iniţială pe baza tuturor informaţiilor rezonabile şi justificabile care sunt disponibile fără cost sau efort nejustificat. Acestea includ informații istorice și cu caracter previzional, precum și o evaluare a riscului de credit pe parcursul duratei de viață preconizate a activului financiar, care includ date despre circumstanţele care au determinat modificarea. Printre dovezile că nu mai sunt îndeplinite criteriile pentru recunoaşterea pierderilor din creditare preconizate pe toată durata de viață se poate număra un istoric al plăților efectuate la zi și la timp, raportat la clauzele contractuale modificate. De obicei, un client trebuie să demonstreze, în mod consecvent, un istoric bun al plăţilor pe parcursul unei perioade de timp înainte de a se considera că riscul de credit a scăzut. De exemplu, un istoric de plăți omise sau incomplete nu va fi, de obicei, şters prin simpla efectuare la timp a unei singure plăţi ulterior unei modificări a clauzelor contractuale.</w:t>
      </w:r>
      <w:bookmarkEnd w:id="822"/>
    </w:p>
    <w:p w:rsidR="00AC292A" w:rsidRDefault="00AC292A">
      <w:pPr>
        <w:pStyle w:val="IASBSectionTitle2Ind"/>
      </w:pPr>
      <w:bookmarkStart w:id="823" w:name="F32626576"/>
      <w:r>
        <w:lastRenderedPageBreak/>
        <w:t>Evaluarea pierderilor din creditare preconizate</w:t>
      </w:r>
      <w:bookmarkEnd w:id="823"/>
    </w:p>
    <w:p w:rsidR="00AC292A" w:rsidRDefault="00AC292A">
      <w:pPr>
        <w:pStyle w:val="IASBSectionTitle3Ind"/>
      </w:pPr>
      <w:bookmarkStart w:id="824" w:name="F32626578"/>
      <w:r>
        <w:t>Pierderi din creditare preconizate</w:t>
      </w:r>
      <w:bookmarkEnd w:id="824"/>
    </w:p>
    <w:p w:rsidR="00AC292A" w:rsidRDefault="00AC292A">
      <w:pPr>
        <w:pStyle w:val="IASBNormalnpara"/>
      </w:pPr>
      <w:r>
        <w:t>B5.5.28</w:t>
      </w:r>
      <w:r>
        <w:tab/>
      </w:r>
      <w:bookmarkStart w:id="825" w:name="F32626579"/>
      <w:r>
        <w:t>Pierderile din creditare preconizate sunt o estimare a pierderilor din creditare ponderată prin probabilități (adică valoarea actualizată a tuturor diferenţelor de numerar) pe parcursul duratei de viață preconizate a instrumentului financiar. O diferenţă de numerar este diferenţa dintre fluxurile de trezorerie care sunt datorate unei entităţi în conformitate cu contractul şi fluxurile de trezorerie pe care entitatea preconizează să le primească. Deoarece pierderile din creditare preconizate iau în considerare valoarea şi plasarea în timp a plăţilor, o pierdere din creditare apare chiar dacă entitatea preconizează că va fi plătită în totalitate, însă mai târziu decât scadenţa contractuală.</w:t>
      </w:r>
      <w:bookmarkEnd w:id="825"/>
    </w:p>
    <w:p w:rsidR="00AC292A" w:rsidRDefault="00AC292A">
      <w:pPr>
        <w:pStyle w:val="IASBNormalnpara"/>
      </w:pPr>
      <w:r>
        <w:t>B5.5.29</w:t>
      </w:r>
      <w:r>
        <w:tab/>
      </w:r>
      <w:bookmarkStart w:id="826" w:name="F32626580"/>
      <w:r>
        <w:t>Pentru activele financiare, o pierdere din creditare reprezintă valoarea actualizată a diferenţei dintre:</w:t>
      </w:r>
      <w:bookmarkEnd w:id="826"/>
    </w:p>
    <w:p w:rsidR="00AC292A" w:rsidRDefault="00AC292A">
      <w:pPr>
        <w:pStyle w:val="IASBNormalnparaL1"/>
      </w:pPr>
      <w:r>
        <w:t>(a)</w:t>
      </w:r>
      <w:r>
        <w:tab/>
      </w:r>
      <w:bookmarkStart w:id="827" w:name="F32626583"/>
      <w:r>
        <w:t>fluxurile de trezorerie contractuale care sunt datorate unei entităţi conform contractului; și</w:t>
      </w:r>
      <w:bookmarkEnd w:id="827"/>
    </w:p>
    <w:p w:rsidR="00AC292A" w:rsidRDefault="00AC292A">
      <w:pPr>
        <w:pStyle w:val="IASBNormalnparaL1"/>
      </w:pPr>
      <w:r>
        <w:t>(b)</w:t>
      </w:r>
      <w:r>
        <w:tab/>
      </w:r>
      <w:bookmarkStart w:id="828" w:name="F32626587"/>
      <w:r>
        <w:t>fluxurile de trezorerie pe care entitatea preconizează că le va primi.</w:t>
      </w:r>
      <w:bookmarkEnd w:id="828"/>
    </w:p>
    <w:p w:rsidR="00AC292A" w:rsidRDefault="00AC292A">
      <w:pPr>
        <w:pStyle w:val="IASBNormalnpara"/>
      </w:pPr>
      <w:r>
        <w:t>B5.5.30</w:t>
      </w:r>
      <w:r>
        <w:tab/>
      </w:r>
      <w:bookmarkStart w:id="829" w:name="F32626588"/>
      <w:r>
        <w:t>Pentru angajamentele de împrumut neaccesate, o pierdere din creditare reprezintă valoarea actualizată a diferenţei dintre:</w:t>
      </w:r>
      <w:bookmarkEnd w:id="829"/>
    </w:p>
    <w:p w:rsidR="00AC292A" w:rsidRDefault="00AC292A">
      <w:pPr>
        <w:pStyle w:val="IASBNormalnparaL1"/>
      </w:pPr>
      <w:r>
        <w:t>(a)</w:t>
      </w:r>
      <w:r>
        <w:tab/>
      </w:r>
      <w:bookmarkStart w:id="830" w:name="F32626591"/>
      <w:r>
        <w:t>fluxurile de trezorerie contractuale care sunt datorate unei entităţi dacă deţinătorul angajamentului de creditare utilizează împrumutul; și</w:t>
      </w:r>
      <w:bookmarkEnd w:id="830"/>
    </w:p>
    <w:p w:rsidR="00AC292A" w:rsidRDefault="00AC292A">
      <w:pPr>
        <w:pStyle w:val="IASBNormalnparaL1"/>
      </w:pPr>
      <w:r>
        <w:t>(b)</w:t>
      </w:r>
      <w:r>
        <w:tab/>
      </w:r>
      <w:bookmarkStart w:id="831" w:name="F32626593"/>
      <w:r>
        <w:t>fluxurile de trezorerie pe care entitatea preconizează că le va primi dacă împrumutul este utilizat.</w:t>
      </w:r>
      <w:bookmarkEnd w:id="831"/>
    </w:p>
    <w:p w:rsidR="00AC292A" w:rsidRDefault="00AC292A">
      <w:pPr>
        <w:pStyle w:val="IASBNormalnpara"/>
      </w:pPr>
      <w:r>
        <w:t>B5.5.31</w:t>
      </w:r>
      <w:r>
        <w:tab/>
      </w:r>
      <w:bookmarkStart w:id="832" w:name="F32626594"/>
      <w:r>
        <w:t>Estimarea unei entităţi cu privire la pierderile din creditare preconizate asociate angajamentelor de creditare trebuie să fie consecventă cu estimările entității cu privire la deteriorarea respectivului angajament de creditare, adică trebuie să ia în considerare procentul preconizat din angajamentul de creditare ce va fi utilizat în 12 luni de la data raportării, atunci când se estimează pierderile din creditare preconizate pe 12 luni, precum şi partea din angajamentul de creditare ce va fi utilizată pe parcursul duratei de viață preconizate a angajamentului de creditare, atunci când se estimează pierderile din creditare preconizate pe toată durata de viață.</w:t>
      </w:r>
      <w:bookmarkEnd w:id="832"/>
    </w:p>
    <w:p w:rsidR="00AC292A" w:rsidRDefault="00AC292A">
      <w:pPr>
        <w:pStyle w:val="IASBNormalnpara"/>
      </w:pPr>
      <w:r>
        <w:t>B5.5.32</w:t>
      </w:r>
      <w:r>
        <w:tab/>
      </w:r>
      <w:bookmarkStart w:id="833" w:name="F32626595"/>
      <w:r>
        <w:t>Pentru un contract de garanţie financiară, entităţii i se impune să efectueze plăţi doar în cazul neîndeplinirii obligaţiilor de către debitor în conformitate cu termenele instrumentului garantat. În consecinţă, diferenţele de numerar sunt plăţile preconizate pentru a despăgubi deţinătorul pentru o pierdere din creditare minus orice sumă pe care entitatea preconizează că o va primi de la deţinător, debitor sau de la orice altă parte. Dacă activul este garantat în întregime, estimarea diferenţelor de numerar pentru un contract de garanţie financiară va fi consecventă cu estimările diferenţelor de numerar pentru activul care face obiectul garantării.</w:t>
      </w:r>
      <w:bookmarkEnd w:id="833"/>
    </w:p>
    <w:p w:rsidR="00AC292A" w:rsidRDefault="00AC292A">
      <w:pPr>
        <w:pStyle w:val="IASBNormalnpara"/>
      </w:pPr>
      <w:r>
        <w:t>B5.5.33</w:t>
      </w:r>
      <w:r>
        <w:tab/>
      </w:r>
      <w:bookmarkStart w:id="834" w:name="F32626596"/>
      <w:r>
        <w:t>Pentru un activ financiar care este depreciat ca urmare a riscului de credit la data raportării, dar nu este un activ financiar cumpărat sau emis depreciat ca urmare a riscului de credit, o entitate trebuie să evalueze pierderile din creditare preconizate ca fiind diferenţa dintre valoarea contabilă brută a activului şi valoarea actualizată a fluxurilor de trezorerie viitoare preconizate reduse la rata dobânzii efective iniţiale a activului financiar. Orice ajustare este recunoscută în profit sau pierdere drept un câștig sau o pierdere din depreciere.</w:t>
      </w:r>
      <w:bookmarkEnd w:id="834"/>
    </w:p>
    <w:p w:rsidR="00AC292A" w:rsidRDefault="00AC292A">
      <w:pPr>
        <w:pStyle w:val="IASBNormalnpara"/>
      </w:pPr>
      <w:r>
        <w:t>B5.5.34</w:t>
      </w:r>
      <w:r>
        <w:tab/>
      </w:r>
      <w:bookmarkStart w:id="835" w:name="F46437976"/>
      <w:r>
        <w:t xml:space="preserve">La evaluarea unei ajustări pentru pierderi pentru o creanţă care decurge din contracte de leasing, fluxurile de trezorerie utilizate pentru a determina pierderile din creditare preconizate trebuie să fie consecvente cu fluxurile de trezorerie utilizate la evaluarea creanţei care decurge din contracte de leasing în conformitate cu IFRS 16 </w:t>
      </w:r>
      <w:r>
        <w:rPr>
          <w:i/>
        </w:rPr>
        <w:t>Contracte de leasing</w:t>
      </w:r>
      <w:r>
        <w:t>.</w:t>
      </w:r>
      <w:bookmarkEnd w:id="835"/>
    </w:p>
    <w:p w:rsidR="00AC292A" w:rsidRDefault="00AC292A">
      <w:pPr>
        <w:pStyle w:val="IASBNormalnpara"/>
      </w:pPr>
      <w:r>
        <w:t>B5.5.35</w:t>
      </w:r>
      <w:r>
        <w:tab/>
      </w:r>
      <w:bookmarkStart w:id="836" w:name="F32626599"/>
      <w:r>
        <w:t xml:space="preserve">O entitate poate utiliza soluţii practice la evaluarea pierderilor din creditare preconizate dacă acestea sunt consecvente cu principiile de la punctul 5.5.17. Un exemplu de soluţie practică este calculul pierderilor din creditare preconizate pentru creanţele comerciale bazat pe matricea de provizion. Entitatea își va utiliza experienţa legată de pierderile istorice din creditare (ajustate, în mod corespunzător, în conformitate cu punctele B5.5.51-B5.5.52) pentru creanţe comerciale atunci când estimează pierderile din creditare preconizate pe 12 luni sau pierderile din creditare preconizate pe toată durata de viață în cazul activelor financiare, dacă sunt relevante. O matrice a provizioanelor poate, de exemplu, să specifice rate fixe ale provizionului în funcţie de numărul de zile peste care o creanţă comercială își depășește scadența (de exemplu, 1% dacă nu este restantă, 2% dacă este restantă de mai puţin de 30 zile, 3% dacă este restantă de mai mult de 30 zile, dar mai puțin de 90 zile, 20% dacă este restantă de 90-180 de zile etc.). În funcţie de diversitatea bazei sale de clienţi, entitatea va utiliza grupuri adecvate dacă experienţa sa legată de pierderile istorice din creditare arată tipare de pierderi semnificativ diferite pentru segmente diferite de clienţi. Printre criteriile care pot fi utilizate pentru gruparea activelor se numără regiunea geografică, tipul produsului, </w:t>
      </w:r>
      <w:r>
        <w:lastRenderedPageBreak/>
        <w:t xml:space="preserve">ratingul clientului, garanţia reală sau asigurarea creditului comercial şi tipul clientului (din comerţul angro sau cu amănuntul, de exemplu). </w:t>
      </w:r>
      <w:bookmarkEnd w:id="836"/>
    </w:p>
    <w:p w:rsidR="00AC292A" w:rsidRDefault="00AC292A">
      <w:pPr>
        <w:pStyle w:val="IASBSectionTitle3Ind"/>
      </w:pPr>
      <w:bookmarkStart w:id="837" w:name="F32626601"/>
      <w:r>
        <w:t>Definiţia neîndeplinirii obligaţiilor</w:t>
      </w:r>
      <w:bookmarkEnd w:id="837"/>
    </w:p>
    <w:p w:rsidR="00AC292A" w:rsidRDefault="00AC292A">
      <w:pPr>
        <w:pStyle w:val="IASBNormalnpara"/>
      </w:pPr>
      <w:r>
        <w:t>B5.5.36</w:t>
      </w:r>
      <w:r>
        <w:tab/>
      </w:r>
      <w:bookmarkStart w:id="838" w:name="F32626602"/>
      <w:r>
        <w:t>Punctul 5.5.9 prevede că atunci când o entitate stabileşte dacă riscul de credit pentru un instrument financiar a crescut semnificativ, aceasta trebuie să ia în considerare modificarea riscului apariţiei unei neîndepliniri a obligaţiilor de la recunoaşterea iniţială.</w:t>
      </w:r>
      <w:bookmarkEnd w:id="838"/>
    </w:p>
    <w:p w:rsidR="00AC292A" w:rsidRDefault="00AC292A">
      <w:pPr>
        <w:pStyle w:val="IASBNormalnpara"/>
      </w:pPr>
      <w:r>
        <w:t>B5.5.37</w:t>
      </w:r>
      <w:r>
        <w:tab/>
      </w:r>
      <w:bookmarkStart w:id="839" w:name="F32626603"/>
      <w:r>
        <w:t>Atunci când o entitate defineşte neîndeplinirea obligaţiilor în scopul stabilirii riscului apariţiei unei neîndepliniri a obligaţiilor, entitatea trebuie să aplice o definiţie a neîndeplinirii obligaţiilor care să fie consecventă cu definiţia folosită în scopul gestionării interne a riscului de credit pentru instrumentul financiar relevant şi să analizeze indicatori calitativi (acorduri financiare, de exemplu), dacă este cazul. Totuşi, există o prezumţie relativă că neîndeplinirea obligaţiilor nu apare mai târziu de 90 de zile de la momentul la care activul financiar își depășește scadența, cu excepția cazului în care entitatea deține informaţii rezonabile şi justificabile pentru a demonstra că este mai adecvat un criteriu mai permisiv privind neîndeplinirea obligaţiilor. Definiţia neîndeplinirii obligaţiilor utilizată în aceste scopuri trebuie aplicată consecvent tuturor instrumentelor financiare, exceptând cazul în care apar informaţii care demonstrează că o altă definiţie a neîndeplinirii obligaţiilor este mai adecvată pentru un anumit instrument financiar.</w:t>
      </w:r>
      <w:bookmarkEnd w:id="839"/>
    </w:p>
    <w:p w:rsidR="00AC292A" w:rsidRDefault="00AC292A">
      <w:pPr>
        <w:pStyle w:val="IASBSectionTitle3Ind"/>
      </w:pPr>
      <w:bookmarkStart w:id="840" w:name="F32626605"/>
      <w:r>
        <w:t>Perioada în care trebuie estimate pierderile din creditare preconizate</w:t>
      </w:r>
      <w:bookmarkEnd w:id="840"/>
    </w:p>
    <w:p w:rsidR="00AC292A" w:rsidRDefault="00AC292A">
      <w:pPr>
        <w:pStyle w:val="IASBNormalnpara"/>
      </w:pPr>
      <w:r>
        <w:t>B5.5.38</w:t>
      </w:r>
      <w:r>
        <w:tab/>
      </w:r>
      <w:bookmarkStart w:id="841" w:name="F32626606"/>
      <w:r>
        <w:t>În conformitate cu punctul 5.5.19, perioada maximă pe parcursul căreia vor fi evaluate pierderile din creditare preconizate este perioada contractuală maximă pe parcursul căreia entitatea este expusă la riscul de credit. Pentru angajamentele de creditare şi contractele de garanţie financiară, aceasta este perioada contractuală maximă pe parcursul căreia entitatea are o obligaţie contractuală prezentă de acordare a creditului.</w:t>
      </w:r>
      <w:bookmarkEnd w:id="841"/>
    </w:p>
    <w:p w:rsidR="00AC292A" w:rsidRDefault="00AC292A">
      <w:pPr>
        <w:pStyle w:val="IASBNormalnpara"/>
      </w:pPr>
      <w:r>
        <w:t>B5.5.39</w:t>
      </w:r>
      <w:r>
        <w:tab/>
      </w:r>
      <w:bookmarkStart w:id="842" w:name="F32626607"/>
      <w:r>
        <w:t>Cu toate acestea, în conformitate cu punctul 5.5.20, unele instrumente financiare includ atât o componentă de împrumut, cât şi una de angajament neaccesată, iar capacitatea contractuală a entităţii de a cere rambursarea şi anularea angajamentului neaccesat nu limitează expunerea entităţii la pierderile din creditare doar la perioada de notificare contractuală. De exemplu, facilităţile de credit rotativ, cum ar fi cardurile de credit şi facilităţile de descoperire, pot fi retrase de către creditor, conform contractului, și doar cu un aviz de o zi. Totuşi, în practică creditorii continuă să acorde creditele pentru o perioadă mai mare şi pot retrage facilitatea doar după ce riscul de credit al debitorului creşte, când ar putea fi prea târziu pentru a preveni o parte din sau toate pierderile din creditare preconizate. Aceste instrumente financiare au, în general, următoarele caracteristici ca urmare a naturii instrumentului financiar, a modului în care sunt gestionate instrumentele financiare şi a naturii informaţiei disponibile cu privire la creşterile semnificative ale riscului de credit:</w:t>
      </w:r>
      <w:bookmarkEnd w:id="842"/>
    </w:p>
    <w:p w:rsidR="00AC292A" w:rsidRDefault="00AC292A">
      <w:pPr>
        <w:pStyle w:val="IASBNormalnparaL1"/>
      </w:pPr>
      <w:r>
        <w:t>(a)</w:t>
      </w:r>
      <w:r>
        <w:tab/>
      </w:r>
      <w:bookmarkStart w:id="843" w:name="F32626610"/>
      <w:r>
        <w:t>instrumentele financiare nu au un termen fix sau o structură de rambursare fixă şi, de obicei, au o perioadă contractuală scurtă pentru anulare (de exemplu, o zi);</w:t>
      </w:r>
      <w:bookmarkEnd w:id="843"/>
    </w:p>
    <w:p w:rsidR="00AC292A" w:rsidRDefault="00AC292A">
      <w:pPr>
        <w:pStyle w:val="IASBNormalnparaL1"/>
      </w:pPr>
      <w:r>
        <w:t>(b)</w:t>
      </w:r>
      <w:r>
        <w:tab/>
      </w:r>
      <w:bookmarkStart w:id="844" w:name="F32626612"/>
      <w:r>
        <w:t>capacitatea contractuală de a anula contractul nu este aplicată în administrarea curentă, de zi cu zi, a instrumentului financiar, iar contractul poate fi anulat doar atunci când entitatea devine conştientă de creşterea riscului de credit la nivelul facilităţii; și</w:t>
      </w:r>
      <w:bookmarkEnd w:id="844"/>
    </w:p>
    <w:p w:rsidR="00AC292A" w:rsidRDefault="00AC292A">
      <w:pPr>
        <w:pStyle w:val="IASBNormalnparaL1"/>
      </w:pPr>
      <w:r>
        <w:t>(c)</w:t>
      </w:r>
      <w:r>
        <w:tab/>
      </w:r>
      <w:bookmarkStart w:id="845" w:name="F32626614"/>
      <w:r>
        <w:t>activele financiare sunt gestionate pe o bază colectivă.</w:t>
      </w:r>
      <w:bookmarkEnd w:id="845"/>
    </w:p>
    <w:p w:rsidR="00AC292A" w:rsidRDefault="00AC292A">
      <w:pPr>
        <w:pStyle w:val="IASBNormalnpara"/>
      </w:pPr>
      <w:r>
        <w:t>B5.5.40</w:t>
      </w:r>
      <w:r>
        <w:tab/>
      </w:r>
      <w:bookmarkStart w:id="846" w:name="F32626615"/>
      <w:r>
        <w:t xml:space="preserve">La stabilirea perioadei pe parcursul căreia se preconizează că entitatea va fi expusă riscului de credit, dar pentru care pierderile din creditare preconizate nu vor fi reduse prin acţiunile normale de gestionare a riscului de credit ale entităţii, o entitate trebuie să ia în considerare factori cum ar fi informaţiile istorice şi experienţa cu privire la: </w:t>
      </w:r>
      <w:bookmarkEnd w:id="846"/>
    </w:p>
    <w:p w:rsidR="00AC292A" w:rsidRDefault="00AC292A">
      <w:pPr>
        <w:pStyle w:val="IASBNormalnparaL1"/>
      </w:pPr>
      <w:r>
        <w:t>(a)</w:t>
      </w:r>
      <w:r>
        <w:tab/>
      </w:r>
      <w:bookmarkStart w:id="847" w:name="F32626618"/>
      <w:r>
        <w:t>perioada pe parcursul căreia entitatea a fost expusă la riscul de credit pentru instrumente financiare similare;</w:t>
      </w:r>
      <w:bookmarkEnd w:id="847"/>
    </w:p>
    <w:p w:rsidR="00AC292A" w:rsidRDefault="00AC292A">
      <w:pPr>
        <w:pStyle w:val="IASBNormalnparaL1"/>
      </w:pPr>
      <w:r>
        <w:t>(b)</w:t>
      </w:r>
      <w:r>
        <w:tab/>
      </w:r>
      <w:bookmarkStart w:id="848" w:name="F32626620"/>
      <w:r>
        <w:t>durata de timp pentru cazurile conexe de neîndeplinire a obligațiilor care au loc în cazul unor instrumente financiare similare ca urmare a unei creşteri semnificative a riscului de credit; și</w:t>
      </w:r>
      <w:bookmarkEnd w:id="848"/>
    </w:p>
    <w:p w:rsidR="00AC292A" w:rsidRDefault="00AC292A">
      <w:pPr>
        <w:pStyle w:val="IASBNormalnparaL1"/>
      </w:pPr>
      <w:r>
        <w:t>(c)</w:t>
      </w:r>
      <w:r>
        <w:tab/>
      </w:r>
      <w:bookmarkStart w:id="849" w:name="F32626622"/>
      <w:r>
        <w:t>acţiunile de gestionare a riscului de credit pe care o entitate preconizează că le va întreprinde odată ce a crescut riscul de credit pentru instrumentul financiar, cum ar fi reducerea sau revocarea descoperirilor neaccesate.</w:t>
      </w:r>
      <w:bookmarkEnd w:id="849"/>
    </w:p>
    <w:p w:rsidR="00AC292A" w:rsidRDefault="00AC292A">
      <w:pPr>
        <w:pStyle w:val="IASBSectionTitle3Ind"/>
      </w:pPr>
      <w:bookmarkStart w:id="850" w:name="F32626624"/>
      <w:r>
        <w:lastRenderedPageBreak/>
        <w:t>Rezultat ponderat prin probabilități</w:t>
      </w:r>
      <w:bookmarkEnd w:id="850"/>
    </w:p>
    <w:p w:rsidR="00AC292A" w:rsidRDefault="00AC292A">
      <w:pPr>
        <w:pStyle w:val="IASBNormalnpara"/>
      </w:pPr>
      <w:r>
        <w:t>B5.5.41</w:t>
      </w:r>
      <w:r>
        <w:tab/>
      </w:r>
      <w:bookmarkStart w:id="851" w:name="F32626625"/>
      <w:r>
        <w:t>Scopul evaluării pierderilor din creditare preconizate nu este nici de a preconiza scenarii pesimiste, nici de a estima scenarii optimiste. În schimb, o estimare a pierderilor din creditare preconizate va reflecta întotdeauna posibilitatea ca o pierdere din creditare să apară şi posibilitatea să nu apară nicio pierdere din creditare, chiar dacă rezultatul cel mai probabil este să nu aibă loc nicio pierdere din creditare.</w:t>
      </w:r>
      <w:bookmarkEnd w:id="851"/>
    </w:p>
    <w:p w:rsidR="00AC292A" w:rsidRDefault="00AC292A">
      <w:pPr>
        <w:pStyle w:val="IASBNormalnpara"/>
      </w:pPr>
      <w:r>
        <w:t>B5.5.42</w:t>
      </w:r>
      <w:r>
        <w:tab/>
      </w:r>
      <w:bookmarkStart w:id="852" w:name="F32626626"/>
      <w:r>
        <w:t>Punctul 5.5.17 litera (a) impune ca estimarea pierderilor preconizate din creditare să reflecte o valoare imparţială și ponderată prin probabilități, care este determinată prin evaluarea unei game de rezultate posibile. În practică, aceasta nu trebuie să fie o analiză complexă. În unele cazuri, poate fi suficientă o modelare relativ simplă, fără a fi nevoie de numeroase  simulări detaliate de scenarii. De exemplu, media pierderilor din creditare la un grup mare de instrumente financiare cu caracteristici de risc comun poate reprezenta o estimare rezonabilă a valorii ponderate prin probabilități. În alte situaţii, identificarea scenariilor care precizează valoarea şi plasarea în timp a fluxurilor de trezorerie pentru anumite rezultate şi probabilitatea estimată a acelor rezultate vor fi probabil necesare. În acele situaţii, pierderile din creditare preconizate trebuie să reflecte cel puţin două rezultate în conformitate cu punctul 5.5.18.</w:t>
      </w:r>
      <w:bookmarkEnd w:id="852"/>
    </w:p>
    <w:p w:rsidR="00AC292A" w:rsidRDefault="00AC292A">
      <w:pPr>
        <w:pStyle w:val="IASBNormalnpara"/>
      </w:pPr>
      <w:r>
        <w:t>B5.5.43</w:t>
      </w:r>
      <w:r>
        <w:tab/>
      </w:r>
      <w:bookmarkStart w:id="853" w:name="F32626627"/>
      <w:r>
        <w:t>Pentru pierderile din creditare preconizate pe toată durata de viață, o entitate trebuie să estimeze riscul apariţiei unei neîndepliniri a obligaţiilor pentru un instrument financiar pe parcursul duratei de viață preconizate a acestuia. Pierderile din creditare preconizate pe 12 luni sunt o parte a pierderilor din creditare preconizate pe toată durata de viață şi reprezintă diferenţele de numerar pe toată durata de viață care apar ca urmare a apariţiei unei nerespectări a obligaţiilor în 12 luni de la data de raportare (sau într-o perioadă mai scurtă, dacă durata de viață preconizată a instrumentului financiar este mai mică de 12 luni), ponderată cu probabilitatea apariţiei neîndeplinirii obligaţiilor. Prin urmare, pierderile din creditare preconizate pe 12 luni nu sunt nici pierderi din creditare preconizate pe toată durata de viață pe care entitatea le va angaja pentru un instrument financiar despre care estimează că nu va îndeplini obligaţiile în următoarele 12 luni, nici diferenţele de numerar care sunt preconizate în următoarele 12 luni.</w:t>
      </w:r>
      <w:bookmarkEnd w:id="853"/>
    </w:p>
    <w:p w:rsidR="00AC292A" w:rsidRDefault="00AC292A">
      <w:pPr>
        <w:pStyle w:val="IASBSectionTitle3Ind"/>
      </w:pPr>
      <w:bookmarkStart w:id="854" w:name="F32626629"/>
      <w:r>
        <w:t>Valoarea-timp a banilor</w:t>
      </w:r>
      <w:bookmarkEnd w:id="854"/>
    </w:p>
    <w:p w:rsidR="00AC292A" w:rsidRDefault="00AC292A">
      <w:pPr>
        <w:pStyle w:val="IASBNormalnpara"/>
      </w:pPr>
      <w:r>
        <w:t>B5.5.44</w:t>
      </w:r>
      <w:r>
        <w:tab/>
      </w:r>
      <w:bookmarkStart w:id="855" w:name="F32626630"/>
      <w:r>
        <w:t>Pierderile din creditare preconizate trebuie actualizate la data de raportare, nu la data preconizată a neîndeplinirii obligaţiilor sau la o altă dată, utilizând rata dobânzii efective stabilită la recunoaşterea iniţială sau o aproximare a acesteia. Dacă un instrument financiar are o rată variabilă a dobânzii, pierderile din creditare preconizate trebuie actualizate utilizând rata dobânzii efective curentă, stabilită în conformitate cu punctul B5.4.5.</w:t>
      </w:r>
      <w:bookmarkEnd w:id="855"/>
    </w:p>
    <w:p w:rsidR="00AC292A" w:rsidRDefault="00AC292A">
      <w:pPr>
        <w:pStyle w:val="IASBNormalnpara"/>
      </w:pPr>
      <w:r>
        <w:t>B5.5.45</w:t>
      </w:r>
      <w:r>
        <w:tab/>
      </w:r>
      <w:bookmarkStart w:id="856" w:name="F32626631"/>
      <w:r>
        <w:t>Pentru activele financiare achiziționate sau emise depreciate ca urmare a riscului de credit, pierderile din creditare preconizate trebuie actualizate utilizând rata dobânzii efective ajustată în funcţie de credit stabilită la recunoaşterea iniţială.</w:t>
      </w:r>
      <w:bookmarkEnd w:id="856"/>
    </w:p>
    <w:p w:rsidR="00AC292A" w:rsidRDefault="00AC292A">
      <w:pPr>
        <w:pStyle w:val="IASBNormalnpara"/>
      </w:pPr>
      <w:r>
        <w:t>B5.5.46</w:t>
      </w:r>
      <w:r>
        <w:tab/>
      </w:r>
      <w:bookmarkStart w:id="857" w:name="F46438001"/>
      <w:r>
        <w:t>Pierderile din creditare preconizate pentru creanţe care decurg din contracte de leasing trebuie actualizate utilizând aceeaşi rată de actualizare folosită la evaluarea creanţei care decurge din contracte de leasing în conformitate cu IFRS 16.</w:t>
      </w:r>
      <w:bookmarkEnd w:id="857"/>
    </w:p>
    <w:p w:rsidR="00AC292A" w:rsidRDefault="00AC292A">
      <w:pPr>
        <w:pStyle w:val="IASBNormalnpara"/>
      </w:pPr>
      <w:r>
        <w:t>B5.5.47</w:t>
      </w:r>
      <w:r>
        <w:tab/>
      </w:r>
      <w:bookmarkStart w:id="858" w:name="F32626633"/>
      <w:r>
        <w:t>Pierderile din creditare preconizate pentru un angajament de creditare trebuie actualizate folosind rata dobânzii efective, sau o aproximare a acesteia, care va fi aplicată la recunoaşterea activului financiar rezultat din angajamentul de creditare. Aceasta deoarece, în sensul aplicării dispoziţiilor privind deprecierea, un activ financiar care este recunoscut ca urmare a unei accesări a unui angajament de creditare trebuie tratat ca o continuare a respectivului angajament, și nu ca un nou instrument financiar. Pierderile din creditare preconizate pentru activul financiar trebuie, aşadar, evaluate luând în considerare riscul de credit iniţial al angajamentului de creditare de la data la care entitatea a devenit parte a angajamentului irevocabil.</w:t>
      </w:r>
      <w:bookmarkEnd w:id="858"/>
    </w:p>
    <w:p w:rsidR="00AC292A" w:rsidRDefault="00AC292A">
      <w:pPr>
        <w:pStyle w:val="IASBNormalnpara"/>
      </w:pPr>
      <w:r>
        <w:t>B5.5.48</w:t>
      </w:r>
      <w:r>
        <w:tab/>
      </w:r>
      <w:bookmarkStart w:id="859" w:name="F32626634"/>
      <w:r>
        <w:t>Pierderile din creditare preconizate asociate contractelor de garanţie financiară sau angajamentelor de creditare pentru care rata dobânzii efective nu poate fi stabilită trebuie actualizate aplicând o rată de actualizare care reflectă evaluarea curentă de piață a valorii-timp a banilor şi a riscurilor specifice fluxurilor de trezorerie, dar numai dacă, şi în măsura în care, riscurile sunt luate în considerare prin ajustarea ratei de actualizare, și nu prin ajustarea diferenţelor de numerar care sunt actualizate.</w:t>
      </w:r>
      <w:bookmarkEnd w:id="859"/>
    </w:p>
    <w:p w:rsidR="00AC292A" w:rsidRDefault="00AC292A">
      <w:pPr>
        <w:pStyle w:val="IASBSectionTitle3Ind"/>
      </w:pPr>
      <w:bookmarkStart w:id="860" w:name="F32626636"/>
      <w:r>
        <w:t>Informaţii rezonabile şi justificabile</w:t>
      </w:r>
      <w:bookmarkEnd w:id="860"/>
    </w:p>
    <w:p w:rsidR="00AC292A" w:rsidRDefault="00AC292A">
      <w:pPr>
        <w:pStyle w:val="IASBNormalnpara"/>
      </w:pPr>
      <w:r>
        <w:t>B5.5.49</w:t>
      </w:r>
      <w:r>
        <w:tab/>
      </w:r>
      <w:bookmarkStart w:id="861" w:name="F32626637"/>
      <w:r>
        <w:t>În sensul prezentului standard, informaţiile rezonabile şi justificabile sunt cele care sunt disponibile în mod rezonabil la data de raportare fără cost sau efort nejustificat, inclusiv informaţiile despre evenimentele anterioare, condiţiile curente şi prognozele cu privire la condiţiile economice viitoare. Informaţiile care sunt disponibile în scopuri de raportare financiară sunt considerate a fi disponibile fără cost sau efort nejustificat.</w:t>
      </w:r>
      <w:bookmarkEnd w:id="861"/>
    </w:p>
    <w:p w:rsidR="00AC292A" w:rsidRDefault="00AC292A">
      <w:pPr>
        <w:pStyle w:val="IASBNormalnpara"/>
      </w:pPr>
      <w:r>
        <w:lastRenderedPageBreak/>
        <w:t>B5.5.50</w:t>
      </w:r>
      <w:r>
        <w:tab/>
      </w:r>
      <w:bookmarkStart w:id="862" w:name="F32626638"/>
      <w:r>
        <w:t>O entitate nu trebuie să încorporeze prognoze despre condiţiile viitoare pe toată durata de viaţă preconizată a instrumentului financiar. Gradul raţionamentului necesar pentru a evalua pierderile din creditare preconizate depinde de disponibilitatea informaţiilor detaliate. Pe măsură ce orizontul prognozat se extinde, disponibilitatea informaţiei scade şi nivelul de raţionament necesar pentru a evalua pierderile din creditare preconizate creşte. Estimarea pierderilor din creditare preconizate nu impune o evaluare detaliată pentru perioade îndepărtate în viitor – pentru astfel de perioade, o entitate poate extrapola proiecţii din informaţiile detaliate disponibile.</w:t>
      </w:r>
      <w:bookmarkEnd w:id="862"/>
    </w:p>
    <w:p w:rsidR="00AC292A" w:rsidRDefault="00AC292A">
      <w:pPr>
        <w:pStyle w:val="IASBNormalnpara"/>
      </w:pPr>
      <w:r>
        <w:t>B5.5.51</w:t>
      </w:r>
      <w:r>
        <w:tab/>
      </w:r>
      <w:bookmarkStart w:id="863" w:name="F32626639"/>
      <w:r>
        <w:t>Nu este necesar ca o entitate să îşi asume o căutare exhaustivă de informaţii, dar trebuie să ia în considerare toate informaţiile rezonabile şi justificabile care sunt disponibile fără cost sau efort nejustificat şi care sunt relevante pentru a evalua pierderile din creditare preconizate, inclusiv efectul plăţilor anticipate preconizate. Informaţiile utilizate trebuie să includă factori care sunt specifici debitorului, condiţiile economice generale şi o evaluare a direcţiei curente şi prognozate a condiţiilor la data de raportare. O entitate poate folosi surse variate de date, care pot fi atât interne (specifice entităţii), cât şi externe. Sursele posibile de date includ experienţa internă privind pierderile din creditare istorice, ratinguri interne, experienţa altor entități cu pierderile din creditare, precum şi ratinguri, rapoarte şi statistici externe. Entităţile ale căror surse de date specifice sunt inexistente sau insuficiente pot utiliza experienţa grupurilor similare cu un instrument financiar comparabil (sau grupuri de instrumente financiare).</w:t>
      </w:r>
      <w:bookmarkEnd w:id="863"/>
    </w:p>
    <w:p w:rsidR="00AC292A" w:rsidRDefault="00AC292A">
      <w:pPr>
        <w:pStyle w:val="IASBNormalnpara"/>
      </w:pPr>
      <w:r>
        <w:t>B5.5.52</w:t>
      </w:r>
      <w:r>
        <w:tab/>
      </w:r>
      <w:bookmarkStart w:id="864" w:name="F32626641"/>
      <w:r>
        <w:t>Informaţiile istorice reprezintă un reper important sau o bază importantă pe care pot fi evaluate pierderile din creditare preconizate. Totuşi, o entitate trebuie să ajusteze datele istorice, cum ar fi experienţa privind pierderile din creditare pe baza datelor curente observabile, pentru a reflecta condiţiile curente şi prognozele sale privind condiţiile viitoare care nu au afectat perioada pe care se bazează datele istorice şi pentru a înlătura efectele condiţiilor din perioada istorică ce nu sunt relevante pentru fluxurile de trezorerie viitoare contractuale. În unele cazuri, cele mai bune informaţii rezonabile şi justificabile ar putea fi informaţiile istorice neajustate, în funcție de natura informaţiilor istorice şi de momentul în care au fost calculate, comparativ cu circumstanțele de la data de raportare și cu caracteristicile instrumentului financiar analizat. Estimările modificărilor pierderilor din creditare preconizate trebuie să reflecte şi să fie consecvente ca direcție cu modificările datelor observabile conexe de la o perioadă la alta (cum ar fi modificări ale ratei şomajului, preţurile proprietăţilor imobiliare, preţurile mărfurilor, stadiul plăţilor sau alţi factori care pot indica pierderi din creditare pentru instrumentul financiar sau grupul de instrumente financiare şi amploarea acestor modificări). O entitate trebuie să revizuiască regulat metodologia şi ipotezele utilizate pentru evaluarea pierderilor din creditare preconizate pentru a reduce orice diferenţe dintre estimări şi pierderile din creditare efective.</w:t>
      </w:r>
      <w:bookmarkEnd w:id="864"/>
    </w:p>
    <w:p w:rsidR="00AC292A" w:rsidRDefault="00AC292A">
      <w:pPr>
        <w:pStyle w:val="IASBNormalnpara"/>
      </w:pPr>
      <w:r>
        <w:t>B5.5.53</w:t>
      </w:r>
      <w:r>
        <w:tab/>
      </w:r>
      <w:bookmarkStart w:id="865" w:name="F32626642"/>
      <w:r>
        <w:t>Atunci când se utilizează un experiența istorică a pierderilor din creditare în estimarea pierderilor din creditare preconizate, este important ca informaţiile privind ratele istorice ale pierderii din creditare să fie aplicate grupurilor care sunt definite într-o manieră consecventă cu cea a folosită pentru grupuri pentru care au fost observate rate istorice ale pierderii din creditare. În consecinţă, metoda utilizată trebuie să permită ca fiecare grup de active financiare să fie asociat cu informaţii despre experienţe anterioare privind pierderea din creditare în grupuri de active financiare cu caracteristici similare ale riscului de credit şi cu date observabile relevante care să reflecte condiţiile curente.</w:t>
      </w:r>
      <w:bookmarkEnd w:id="865"/>
    </w:p>
    <w:p w:rsidR="00AC292A" w:rsidRDefault="00AC292A">
      <w:pPr>
        <w:pStyle w:val="IASBNormalnpara"/>
      </w:pPr>
      <w:r>
        <w:t>B5.5.54</w:t>
      </w:r>
      <w:r>
        <w:tab/>
      </w:r>
      <w:bookmarkStart w:id="866" w:name="F32626643"/>
      <w:r>
        <w:t>Pierderile din creditare preconizate reflectă pierderile din creditare estimate de o entitate. Totuşi, atunci când o entitate ia în considerare toate informaţiile rezonabile şi justificabile care sunt disponibile fără cost sau efort nejustificat pentru a estima pierderile din creditare preconizate, entitatea trebuie să ia în considerare și informaţii observabile pe piaţă despre riscul de credit al unui anumit instrument financiar sau al unor instrumente financiare similare.</w:t>
      </w:r>
      <w:bookmarkEnd w:id="866"/>
    </w:p>
    <w:p w:rsidR="00AC292A" w:rsidRDefault="00AC292A">
      <w:pPr>
        <w:pStyle w:val="IASBSectionTitle3Ind"/>
      </w:pPr>
      <w:bookmarkStart w:id="867" w:name="F32626645"/>
      <w:r>
        <w:t>Garanţii reale</w:t>
      </w:r>
      <w:bookmarkEnd w:id="867"/>
    </w:p>
    <w:p w:rsidR="00AC292A" w:rsidRDefault="00AC292A">
      <w:pPr>
        <w:pStyle w:val="IASBNormalnpara"/>
      </w:pPr>
      <w:r>
        <w:t>B5.5.55</w:t>
      </w:r>
      <w:r>
        <w:tab/>
      </w:r>
      <w:bookmarkStart w:id="868" w:name="F32626646"/>
      <w:r>
        <w:t>În sensul evaluării pierderilor din creditare preconizate, estimarea diferenţelor de numerar trebuie să reflecte fluxurile de trezorerie preconizate din garanţiile reale şi alte ameliorări ale condiţiilor de credit care fac parte din termenele contractuale şi nu sunt recunoscute separat de entitate. Estimarea diferenţelor de numerar preconizate pentru un instrument financiar cu garanții reale reflectă valoarea şi plasarea în timp a fluxurilor de trezorerie care sunt preconizate la prescrierea garanţiei reale minus costurile de procurare şi vânzare a garanţiei reale, indiferent dacă prescrierea este probabilă (adică estimarea fluxurilor de trezorerie ia în considerare probabilitatea unei prescrieri şi fluxurile de trezorerie ce vor rezulta din aceasta). În consecinţă, orice fluxuri de trezorerie care sunt preconizate în urma valorificării garanţiei reale dincolo de scadenţa contractuală a contractului trebuie incluse în această analiză. Nicio garanţie reală obţinută ca urmare a prescrierii nu este recunoscută ca activ separat de instrumentul financiar cu garanții reale, cu excepția cazului în care aceasta îndeplineşte criteriile relevante de recunoaştere pentru un activ, în conformitate cu prezentul standard sau cu alte standarde.</w:t>
      </w:r>
      <w:bookmarkEnd w:id="868"/>
    </w:p>
    <w:p w:rsidR="00AC292A" w:rsidRDefault="00AC292A">
      <w:pPr>
        <w:pStyle w:val="IASBSectionTitle2Ind"/>
      </w:pPr>
      <w:bookmarkStart w:id="869" w:name="F32626648"/>
      <w:r>
        <w:lastRenderedPageBreak/>
        <w:t>Reclasificarea activelor financiare (secţiunea 5.6)</w:t>
      </w:r>
      <w:bookmarkEnd w:id="869"/>
    </w:p>
    <w:p w:rsidR="00AC292A" w:rsidRDefault="00AC292A">
      <w:pPr>
        <w:pStyle w:val="IASBNormalnpara"/>
      </w:pPr>
      <w:r>
        <w:t>B5.6.1</w:t>
      </w:r>
      <w:r>
        <w:tab/>
      </w:r>
      <w:bookmarkStart w:id="870" w:name="F32626649"/>
      <w:r>
        <w:t>Dacă o entitate reclasifică activele financiare în conformitate cu punctul 4.4.1, punctul 5.6.1 impune ca reclasificarea să se aplice în mod prospectiv de la data reclasificării. Şi categoria de evaluare la costul amortizat, şi categoria de evaluare la valoarea justă prin alte elemente ale rezultatului global impun ca rata dobânzii efective să fie determinată la recunoaşterea iniţială. Ambele categorii de evaluare impun și ca dispoziţiile privind deprecierea să fie aplicate în același mod. În consecinţă, atunci când o entitate reclasifică un activ financiar între categoria de evaluare la costul amortizat şi categoria de evaluare la valoarea justă prin alte elemente ale rezultatului global:</w:t>
      </w:r>
      <w:bookmarkEnd w:id="870"/>
    </w:p>
    <w:p w:rsidR="00AC292A" w:rsidRDefault="00AC292A">
      <w:pPr>
        <w:pStyle w:val="IASBNormalnparaL1"/>
      </w:pPr>
      <w:r>
        <w:t>(a)</w:t>
      </w:r>
      <w:r>
        <w:tab/>
      </w:r>
      <w:bookmarkStart w:id="871" w:name="F32626652"/>
      <w:r>
        <w:t>recunoaşterea venitului din dobândă nu se va schimba şi, prin urmare, entitatea continuă să folosească aceeași rată a dobânzii efective.</w:t>
      </w:r>
      <w:bookmarkEnd w:id="871"/>
    </w:p>
    <w:p w:rsidR="00AC292A" w:rsidRDefault="00AC292A">
      <w:pPr>
        <w:pStyle w:val="IASBNormalnparaL1"/>
      </w:pPr>
      <w:r>
        <w:t>(b)</w:t>
      </w:r>
      <w:r>
        <w:tab/>
      </w:r>
      <w:bookmarkStart w:id="872" w:name="F32626654"/>
      <w:r>
        <w:t>evaluarea pierderilor din creditare preconizate nu se modifică deoarece ambele categorii de evaluare aplică aceeași metodă de depreciere. Totuşi, dacă un activ financiar este reclasificat din categoria de evaluare la valoarea justă prin alte elemente ale rezultatului global la categoria de evaluare la costul amortizat, va fi recunoscută o ajustare pentru pierderi ca o ajustare a valorii contabile brute a activului financiar de la data reclasificării. Dacă un activ financiar este reclasificat din categoria de evaluare la costul amortizat la categoria de evaluare la valoarea justă prin alte elemente ale rezultatului global, ajustarea pentru pierderi va fi derecunoscută (şi, astfel, nu va mai fi recunoscută ca o ajustare a valorii contabile brute), dar în schimb va fi recunoscută ca o valoare din depreciere acumulată (cu o valoare egală) în alte elemente ale rezultatului global şi va fi prezentată de la data reclasificării.</w:t>
      </w:r>
      <w:bookmarkEnd w:id="872"/>
    </w:p>
    <w:p w:rsidR="00AC292A" w:rsidRDefault="00AC292A">
      <w:pPr>
        <w:pStyle w:val="IASBNormalnpara"/>
      </w:pPr>
      <w:r>
        <w:t>B5.6.2</w:t>
      </w:r>
      <w:r>
        <w:tab/>
      </w:r>
      <w:bookmarkStart w:id="873" w:name="F32626655"/>
      <w:r>
        <w:t>Totuşi, unei entităţi nu i se impune să recunoască separat venituri din dobândă ori câştiguri sau pierderi din depreciere pentru un activ financiar evaluat la valoarea justă prin profit sau pierdere. În consecinţă, atunci când o entitate reclasifică un activ financiar în afara categoriei de evaluare la valoarea justă prin profit sau pierdere, rata dobânzii efective este stabilită pe baza valorii juste a activului la data reclasificării. În plus, în sensul aplicării secţiunii 5.5 în cazul activului financiar de la data reclasificării, data reclasificării este tratată drept data recunoaşterii iniţiale.</w:t>
      </w:r>
      <w:bookmarkEnd w:id="873"/>
    </w:p>
    <w:p w:rsidR="00AC292A" w:rsidRDefault="00AC292A">
      <w:pPr>
        <w:pStyle w:val="IASBSectionTitle2Ind"/>
      </w:pPr>
      <w:bookmarkStart w:id="874" w:name="F32626329"/>
      <w:r>
        <w:t>Câştiguri şi pierderi (secţiunea 5.7)</w:t>
      </w:r>
      <w:bookmarkEnd w:id="874"/>
    </w:p>
    <w:p w:rsidR="00AC292A" w:rsidRDefault="00AC292A">
      <w:pPr>
        <w:pStyle w:val="IASBNormalnpara"/>
      </w:pPr>
      <w:r>
        <w:t>B5.7.1</w:t>
      </w:r>
      <w:r>
        <w:tab/>
      </w:r>
      <w:bookmarkStart w:id="875" w:name="F32626333"/>
      <w:r>
        <w:t>Punctul 5.7.5 permite unei entităţi să facă o alegere irevocabilă de a prezenta în alte elemente ale rezultatului global modificări ale valorii juste a unei investiţii într-un instrument de capitaluri proprii care nu este deţinut în vederea tranzacţionării. Această alegere este făcută pentru fiecare instrument în parte (adică pentru fiecare acţiune în parte). Valorile prezentate în alte elemente ale rezultatului global nu vor fi transferate ulterior în profit sau pierdere. Totuşi, entitatea poate transfera câştigul sau pierderea cumulat(ă) în capitalurile proprii. Dividendele pentru astfel de investiţii sunt recunoscute în profit sau pierdere în conformitate cu punctul 5.7.6, exceptând cazul în care dividendele reprezintă clar o recuperare a unei părţi a costului investiţiei.</w:t>
      </w:r>
      <w:bookmarkEnd w:id="875"/>
    </w:p>
    <w:p w:rsidR="00AC292A" w:rsidRDefault="00AC292A">
      <w:pPr>
        <w:pStyle w:val="IASBNormalnpara"/>
      </w:pPr>
      <w:r>
        <w:t>B5.7.1A</w:t>
      </w:r>
      <w:r>
        <w:tab/>
      </w:r>
      <w:bookmarkStart w:id="876" w:name="F32626657"/>
      <w:r>
        <w:t>Exceptând cazul în care se aplică punctul 4.1.5, punctul 4.1.2A impune ca un activ financiar să fie evaluat la valoarea justă prin alte elemente ale rezultatului global dacă termenele contractuale ale activului financiar au ca rezultat fluxuri de trezorerie care reprezintă exclusiv plăţi ale principalului şi ale dobânzii aferente valorii principalului datorat, iar activul este deţinut într-un model de afaceri al cărui obiectiv este îndeplinit atât prin colectarea fluxurilor de trezorerie contractuale, cât şi prin vânzarea activelor financiare. Această categorie de evaluare recunoaşte informaţiile în profit sau pierdere ca şi când activul financiar ar fi evaluat la costul amortizat, în timp ce activul financiar este evaluat la valoarea justă în situaţia poziţiei financiare. Câştigurile sau pierderile, altele decât cele recunoscute în profit sau pierdere în conformitate cu punctele 5.7.10-5.7.11, sunt recunoscute în alte elemente ale rezultatului global. Atunci când aceste active financiare sunt derecunoscute, câştigurile sau pierderile cumulate recunoscute anterior în alte elemente ale rezultatului global sunt reclasificate în profit sau pierdere. Acest lucru reflectă câştigul sau pierderea care ar fi fost recunoscut(ă) în profit sau pierdere la derecunoaştere dacă activul financiar ar fi fost evaluat la costul amortizat.</w:t>
      </w:r>
      <w:bookmarkEnd w:id="876"/>
    </w:p>
    <w:p w:rsidR="00AC292A" w:rsidRDefault="00AC292A">
      <w:pPr>
        <w:pStyle w:val="IASBNormalnpara"/>
      </w:pPr>
      <w:r>
        <w:t>B5.7.2</w:t>
      </w:r>
      <w:r>
        <w:tab/>
      </w:r>
      <w:bookmarkStart w:id="877" w:name="SL32626344"/>
      <w:r>
        <w:t>O entitate aplică IAS 21 pentru activele financiare şi datoriile financiare care sunt elemente monetare în conformitate cu IAS 21 şi sunt exprimate în valută. IAS 21 impune ca orice câştiguri şi pierderi din diferenţele de schimb valutar ale activelor monetare şi datoriilor monetare să fie recunoscute în profit sau pierdere. O excepţie este un element monetar care este desemnat drept instrument de acoperire într-o acoperire a fluxurilor de trezorerie împotriva riscurilor (a se vedea punctul 6.5.11), o acoperire a unei investiții nete (a se vedea punctul 6.5.13) sau o acoperire a valorii juste împotriva riscurilor a unui instrument de capitaluri proprii pentru care o entitate a ales să prezinte modificările valorii juste în alte elemente ale rezultatului global, în conformitate cu punctul 5.7.5 (a se vedea punctul 6.5.8).</w:t>
      </w:r>
      <w:bookmarkEnd w:id="877"/>
    </w:p>
    <w:p w:rsidR="00AC292A" w:rsidRDefault="00AC292A">
      <w:pPr>
        <w:pStyle w:val="IASBNormalnpara"/>
      </w:pPr>
      <w:r>
        <w:lastRenderedPageBreak/>
        <w:t>B5.7.2A</w:t>
      </w:r>
      <w:r>
        <w:tab/>
      </w:r>
      <w:bookmarkStart w:id="878" w:name="F32751313"/>
      <w:r>
        <w:t>În sensul recunoaşterii câştigurilor şi pierderilor din cursurile de schimb valutar conform IAS 21, un activ financiar evaluat la valoarea justă prin alte elemente ale rezultatului global în conformitate cu punctul 4.1.2A este tratat drept element monetar. Prin urmare, un astfel de activ financiar este tratat drept un activ evaluat la costul amortizat în valută. Diferenţele de curs valutar pentru costul amortizat sunt recunoscute în profit sau pierdere, iar alte schimbări ale valorii contabile sunt recunoscute în conformitate cu punctul 5.7.10.</w:t>
      </w:r>
      <w:bookmarkEnd w:id="878"/>
    </w:p>
    <w:p w:rsidR="00AC292A" w:rsidRDefault="00AC292A">
      <w:pPr>
        <w:pStyle w:val="IASBNormalnpara"/>
      </w:pPr>
      <w:r>
        <w:t>B5.7.3</w:t>
      </w:r>
      <w:r>
        <w:tab/>
      </w:r>
      <w:bookmarkStart w:id="879" w:name="F32626345"/>
      <w:r>
        <w:t>Punctul 5.7.5 permite unei entităţi să facă o alegere irevocabilă de a prezenta în alte elemente ale rezultatului global modificările ulterioare ale valorii juste a unei anumite investiţii în instrumente de capitaluri proprii. O astfel de investiţie nu este un element monetar. În mod corespunzător, câştigul sau pierderea care este prezentat(ă) în alte elemente ale rezultatului global în conformitate cu punctul 5.7.5 include orice componentă de schimb valutar aferentă.</w:t>
      </w:r>
      <w:bookmarkEnd w:id="879"/>
    </w:p>
    <w:p w:rsidR="00AC292A" w:rsidRDefault="00AC292A">
      <w:pPr>
        <w:pStyle w:val="IASBNormalnpara"/>
      </w:pPr>
      <w:r>
        <w:t>B5.7.4</w:t>
      </w:r>
      <w:r>
        <w:tab/>
      </w:r>
      <w:bookmarkStart w:id="880" w:name="F32626348"/>
      <w:r>
        <w:t>Dacă există o relaţie de acoperire împotriva riscurilor între un activ monetar nederivat şi o datorie monetară nederivată, modificările componentei valutare a acelor instrumente financiare sunt prezentate în profit sau pierdere.</w:t>
      </w:r>
      <w:bookmarkEnd w:id="880"/>
    </w:p>
    <w:p w:rsidR="00AC292A" w:rsidRDefault="00AC292A">
      <w:pPr>
        <w:pStyle w:val="IASBSectionTitle3Ind"/>
      </w:pPr>
      <w:bookmarkStart w:id="881" w:name="F32626350"/>
      <w:r>
        <w:t>Datorii desemnate ca fiind la valoarea justă prin profit sau pierdere</w:t>
      </w:r>
      <w:bookmarkEnd w:id="881"/>
    </w:p>
    <w:p w:rsidR="00AC292A" w:rsidRDefault="00AC292A">
      <w:pPr>
        <w:pStyle w:val="IASBNormalnpara"/>
      </w:pPr>
      <w:r>
        <w:t>B5.7.5</w:t>
      </w:r>
      <w:r>
        <w:tab/>
      </w:r>
      <w:bookmarkStart w:id="882" w:name="F32626354"/>
      <w:r>
        <w:t>Atunci când o entitate desemnează o datorie financiară ca fiind la valoarea justă prin profit sau pierdere, aceasta trebuie să determine dacă prezentarea efectelor modificărilor în riscul de credit al datoriei în alte elemente ale rezultatului global ar genera sau ar amplifica o necorelare contabilă în profit sau pierdere. O necorelare contabilă ar fi generată sau amplificată dacă prezentarea efectelor modificărilor riscului de credit al datoriei în alte elemente ale rezultatului global ar conduce la o necorelare mai mare în profit sau pierdere decât dacă aceste valori ar fi prezentate în profit sau pierdere.</w:t>
      </w:r>
      <w:bookmarkEnd w:id="882"/>
    </w:p>
    <w:p w:rsidR="00AC292A" w:rsidRDefault="00AC292A">
      <w:pPr>
        <w:pStyle w:val="IASBNormalnpara"/>
      </w:pPr>
      <w:r>
        <w:t>B5.7.6</w:t>
      </w:r>
      <w:r>
        <w:tab/>
      </w:r>
      <w:bookmarkStart w:id="883" w:name="F32626355"/>
      <w:r>
        <w:t>Pentru a determina acest lucru, entitatea trebuie să evalueze dacă preconizează ca efectele modificărilor riscului de credit al datoriei să fie compensate în profit sau pierdere printr-o modificare a valorii juste a unui alt instrument financiar evaluat la valoarea justă prin profit sau pierdere. O astfel de estimare trebuie să se bazeze pe un raport economic între caracteristicile datoriei şi caracteristicile celuilalt instrument financiar.</w:t>
      </w:r>
      <w:bookmarkEnd w:id="883"/>
    </w:p>
    <w:p w:rsidR="00AC292A" w:rsidRDefault="00AC292A">
      <w:pPr>
        <w:pStyle w:val="IASBNormalnpara"/>
      </w:pPr>
      <w:r>
        <w:t>B5.7.7</w:t>
      </w:r>
      <w:r>
        <w:tab/>
      </w:r>
      <w:bookmarkStart w:id="884" w:name="F32626358"/>
      <w:r>
        <w:t xml:space="preserve">Această determinare este efectuată la recunoaşterea iniţială şi nu este reevaluată. Din motive practice, nu este necesar ca entitatea să trateze simultan toate activele şi datoriile care generează o necorelare contabilă. Este permisă o întârziere rezonabilă, atâta timp cât se preconizează că toate tranzacţiile rămase vor avea loc. O entitate trebuie să aplice consecvent metodologia sa prin care determină dacă prezentarea efectelor modificărilor în riscul de credit al datoriei în alte elemente ale rezultatului global ar genera sau ar amplifica o necorelare contabilă în profit sau pierdere. Totuşi, o entitate poate utiliza diverse metodologii atunci când există raporturi economice diferite între caracteristicile datoriilor desemnate la valoarea justă prin profit sau pierdere şi caracteristicile celorlalte instrumente financiare. IFRS 7 impune unei entităţi să furnizeze prezentări de informaţii calitative în cadrul notelor la situaţiile financiare cu privire la metodologia folosită pentru această determinare. </w:t>
      </w:r>
      <w:bookmarkEnd w:id="884"/>
    </w:p>
    <w:p w:rsidR="00AC292A" w:rsidRDefault="00AC292A">
      <w:pPr>
        <w:pStyle w:val="IASBNormalnpara"/>
      </w:pPr>
      <w:r>
        <w:t>B5.7.8</w:t>
      </w:r>
      <w:r>
        <w:tab/>
      </w:r>
      <w:bookmarkStart w:id="885" w:name="F32626361"/>
      <w:r>
        <w:t>Dacă această necorelare este generată sau amplificată, entitatea trebuie să prezinte toate modificările valorii juste (inclusiv efectele modificărilor în riscul de credit al datoriei) în profit sau pierdere. Dacă această necorelare nu este generată sau amplificată, entitatea trebuie să prezinte toate efectele modificărilor în riscul de credit al datoriei în alte elemente ale rezultatului global.</w:t>
      </w:r>
      <w:bookmarkEnd w:id="885"/>
    </w:p>
    <w:p w:rsidR="00AC292A" w:rsidRDefault="00AC292A">
      <w:pPr>
        <w:pStyle w:val="IASBNormalnpara"/>
      </w:pPr>
      <w:r>
        <w:t>B5.7.9</w:t>
      </w:r>
      <w:r>
        <w:tab/>
      </w:r>
      <w:bookmarkStart w:id="886" w:name="F32626368"/>
      <w:r>
        <w:t>Valorile prezentate în alte elemente ale rezultatului global nu vor fi transferate ulterior în profit sau pierdere. Totuşi, entitatea poate transfera câştigul sau pierderea cumulat(ă) în capitalurile proprii.</w:t>
      </w:r>
      <w:bookmarkEnd w:id="886"/>
    </w:p>
    <w:p w:rsidR="00AC292A" w:rsidRDefault="00AC292A">
      <w:pPr>
        <w:pStyle w:val="IASBNormalnpara"/>
      </w:pPr>
      <w:r>
        <w:t>B5.7.10</w:t>
      </w:r>
      <w:r>
        <w:tab/>
      </w:r>
      <w:bookmarkStart w:id="887" w:name="F32626371"/>
      <w:r>
        <w:t xml:space="preserve">Următorul exemplu prezintă o situaţie în care o necorelare contabilă este generată în profit sau pierdere dacă efectele modificărilor în riscul de credit al datoriei au fost prezentate în alte elemente ale rezultatului global. O bancă de credit ipotecar oferă împrumuturi clienţilor şi finanţează acele împrumuturi prin vânzarea de obligaţiuni care prezintă caracteristici asemănătoare pe piaţă (de exemplu, valoarea datorată, profilul de rambursare, termenul şi moneda). Termenele contractuale ale împrumutului permit clientului creditului ipotecar să îşi plătească anticipat împrumutul (adică să îşi îndeplinească obligaţiile faţă de bancă) prin cumpărarea obligaţiunii corespunzătoare la valoarea justă de pe piaţă şi prin transmiterea acelei obligaţiuni către banca de credit ipotecar. Drept consecinţă a dreptului contractual de plată anticipată, în cazul în care calitatea creditului unei obligaţiuni se deteriorează (şi, prin urmare, scade valoarea justă a datoriei pe care o are banca de credit ipotecar), atunci scade şi valoarea justă a împrumuturilor acordate de banca de credit ipotecar. Modificarea în valoarea justă a activului reflectă dreptul contractual al clientului creditului ipotecar de a plăti anticipat împrumutul ipotecar prin cumpărarea obligaţiunii de bază la valoarea justă (care, în acest exemplu, s-a redus) şi prin transmiterea obligaţiunii către banca de credit ipotecar. În consecinţă, efectele modificărilor în riscul de credit al datoriei (obligaţiunii) vor fi compensate în profit sau pierdere printr-o modificare corespunzătoare în valoarea justă a activului financiar (împrumutului). Dacă efectele modificărilor în riscul de credit al datoriei ar fi prezentate în alte elemente ale rezultatului global, ar exista o necorelare contabilă în profit sau pierdere. Prin urmare, o bancă de credit ipotecar trebuie să </w:t>
      </w:r>
      <w:r>
        <w:lastRenderedPageBreak/>
        <w:t>prezinte toate modificările în valoarea justă a datoriei (inclusiv efectele modificărilor în riscul de credit al datoriei) în profit sau pierdere.</w:t>
      </w:r>
      <w:bookmarkEnd w:id="887"/>
    </w:p>
    <w:p w:rsidR="00AC292A" w:rsidRDefault="00AC292A">
      <w:pPr>
        <w:pStyle w:val="IASBNormalnpara"/>
      </w:pPr>
      <w:r>
        <w:t>B5.7.11</w:t>
      </w:r>
      <w:r>
        <w:tab/>
      </w:r>
      <w:bookmarkStart w:id="888" w:name="F32626374"/>
      <w:r>
        <w:t xml:space="preserve">În exemplul de la punctul B5.7.10 există o legătură contractuală între efectele modificărilor în riscul de credit al datoriei şi modificările în valoarea justă a activului financiar (mai exact, ca urmare a dreptului contractual al clientului creditului ipotecar de a plăti anticipat împrumutul prin cumpărarea obligaţiunii la valoarea justă şi transmiterea acesteia către banca de credit ipotecar). Totuşi, o necorelare contabilă poate apărea şi în lipsa unei legături la nivel contractual. </w:t>
      </w:r>
      <w:bookmarkEnd w:id="888"/>
    </w:p>
    <w:p w:rsidR="00AC292A" w:rsidRDefault="00AC292A">
      <w:pPr>
        <w:pStyle w:val="IASBNormalnpara"/>
      </w:pPr>
      <w:r>
        <w:t>B5.7.12</w:t>
      </w:r>
      <w:r>
        <w:tab/>
      </w:r>
      <w:bookmarkStart w:id="889" w:name="F32626377"/>
      <w:r>
        <w:t>În sensul aplicării dispoziţiilor de la punctele 5.7.7 şi 5.7.8, o necorelare contabilă nu este cauzată doar de metoda de evaluare pe care o entitate o utilizează pentru a determina efectele modificărilor în riscul de credit al datoriei. O necorelare contabilă în profit sau pierdere apare doar dacă se preconizează că efectele modificărilor în riscul de credit al datoriei (așa cum este definit în IFRS 7) vor fi compensate prin modificări în valoarea justă a unui alt instrument financiar. O necorelare care apare doar ca urmare a metodei de evaluare (adică, deoarece entitatea nu izolează modificările în riscul de credit al datoriei de alte modificări în valoarea justă) nu afectează determinarea solicitată la punctele 5.7.7 şi 5.7.8. De exemplu, o entitate poate să nu izoleze modificările în riscul de credit al datoriei de modificările în riscul de lichiditate. Dacă entitatea prezintă efectul combinat al ambilor factori în alte elemente ale rezultatului global, poate apărea o necorelare deoarece modificările în riscul de lichiditate pot fi incluse în evaluarea la valoarea justă a activelor financiare ale entităţii, iar modificarea în valoarea justă totală a acestor active este prezentată în profit sau pierdere. Totuşi, o astfel de necorelare este generată de imprecizia în evaluare, nu de raportul de compensare prezentat la punctul B5.7.6, şi, prin urmare, nu afectează determinarea solicitată la punctele 5.7.7 şi 5.7.8.</w:t>
      </w:r>
      <w:bookmarkEnd w:id="889"/>
    </w:p>
    <w:p w:rsidR="00AC292A" w:rsidRDefault="00AC292A">
      <w:pPr>
        <w:pStyle w:val="IASBSectionTitle4Ind"/>
      </w:pPr>
      <w:bookmarkStart w:id="890" w:name="F32626381"/>
      <w:r>
        <w:t>Sensul termenului „risc de credit” (punctele 5.7.7 şi 5.7.8)</w:t>
      </w:r>
      <w:bookmarkEnd w:id="890"/>
    </w:p>
    <w:p w:rsidR="00AC292A" w:rsidRDefault="00AC292A">
      <w:pPr>
        <w:pStyle w:val="IASBNormalnpara"/>
      </w:pPr>
      <w:r>
        <w:t>B5.7.13</w:t>
      </w:r>
      <w:r>
        <w:tab/>
      </w:r>
      <w:bookmarkStart w:id="891" w:name="F32626382"/>
      <w:r>
        <w:t>IFRS 7 defineşte riscul de credit drept „riscul ca una dintre părţile implicate într-un instrument financiar să genereze o pierdere financiară pentru cealaltă parte prin neîndeplinirea unei obligaţii”. Dispoziţia de la punctul 5.7.7 litera (a) face referire la riscul ca emitentul să nu îşi poată îndeplini obligaţiile cu privire la respectiva datorie. Dispoziția nu face neapărat referire la bonitatea emitentului. De exemplu, dacă o entitate emite o datorie garantată şi o datorie care nu este garantată, care sunt, altfel, identice, riscul de credit al acestor două datorii va fi diferit, chiar dacă ele sunt emise de aceeaşi entitate. Riscul de credit al datoriei garantate va fi mai mic decât riscul de credit al datoriei care nu este garantată. Riscul de credit al unei datorii garantate poate fi aproape egal cu zero.</w:t>
      </w:r>
      <w:bookmarkEnd w:id="891"/>
    </w:p>
    <w:p w:rsidR="00AC292A" w:rsidRDefault="00AC292A">
      <w:pPr>
        <w:pStyle w:val="IASBNormalnpara"/>
      </w:pPr>
      <w:r>
        <w:t>B5.7.14</w:t>
      </w:r>
      <w:r>
        <w:tab/>
      </w:r>
      <w:bookmarkStart w:id="892" w:name="F32626383"/>
      <w:r>
        <w:t xml:space="preserve">În sensul aplicării dispoziţiei de la punctul 5.7.7 litera (a), riscul de credit diferă de riscul de performanţă specific unui activ. Riscul de performanţă specific unui activ nu este legat de riscul ca o entitate să nu îşi îndeplinească o anumită obligaţie, ci este legat, în schimb, de riscul ca un singur activ sau un grup de active să nu îşi îndeplinească în mod satisfăcător obligaţiile (sau să nu le îndeplinească deloc). </w:t>
      </w:r>
      <w:bookmarkEnd w:id="892"/>
    </w:p>
    <w:p w:rsidR="00AC292A" w:rsidRDefault="00AC292A">
      <w:pPr>
        <w:pStyle w:val="IASBNormalnpara"/>
      </w:pPr>
      <w:r>
        <w:t>B5.7.15</w:t>
      </w:r>
      <w:r>
        <w:tab/>
      </w:r>
      <w:bookmarkStart w:id="893" w:name="F32626386"/>
      <w:r>
        <w:t>Următoarele sunt exemple de risc de performanţă specific unui activ:</w:t>
      </w:r>
      <w:bookmarkEnd w:id="893"/>
    </w:p>
    <w:p w:rsidR="00AC292A" w:rsidRDefault="00AC292A">
      <w:pPr>
        <w:pStyle w:val="IASBNormalnparaL1"/>
      </w:pPr>
      <w:r>
        <w:t>(a)</w:t>
      </w:r>
      <w:r>
        <w:tab/>
      </w:r>
      <w:bookmarkStart w:id="894" w:name="F32626389"/>
      <w:r>
        <w:t>o datorie ce prezintă o caracteristică de corelare cu o unitate prin care valoarea datorată investitorilor este stabilită contractual în baza performanţei activelor specificate. Efectul acelei caracteristici de corelare cu o unitate asupra valorii juste a datoriei reprezintă un risc de performanţă specific unui activ, nu un risc de credit.</w:t>
      </w:r>
      <w:bookmarkEnd w:id="894"/>
    </w:p>
    <w:p w:rsidR="00AC292A" w:rsidRDefault="00AC292A">
      <w:pPr>
        <w:pStyle w:val="IASBNormalnparaL1"/>
      </w:pPr>
      <w:r>
        <w:t>(b)</w:t>
      </w:r>
      <w:r>
        <w:tab/>
      </w:r>
      <w:bookmarkStart w:id="895" w:name="F32626393"/>
      <w:r>
        <w:t>o datorie emisă de o entitate structurată care prezintă următoarele caracteristici. Entitatea este izolată din punct de vedere legal, astfel încât activele entităţii sunt separate doar în beneficiul investitorilor săi, chiar şi în cazul falimentului. Entitatea nu mai încheie alte tranzacții, iar activele entității nu pot fi ipotecate. Se datorează sume investitorilor entității numai dacă activele separate generează fluxuri de trezorerie. Aşadar, modificările în valoarea justă a datoriei reflectă în primul rând modificările în valoarea justă a activelor. Efectul performanţei activelor asupra valorii juste a datoriei reprezintă un risc de performanţă specific unui activ, nu un risc de credit.</w:t>
      </w:r>
      <w:bookmarkEnd w:id="895"/>
    </w:p>
    <w:p w:rsidR="00AC292A" w:rsidRDefault="00AC292A">
      <w:pPr>
        <w:pStyle w:val="IASBSectionTitle4Ind"/>
      </w:pPr>
      <w:bookmarkStart w:id="896" w:name="F32626397"/>
      <w:r>
        <w:t>Determinarea efectelor modificărilor în riscul de credit</w:t>
      </w:r>
      <w:bookmarkEnd w:id="896"/>
    </w:p>
    <w:p w:rsidR="00AC292A" w:rsidRDefault="00AC292A">
      <w:pPr>
        <w:pStyle w:val="IASBNormalnpara"/>
      </w:pPr>
      <w:r>
        <w:t>B5.7.16</w:t>
      </w:r>
      <w:r>
        <w:tab/>
      </w:r>
      <w:bookmarkStart w:id="897" w:name="F32626400"/>
      <w:r>
        <w:t>În sensul aplicării dispoziţiei de la punctul 5.7.7 litera (a), o entitate trebuie să determine valoarea modificării valorii juste a datoriei financiare care poate fi atribuită modificărilor riscului de credit al acelei datorii, fie:</w:t>
      </w:r>
      <w:bookmarkEnd w:id="897"/>
    </w:p>
    <w:p w:rsidR="00AC292A" w:rsidRDefault="00AC292A">
      <w:pPr>
        <w:pStyle w:val="IASBNormalnparaL1"/>
      </w:pPr>
      <w:r>
        <w:t>(a)</w:t>
      </w:r>
      <w:r>
        <w:tab/>
      </w:r>
      <w:bookmarkStart w:id="898" w:name="F32626405"/>
      <w:r>
        <w:t>drept valoarea modificării valorii sale juste care nu poate fi atribuită modificărilor condiţiilor de piaţă care generează risc de piaţă (a se vedea punctele B5.7.17 şi B5.7.18); fie</w:t>
      </w:r>
      <w:bookmarkEnd w:id="898"/>
    </w:p>
    <w:p w:rsidR="00AC292A" w:rsidRDefault="00AC292A">
      <w:pPr>
        <w:pStyle w:val="IASBNormalnparaL1"/>
      </w:pPr>
      <w:r>
        <w:t>(b)</w:t>
      </w:r>
      <w:r>
        <w:tab/>
      </w:r>
      <w:bookmarkStart w:id="899" w:name="F32626410"/>
      <w:r>
        <w:t>utilizând o metodă alternativă despre care entitatea consideră că reprezintă mai exact valoarea modificării valorii juste a datoriei care poate fi atribuită modificărilor riscului de credit.</w:t>
      </w:r>
      <w:bookmarkEnd w:id="899"/>
    </w:p>
    <w:p w:rsidR="00AC292A" w:rsidRDefault="00AC292A">
      <w:pPr>
        <w:pStyle w:val="IASBNormalnpara"/>
      </w:pPr>
      <w:r>
        <w:lastRenderedPageBreak/>
        <w:t>B5.7.17</w:t>
      </w:r>
      <w:r>
        <w:tab/>
      </w:r>
      <w:bookmarkStart w:id="900" w:name="F32626411"/>
      <w:r>
        <w:t>Modificările condiţiilor de piaţă care generează risc de piaţă includ modificări privind o rată a dobânzii de referinţă, un preţ al unui instrument financiar al unei alte entităţi, un preţ al mărfurilor, un curs de schimb valutar sau un indice al preţurilor sau al ratelor.</w:t>
      </w:r>
      <w:bookmarkEnd w:id="900"/>
    </w:p>
    <w:p w:rsidR="00AC292A" w:rsidRDefault="00AC292A">
      <w:pPr>
        <w:pStyle w:val="IASBNormalnpara"/>
      </w:pPr>
      <w:r>
        <w:t>B5.7.18</w:t>
      </w:r>
      <w:r>
        <w:tab/>
      </w:r>
      <w:bookmarkStart w:id="901" w:name="F32626412"/>
      <w:r>
        <w:t>Dacă singurele modificări relevante ale condiţiilor de piaţă în cazul unei datorii sunt modificări ale unei rate a dobânzii observabile (de referinţă), valoarea de la punctul B5.7.16 litera (a) poate fi estimată după cum urmează:</w:t>
      </w:r>
      <w:bookmarkEnd w:id="901"/>
    </w:p>
    <w:p w:rsidR="00AC292A" w:rsidRDefault="00AC292A">
      <w:pPr>
        <w:pStyle w:val="IASBNormalnparaL1"/>
      </w:pPr>
      <w:r>
        <w:t>(a)</w:t>
      </w:r>
      <w:r>
        <w:tab/>
      </w:r>
      <w:bookmarkStart w:id="902" w:name="F32626417"/>
      <w:r>
        <w:t>În primul rând, entitatea calculează rata internă de rentabilitate a datoriei la începutul perioadei utilizând valoarea justă a datoriei şi fluxurile de trezorerie contractuale ale datoriei la începutul perioadei. Din această rată, entitatea scade rata dobânzii observată (de referinţă) la începutul perioadei pentru a obţine o componentă specifică instrumentului respectiv a ratei interne de rentabilitate.</w:t>
      </w:r>
      <w:bookmarkEnd w:id="902"/>
    </w:p>
    <w:p w:rsidR="00AC292A" w:rsidRDefault="00AC292A">
      <w:pPr>
        <w:pStyle w:val="IASBNormalnparaL1"/>
      </w:pPr>
      <w:r>
        <w:t>(b)</w:t>
      </w:r>
      <w:r>
        <w:tab/>
      </w:r>
      <w:bookmarkStart w:id="903" w:name="F32626421"/>
      <w:r>
        <w:t>Apoi, entitatea calculează valoarea actualizată a fluxurilor de trezorerie aferente datoriei utilizând fluxurile de trezorerie contractuale ale datoriei la sfârşitul perioadei şi o rată de actualizare egală cu suma (i) ratei dobânzii observate (de referinţă) la sfârşitul perioadei şi a (ii) componentei specifice instrumentului a ratei interne de rentabilitate, determinată conform literei (a).</w:t>
      </w:r>
      <w:bookmarkEnd w:id="903"/>
    </w:p>
    <w:p w:rsidR="00AC292A" w:rsidRDefault="00AC292A">
      <w:pPr>
        <w:pStyle w:val="IASBNormalnparaL1"/>
      </w:pPr>
      <w:r>
        <w:t>(c)</w:t>
      </w:r>
      <w:r>
        <w:tab/>
      </w:r>
      <w:bookmarkStart w:id="904" w:name="F32626423"/>
      <w:r>
        <w:t>Diferenţa dintre valoarea justă a datoriei la sfârşitul perioadei şi valoarea determinată conform literei (b) reprezintă modificarea valorii juste care nu poate fi atribuită modificărilor ratei dobânzii observate (de referinţă). Aceasta este valoarea care urmează să fie prezentată în alte elemente ale rezultatului global în conformitate cu punctul 5.7.7 litera (a).</w:t>
      </w:r>
      <w:bookmarkEnd w:id="904"/>
    </w:p>
    <w:p w:rsidR="00AC292A" w:rsidRDefault="00AC292A">
      <w:pPr>
        <w:pStyle w:val="IASBNormalnpara"/>
      </w:pPr>
      <w:r>
        <w:t>B5.7.19</w:t>
      </w:r>
      <w:r>
        <w:tab/>
      </w:r>
      <w:bookmarkStart w:id="905" w:name="F32626424"/>
      <w:r>
        <w:t>Exemplul de la punctul B5.7.18 presupune că modificările valorii juste care provin din alţi factori decât modificările riscului de credit al instrumentului sau modificările ratelor dobânzii observate (de referinţă) nu sunt importante. Această metodă nu este adecvată dacă modificările în valoarea justă generate de alţi factori sunt importante. În aceste situaţii, o entitate trebuie să utilizeze o metodă alternativă prin care să evalueze mult mai fidel efectele modificărilor în riscul de credit al datoriei (a se vedea punctul B5.7.16 litera (b)). De exemplu, dacă instrumentul din exemplu conţine un instrument derivat încorporat, modificarea valorii juste a instrumentului derivat încorporat este exclusă din determinarea valorii care urmează să fie prezentată în alte elemente ale rezultatului global în conformitate cu punctul 5.7.7 litera (a).</w:t>
      </w:r>
      <w:bookmarkEnd w:id="905"/>
    </w:p>
    <w:p w:rsidR="00AC292A" w:rsidRDefault="00AC292A">
      <w:pPr>
        <w:pStyle w:val="IASBNormalnpara"/>
      </w:pPr>
      <w:r>
        <w:t>B5.7.20</w:t>
      </w:r>
      <w:r>
        <w:tab/>
      </w:r>
      <w:bookmarkStart w:id="906" w:name="F32626429"/>
      <w:r>
        <w:t>Ca în cazul tuturor evaluărilor la valoarea justă, metoda de evaluare utilizată de o entitate pentru a determina proporţia modificării în valoarea justă a datoriei atribuibilă modificărilor în riscul său de credit trebuie să utilizeze la maximum datele de intrare observabile relevante şi la minimum datele de intrare neobservabile.</w:t>
      </w:r>
      <w:bookmarkEnd w:id="906"/>
    </w:p>
    <w:p w:rsidR="00AC292A" w:rsidRDefault="00AC292A">
      <w:pPr>
        <w:pStyle w:val="IASBSectionTitle1NonInd"/>
      </w:pPr>
      <w:bookmarkStart w:id="907" w:name="SL32626691"/>
      <w:r>
        <w:t>Contabilitatea de acoperire împotriva riscurilor (capitolul 6)</w:t>
      </w:r>
      <w:bookmarkEnd w:id="907"/>
    </w:p>
    <w:p w:rsidR="00AC292A" w:rsidRDefault="00AC292A">
      <w:pPr>
        <w:pStyle w:val="IASBSectionTitle2Ind"/>
      </w:pPr>
      <w:bookmarkStart w:id="908" w:name="SL32626693"/>
      <w:r>
        <w:t>Instrumente de acoperire împotriva riscurilor (secțiunea 6.2)</w:t>
      </w:r>
      <w:bookmarkEnd w:id="908"/>
    </w:p>
    <w:p w:rsidR="00AC292A" w:rsidRDefault="00AC292A">
      <w:pPr>
        <w:pStyle w:val="IASBSectionTitle3Ind"/>
      </w:pPr>
      <w:bookmarkStart w:id="909" w:name="SL32626695"/>
      <w:r>
        <w:t>Instrumente care îndeplinesc condițiile pentru această categorie</w:t>
      </w:r>
      <w:bookmarkEnd w:id="909"/>
    </w:p>
    <w:p w:rsidR="00AC292A" w:rsidRDefault="00AC292A">
      <w:pPr>
        <w:pStyle w:val="IASBNormalnpara"/>
      </w:pPr>
      <w:r>
        <w:t>B6.2.1</w:t>
      </w:r>
      <w:r>
        <w:tab/>
      </w:r>
      <w:bookmarkStart w:id="910" w:name="SL32626696"/>
      <w:r>
        <w:t>Instrumentele derivate care sunt încorporate în contracte-hibrid, dar care nu sunt contabilizate separat, nu pot fi desemnate drept instrumente separate de acoperire împotriva riscurilor.</w:t>
      </w:r>
      <w:bookmarkEnd w:id="910"/>
    </w:p>
    <w:p w:rsidR="00AC292A" w:rsidRDefault="00AC292A">
      <w:pPr>
        <w:pStyle w:val="IASBNormalnpara"/>
      </w:pPr>
      <w:r>
        <w:t>B6.2.2</w:t>
      </w:r>
      <w:r>
        <w:tab/>
      </w:r>
      <w:bookmarkStart w:id="911" w:name="SL32626697"/>
      <w:r>
        <w:t>Propriile instrumente de capitaluri proprii ale unei entităţi nu sunt active financiare sau datorii financiare ale entităţii şi, prin urmare, nu pot fi desemnate ca instrumente de acoperire împotriva riscurilor.</w:t>
      </w:r>
      <w:bookmarkEnd w:id="911"/>
    </w:p>
    <w:p w:rsidR="00AC292A" w:rsidRDefault="00AC292A">
      <w:pPr>
        <w:pStyle w:val="IASBNormalnpara"/>
      </w:pPr>
      <w:r>
        <w:t>B6.2.3</w:t>
      </w:r>
      <w:r>
        <w:tab/>
      </w:r>
      <w:bookmarkStart w:id="912" w:name="SL32626698"/>
      <w:r>
        <w:t>Pentru acoperirile riscului valutar, componenta de risc valutar a unui instrument financiar nederivat este determinată în conformitate cu IAS 21.</w:t>
      </w:r>
      <w:bookmarkEnd w:id="912"/>
    </w:p>
    <w:p w:rsidR="00AC292A" w:rsidRDefault="00AC292A">
      <w:pPr>
        <w:pStyle w:val="IASBSectionTitle4Ind"/>
      </w:pPr>
      <w:bookmarkStart w:id="913" w:name="SL32626700"/>
      <w:r>
        <w:t>Opţiuni emise</w:t>
      </w:r>
      <w:bookmarkEnd w:id="913"/>
    </w:p>
    <w:p w:rsidR="00AC292A" w:rsidRDefault="00AC292A">
      <w:pPr>
        <w:pStyle w:val="IASBNormalnpara"/>
      </w:pPr>
      <w:r>
        <w:t>B6.2.4</w:t>
      </w:r>
      <w:r>
        <w:tab/>
      </w:r>
      <w:bookmarkStart w:id="914" w:name="SL32626701"/>
      <w:r>
        <w:t>Prezentul standard nu restricționează situațiile în care un instrument derivat care este evaluat la valoarea justă prin profit sau pierdere poate fi desemnat drept instrument de acoperire împotriva riscurilor, cu excepția anumitor opţiuni emise. O opţiune emisă nu îndeplineşte condiţiile unui instrument de acoperire împotriva riscurilor decât dacă este desemnată ca o compensare a unei opţiuni cumpărate, inclusiv una încorporată într-un alt instrument financiar (de exemplu, o opţiune call emisă utilizată pentru a acoperi împotriva riscurilor o datorie răscumpărabilă înainte de scadenţă).</w:t>
      </w:r>
      <w:bookmarkEnd w:id="914"/>
    </w:p>
    <w:p w:rsidR="00AC292A" w:rsidRDefault="00AC292A">
      <w:pPr>
        <w:pStyle w:val="IASBSectionTitle3Ind"/>
      </w:pPr>
      <w:bookmarkStart w:id="915" w:name="SL32626703"/>
      <w:r>
        <w:lastRenderedPageBreak/>
        <w:t>Desemnarea instrumentelor de acoperire împotriva riscurilor</w:t>
      </w:r>
      <w:bookmarkEnd w:id="915"/>
    </w:p>
    <w:p w:rsidR="00AC292A" w:rsidRDefault="00AC292A">
      <w:pPr>
        <w:pStyle w:val="IASBNormalnpara"/>
      </w:pPr>
      <w:r>
        <w:t>B6.2.5</w:t>
      </w:r>
      <w:r>
        <w:tab/>
      </w:r>
      <w:bookmarkStart w:id="916" w:name="SL32626704"/>
      <w:r>
        <w:t>În cazul altor acoperiri decât acoperirile riscului valutar, atunci când o entitate desemnează un activ financiar nederivat sau o datorie financiară nederivată evaluat(ă) la valoarea justă prin profit sau pierdere drept instrument de acoperire împotriva riscurilor, aceasta poate desemna doar instrumentul financiar nederivat în întregime sau o parte a acestuia.</w:t>
      </w:r>
      <w:bookmarkEnd w:id="916"/>
    </w:p>
    <w:p w:rsidR="00AC292A" w:rsidRDefault="00AC292A">
      <w:pPr>
        <w:pStyle w:val="IASBNormalnpara"/>
      </w:pPr>
      <w:r>
        <w:t>B6.2.6</w:t>
      </w:r>
      <w:r>
        <w:tab/>
      </w:r>
      <w:bookmarkStart w:id="917" w:name="SL32626705"/>
      <w:r>
        <w:t>Un singur instrument de acoperire împotriva riscurilor poate fi desemnat ca instrument de acoperire pentru mai multe tipuri de riscuri, cu condiția să existe o desemnare specifică a instrumentului de acoperire și a diferitelor poziții de risc drept elemente acoperite împotriva riscurilor. Acele elemente acoperite împotriva riscurilor se pot afla în relaţii de acoperire diferite.</w:t>
      </w:r>
      <w:bookmarkEnd w:id="917"/>
    </w:p>
    <w:p w:rsidR="00AC292A" w:rsidRDefault="00AC292A">
      <w:pPr>
        <w:pStyle w:val="IASBSectionTitle2Ind"/>
      </w:pPr>
      <w:bookmarkStart w:id="918" w:name="SL32626707"/>
      <w:r>
        <w:t>Elemente acoperite împotriva riscurilor (secțiunea 6.3)</w:t>
      </w:r>
      <w:bookmarkEnd w:id="918"/>
    </w:p>
    <w:p w:rsidR="00AC292A" w:rsidRDefault="00AC292A">
      <w:pPr>
        <w:pStyle w:val="IASBSectionTitle3Ind"/>
      </w:pPr>
      <w:bookmarkStart w:id="919" w:name="SL32626709"/>
      <w:r>
        <w:t>Elemente care îndeplinesc condiţiile pentru această categorie</w:t>
      </w:r>
      <w:bookmarkEnd w:id="919"/>
    </w:p>
    <w:p w:rsidR="00AC292A" w:rsidRDefault="00AC292A">
      <w:pPr>
        <w:pStyle w:val="IASBNormalnpara"/>
      </w:pPr>
      <w:r>
        <w:t>B6.3.1</w:t>
      </w:r>
      <w:r>
        <w:tab/>
      </w:r>
      <w:bookmarkStart w:id="920" w:name="SL32626710"/>
      <w:r>
        <w:t>Un angajament ferm de a dobândi o întreprindere într-o combinare de întreprinderi nu poate fi un element acoperit împotriva riscului, cu excepţia riscului valutar, deoarece celelalte riscuri de acoperit nu pot fi identificate sau evaluate în mod specific. Celelalte riscuri sunt riscuri generale legate de activitate.</w:t>
      </w:r>
      <w:bookmarkEnd w:id="920"/>
    </w:p>
    <w:p w:rsidR="00AC292A" w:rsidRDefault="00AC292A">
      <w:pPr>
        <w:pStyle w:val="IASBNormalnpara"/>
      </w:pPr>
      <w:r>
        <w:t>B6.3.2</w:t>
      </w:r>
      <w:r>
        <w:tab/>
      </w:r>
      <w:bookmarkStart w:id="921" w:name="SL32626711"/>
      <w:r>
        <w:t>O investiție contabilizată conform metodei punerii în echivalenţă nu poate fi un element acoperit într-o acoperire a valorii juste împotriva riscurilor. Aceasta deoarece metoda punerii în echivalenţă recunoaşte în profit sau pierdere cota-parte a investitorului din pierderea sau profitul entităţii în care s-a investit în loc de modificările valorii juste a investiţiei. Din motive similare, o investiție într-o filială consolidată nu poate fi un element acoperit împotriva riscurilor într-o acoperire a valorii juste. Aceasta deoarece consolidarea recunoaște în profit sau pierdere pierderea sau profitul filialei în loc de modificările valorii juste a investiţiei. O acoperire a unei investiţii nete într-o operaţiune din străinătate este diferită deoarece este o acoperire a unei expuneri la riscul valutar, nu o acoperire a valorii juste împotriva riscurilor aferente modificării valorii investiţiei.</w:t>
      </w:r>
      <w:bookmarkEnd w:id="921"/>
    </w:p>
    <w:p w:rsidR="00AC292A" w:rsidRDefault="00AC292A">
      <w:pPr>
        <w:pStyle w:val="IASBNormalnpara"/>
      </w:pPr>
      <w:r>
        <w:t>B6.3.3</w:t>
      </w:r>
      <w:r>
        <w:tab/>
      </w:r>
      <w:bookmarkStart w:id="922" w:name="SL32626712"/>
      <w:r>
        <w:t>Punctul 6.3.4 permite unei entități să desemneze drept elemente acoperite împotriva riscurilor expunerile agregate care reprezintă o combinație între o expunere și un instrument derivat. Atunci când se desemnează un astfel de element acoperit împotriva riscurilor, o entitate evaluează dacă expunerea agregată combină o expunere cu un instrument derivat astfel încât să creeze o expunere agregată diferită care este gestionată ca o singură expunere pentru un anumit risc (sau anumite riscuri). În acest caz, entitatea poate să desemneze elementul acoperit împotriva riscurilor pe baza expunerii agregate. De exemplu:</w:t>
      </w:r>
      <w:bookmarkEnd w:id="922"/>
    </w:p>
    <w:p w:rsidR="00AC292A" w:rsidRDefault="00AC292A">
      <w:pPr>
        <w:pStyle w:val="IASBNormalnparaL1"/>
      </w:pPr>
      <w:r>
        <w:t>(a)</w:t>
      </w:r>
      <w:r>
        <w:tab/>
      </w:r>
      <w:bookmarkStart w:id="923" w:name="SL32626715"/>
      <w:r>
        <w:t>o entitate poate să acopere împotriva riscului de preț (pe baza dolarilor SUA) un anumit volum de achiziții foarte probabile de cafea din următoarele 15 luni folosind un contract futures pe 15 luni pentru cafea. Achizițiile foarte probabile de cafea și contractul futures pentru cafea luate împreună pot fi privite ca fiind o expunere la riscul valutar pentru o sumă fixă de dolari SUA pe termen de 15 luni, din perspectiva gestionării riscului (adică la fel ca orice ieşire de numerar fixă de dolari SUA în termen de 15 luni).</w:t>
      </w:r>
      <w:bookmarkEnd w:id="923"/>
    </w:p>
    <w:p w:rsidR="00AC292A" w:rsidRDefault="00AC292A">
      <w:pPr>
        <w:pStyle w:val="IASBNormalnparaL1"/>
      </w:pPr>
      <w:r>
        <w:t>(b)</w:t>
      </w:r>
      <w:r>
        <w:tab/>
      </w:r>
      <w:bookmarkStart w:id="924" w:name="SL32626717"/>
      <w:r>
        <w:t>o entitate poate acoperi riscul valutar pentru întreaga durată a unei datorii cu rată fixă pe termen de 10 ani exprimate în valută. Totuși, entitatea necesită o expunere la rata fixă în moneda sa funcțională doar pe termen scurt spre mediu (pentru doi ani, de exemplu) și o expunere la rata fluctuantă a monedei sale funcționale pentru durata rămasă până la scadență. La finalul fiecărui interval de doi ani (adică pe o bază succesivă de doi ani), entitatea fixează expunerea la rata dobânzii pentru următorii doi ani (dacă nivelul dobânzii este de așa natură încât entitatea să dorească stabilirea unor rate fixe ale dobânzii). Într-o astfel de situație, o entitate poate să încheie un swap cu rată fixă spre fluctuantă a dobânzii între monede diferite pe termen de 10 ani care schimbă datoria cu rată fixă exprimată în valută într-o expunere la o rată variabilă în moneda funcțională. Acest lucru se suprapune cu un swap pe rata dobânzii pentru doi ani care – pe baza monedei funcţionale – schimbă o datorie cu rată variabilă într-o datorie cu rată fixă. De fapt, datoria cu rată fixă exprimată în valută combinată cu swapul pe rată fixă spre fluctuantă a dobânzii între valute pe termen de 10 ani sunt considerate ca fiind o expunere la o datorie cu rată variabilă a monedei funcţionale, din perspectiva gestionării riscului.</w:t>
      </w:r>
      <w:bookmarkEnd w:id="924"/>
    </w:p>
    <w:p w:rsidR="00AC292A" w:rsidRDefault="00AC292A">
      <w:pPr>
        <w:pStyle w:val="IASBNormalnpara"/>
      </w:pPr>
      <w:r>
        <w:t>B6.3.4</w:t>
      </w:r>
      <w:r>
        <w:tab/>
      </w:r>
      <w:bookmarkStart w:id="925" w:name="SL32626718"/>
      <w:r>
        <w:t>Atunci când se desemnează elementul acoperit împotriva riscurilor pe baza expunerii agregate, o entitate ia în considerare efectul combinat al elementelor care constituie expunerea agregată în sensul evaluării eficacității și ineficacității acoperirii împotriva riscurilor. Totuși, elementele care constituie expunerea agregată rămân contabilizate separat. Aceasta înseamnă, de exemplu, că:</w:t>
      </w:r>
      <w:bookmarkEnd w:id="925"/>
    </w:p>
    <w:p w:rsidR="00AC292A" w:rsidRDefault="00AC292A">
      <w:pPr>
        <w:pStyle w:val="IASBNormalnparaL1"/>
      </w:pPr>
      <w:r>
        <w:lastRenderedPageBreak/>
        <w:t>(a)</w:t>
      </w:r>
      <w:r>
        <w:tab/>
      </w:r>
      <w:bookmarkStart w:id="926" w:name="SL32626721"/>
      <w:r>
        <w:t>instrumentele derivate care fac parte dintr-o expunere agregată sunt recunoscute ca active sau datorii separate evaluate la valoarea justă; și</w:t>
      </w:r>
      <w:bookmarkEnd w:id="926"/>
    </w:p>
    <w:p w:rsidR="00AC292A" w:rsidRDefault="00AC292A">
      <w:pPr>
        <w:pStyle w:val="IASBNormalnparaL1"/>
      </w:pPr>
      <w:r>
        <w:t>(b)</w:t>
      </w:r>
      <w:r>
        <w:tab/>
      </w:r>
      <w:bookmarkStart w:id="927" w:name="SL32626723"/>
      <w:r>
        <w:t>dacă o relație de acoperire împotriva riscurilor este desemnată între elementele care constituie o expunere agregată, modul în care un instrument derivat este inclus ca parte dintr-o expunere agregată trebuie să fie consecvent cu desemnarea acelui instrument derivat drept instrument de acoperire împotriva riscurilor la nivelul expunerii agregate. De exemplu, dacă o entitate exclude elementul forward al unui instrument derivat de la desemnarea sa ca instrument de acoperire împotriva riscurilor pentru relaţia de acoperire dintre elementele care constituie expunerea agregată, atunci trebuie să excludă și elementul forward atunci când include acel instrument derivat ca parte din expunerea agregată. Altfel, expunerea agregată va include un instrument derivat, fie în întregime, fie doar o parte a acestuia.</w:t>
      </w:r>
      <w:bookmarkEnd w:id="927"/>
    </w:p>
    <w:p w:rsidR="00AC292A" w:rsidRDefault="00AC292A">
      <w:pPr>
        <w:pStyle w:val="IASBNormalnpara"/>
      </w:pPr>
      <w:r>
        <w:t>B6.3.5</w:t>
      </w:r>
      <w:r>
        <w:tab/>
      </w:r>
      <w:bookmarkStart w:id="928" w:name="SL32626724"/>
      <w:r>
        <w:t>Punctul 6.3.6 stipulează că, în situaţiile financiare consolidate, riscul valutar al unei tranzacţii prognozate din interiorul grupului care este foarte probabilă poate îndeplini condiţiile pentru un element acoperit împotriva riscurilor într-o acoperire a fluxurilor de trezorerie, cu condiţia ca tranzacţia să fie exprimată într-o altă monedă decât moneda funcţională a entităţii care iniţiază acea tranzacţie, iar riscul valutar să afecteze profitul sau pierderea consolidat(ă). În acest sens, o entitate poate fi o societate-mamă, o filială, o entitate asociată, un angajament comun sau o sucursală. Dacă riscul valutar al unei tranzacţii prognozate în interiorul grupului nu afectează profitul sau pierderea consolidat(ă), tranzacţia din interiorul grupului nu îndeplineşte condiţiile unui element acoperit împotriva riscurilor. Acesta este, de obicei, cazul plăţilor redevențelor, al plăţilor dobânzilor sau al costurilor de administrare între membrii aceluiaşi grup dacă nu există o tranzacţie externă aferentă. Totuşi, atunci când riscul valutar al unei tranzacţii prognozate în interiorul grupului va afecta profitul sau pierderea consolidat(ă), tranzacţia din interiorul grupului poate îndeplini condiţiile unui element acoperit împotriva riscurilor. Un exemplu îl constituie vânzările sau achiziţiile de stocuri prognozate între membrii aceluiaşi grup dacă există o vânzare în curs a stocului către o parte din afara grupului. În mod similar, o vânzare de imobilizări corporale prognozată în interiorul grupului între o entitate care face parte din grup și care le-a produs şi o entitate din grup care va utiliza imobilizările corporale în operaţiunile sale poate afecta profitul sau pierderea consolidat(ă). Acest lucru se poate întâmpla, de exemplu, deoarece imobilizările corporale vor fi amortizate de către entitatea care le cumpără, iar valoarea recunoscută iniţial pentru imobilizările corporale se poate modifica dacă tranzacţia prognozată din interiorul grupului este exprimată în altă monedă decât moneda funcţională a entităţii care le cumpără.</w:t>
      </w:r>
      <w:bookmarkEnd w:id="928"/>
    </w:p>
    <w:p w:rsidR="00AC292A" w:rsidRDefault="00AC292A">
      <w:pPr>
        <w:pStyle w:val="IASBNormalnpara"/>
      </w:pPr>
      <w:r>
        <w:t>B6.3.6</w:t>
      </w:r>
      <w:r>
        <w:tab/>
      </w:r>
      <w:bookmarkStart w:id="929" w:name="SL32626725"/>
      <w:r>
        <w:t>Dacă o acoperire împotriva riscurilor a unei tranzacții prognozate din interiorul grupului îndeplinește condițiile pentru contabilitatea de acoperire împotriva riscurilor, atunci orice câștig sau pierdere este recunoscut(ă) în, și extras(ă) din, alte elemente ale rezultatului global în conformitate cu punctul 6.5.11. Perioada sau perioadele relevante pe parcursul cărora riscul valutar al tranzacţiei acoperite afectează profitul sau pierderea sunt acelea în care este afectat(ă) profitul sau pierderea consolidat(ă).</w:t>
      </w:r>
      <w:bookmarkEnd w:id="929"/>
    </w:p>
    <w:p w:rsidR="00AC292A" w:rsidRDefault="00AC292A">
      <w:pPr>
        <w:pStyle w:val="IASBSectionTitle3Ind"/>
      </w:pPr>
      <w:bookmarkStart w:id="930" w:name="SL32626727"/>
      <w:r>
        <w:t>Desemnarea elementelor acoperite împotriva riscurilor</w:t>
      </w:r>
      <w:bookmarkEnd w:id="930"/>
    </w:p>
    <w:p w:rsidR="00AC292A" w:rsidRDefault="00AC292A">
      <w:pPr>
        <w:pStyle w:val="IASBNormalnpara"/>
      </w:pPr>
      <w:r>
        <w:t>B6.3.7</w:t>
      </w:r>
      <w:r>
        <w:tab/>
      </w:r>
      <w:bookmarkStart w:id="931" w:name="SL32626728"/>
      <w:r>
        <w:t xml:space="preserve">O componentă este un element acoperit împotriva riscurilor care reprezintă mai puțin decât întregul element. În consecință, o componentă reflectă doar o parte a riscurilor elementului din care face parte aceasta sau reflectă riscurile doar într-o anumită măsură (de exemplu, atunci când se desemnează o parte a elementului). </w:t>
      </w:r>
      <w:bookmarkEnd w:id="931"/>
    </w:p>
    <w:p w:rsidR="00AC292A" w:rsidRDefault="00AC292A">
      <w:pPr>
        <w:pStyle w:val="IASBSectionTitle4Ind"/>
      </w:pPr>
      <w:bookmarkStart w:id="932" w:name="SL32626730"/>
      <w:r>
        <w:t>Componente de risc</w:t>
      </w:r>
      <w:bookmarkEnd w:id="932"/>
    </w:p>
    <w:p w:rsidR="00AC292A" w:rsidRDefault="00AC292A">
      <w:pPr>
        <w:pStyle w:val="IASBNormalnpara"/>
      </w:pPr>
      <w:r>
        <w:t>B6.3.8</w:t>
      </w:r>
      <w:r>
        <w:tab/>
      </w:r>
      <w:bookmarkStart w:id="933" w:name="SL32626731"/>
      <w:r>
        <w:t>Pentru ca o componentă de risc să fie eligibilă în vederea desemnării drept element acoperit împotriva riscurilor, aceasta trebuie să fie o componentă identificabilă în mod distinct a elementului financiar sau nefinanciar, iar modificările fluxurilor de trezorerie sau ale valorii juste a elementului care pot fi atribuite modificărilor componentei de risc trebuie să poată fi evaluate fiabil.</w:t>
      </w:r>
      <w:bookmarkEnd w:id="933"/>
    </w:p>
    <w:p w:rsidR="00AC292A" w:rsidRDefault="00AC292A">
      <w:pPr>
        <w:pStyle w:val="IASBNormalnpara"/>
      </w:pPr>
      <w:r>
        <w:t>B6.3.9</w:t>
      </w:r>
      <w:r>
        <w:tab/>
      </w:r>
      <w:bookmarkStart w:id="934" w:name="SL32626732"/>
      <w:r>
        <w:t>La identificarea componentelor de risc care îndeplinesc condițiile pentru desemnarea drept elemente acoperite împotriva riscurilor, o entitate evaluează astfel de componente de risc în contextul structurii de piață specifice la care se referă riscul sau riscurile și în care are loc activitatea de acoperire împotriva riscurilor. O astfel de determinare necesită o evaluare a faptelor și circumstanțelor relevante, care diferă în funcție de risc și de piață.</w:t>
      </w:r>
      <w:bookmarkEnd w:id="934"/>
    </w:p>
    <w:p w:rsidR="00AC292A" w:rsidRDefault="00AC292A">
      <w:pPr>
        <w:pStyle w:val="IASBNormalnpara"/>
      </w:pPr>
      <w:r>
        <w:t>B6.3.10</w:t>
      </w:r>
      <w:r>
        <w:tab/>
      </w:r>
      <w:bookmarkStart w:id="935" w:name="SL32626733"/>
      <w:r>
        <w:t xml:space="preserve">Atunci când desemnează componentele de risc drept elemente acoperite împotriva riscurilor, o entitate analizează dacă aceste componente de risc sunt precizate în mod explicit într-un contract (componente de risc stipulate contractual) sau sunt implicite în valoarea justă sau fluxurile de trezorerie ale unui element din care fac parte (componente de risc nestipulate contractual). Componentele de risc nestipulate contractual pot fi asociate unor elemente necontractuale (de exemplu, tranzacţii prognozate) sau unor contracte în care nu </w:t>
      </w:r>
      <w:r>
        <w:lastRenderedPageBreak/>
        <w:t>este stipulată în mod explicit componenta (de exemplu, un angajament ferm care include un singur preț în locul unei formule de determinare a prețului care se referă la diferite instrumente de bază). De exemplu:</w:t>
      </w:r>
      <w:bookmarkEnd w:id="935"/>
    </w:p>
    <w:p w:rsidR="00AC292A" w:rsidRDefault="00AC292A">
      <w:pPr>
        <w:pStyle w:val="IASBNormalnparaL1"/>
      </w:pPr>
      <w:r>
        <w:t>(a)</w:t>
      </w:r>
      <w:r>
        <w:tab/>
      </w:r>
      <w:bookmarkStart w:id="936" w:name="SL32626736"/>
      <w:r>
        <w:t>Entitatea A are un contract pe termen lung de furnizare a gazelor naturale la un preț stabilit pe baza unei formule specificate în contract care cataloghează mărfurile și alți factori (de exemplu, motorină, păcură și alte componente, cum ar fi taxele de transport). Entitatea A acoperă componenta de motorină din acel contract de furnizare folosind un contract forward pentru motorină. Deoarece componenta de motorină este specificată în termenele și condițiile contractului de furnizare, aceasta este o componentă de risc stipulată contractual. Prin urmare, având în vedere formula de determinare a prețului, Entitatea A concluzionează că expunerea la prețul motorinei este identificabilă în mod distinct. În același timp, există o piață a contractelor forward pentru motorină. Prin urmare, Entitatea A concluzionează că expunerea la prețul motorinei este evaluată în mod fiabil. În consecință, expunerea la prețul motorinei din contractul de furnizare reprezintă o componentă de risc care este eligibilă pentru a fi desemnată drept element acoperit împotriva riscurilor.</w:t>
      </w:r>
      <w:bookmarkEnd w:id="936"/>
    </w:p>
    <w:p w:rsidR="00AC292A" w:rsidRDefault="00AC292A">
      <w:pPr>
        <w:pStyle w:val="IASBNormalnparaL1"/>
      </w:pPr>
      <w:r>
        <w:t>(b)</w:t>
      </w:r>
      <w:r>
        <w:tab/>
      </w:r>
      <w:bookmarkStart w:id="937" w:name="SL32626738"/>
      <w:r>
        <w:t>Entitatea B acoperă împotriva riscurilor viitoarele sale achiziții de cafea pe baza prognozei privind producţia. Acoperirea împotriva riscurilor începe cu până la 15 luni înainte de livrarea unei părți din volumul prognozat să fie achiziționat. Pe parcursul timpului, Entitatea B crește volumul acoperit împotriva riscurilor (pe măsură ce se apropie data livrării). Entitatea B utilizează două tipuri diferite de contracte pentru a-și gestiona riscul de preţ al cafelei:</w:t>
      </w:r>
      <w:bookmarkEnd w:id="937"/>
    </w:p>
    <w:p w:rsidR="00AC292A" w:rsidRDefault="00AC292A">
      <w:pPr>
        <w:pStyle w:val="IASBNormalnparaL2"/>
      </w:pPr>
      <w:r>
        <w:t>(i)</w:t>
      </w:r>
      <w:r>
        <w:tab/>
      </w:r>
      <w:bookmarkStart w:id="938" w:name="SL32626741"/>
      <w:r>
        <w:t>contracte futures, pentru cafeaua tranzacționată la bursă; și</w:t>
      </w:r>
      <w:bookmarkEnd w:id="938"/>
    </w:p>
    <w:p w:rsidR="00AC292A" w:rsidRDefault="00AC292A">
      <w:pPr>
        <w:pStyle w:val="IASBNormalnparaL2"/>
      </w:pPr>
      <w:r>
        <w:t>(ii)</w:t>
      </w:r>
      <w:r>
        <w:tab/>
      </w:r>
      <w:bookmarkStart w:id="939" w:name="SL32626743"/>
      <w:r>
        <w:t>contracte de furnizare a cafelei de tip Arabica din Columbia, livrată la un anumit punct de prelucrare. Aceste contracte stabilesc un preț pe tona de cafea pe baza prețului contractului futures pentru cafeaua tranzacționată la bursă, plus o diferență fixă de preț, plus o taxă variabilă pentru servicii logistice, calculat prin folosirea unei formule de determinare a prețului. Contractul de furnizare a cafelei este un contract executoriu conform căruia Entitatea B recepționează efectiv cafeaua.</w:t>
      </w:r>
      <w:bookmarkEnd w:id="939"/>
    </w:p>
    <w:p w:rsidR="00AC292A" w:rsidRDefault="00AC292A">
      <w:pPr>
        <w:pStyle w:val="IASBNormalnparaL1P"/>
      </w:pPr>
      <w:bookmarkStart w:id="940" w:name="SL32626744"/>
      <w:r>
        <w:t>Pentru livrările aferente recoltei curente, încheierea unor contracte de furnizare a cafelei permite Entității B să fixeze diferența de preț între calitatea cafelei achiziționate efectiv (cafea Arabica din Columbia) și calitatea de referință care reprezintă baza contractelor futures tranzacționate la bursă. Totuși, pentru livrările aferente următoarei recolte, contractele de furnizare a cafelei nu sunt încă disponibile, astfel încât nu se poate fixa diferența de preț. Entitatea B folosește contractele futures pentru cafeaua tranzacționată la bursă pentru a acoperi împotriva riscurilor componenta de calitate de referință din riscul său de preţ al cafelei pentru livrările aferente atât recoltei curente, cât și recoltei viitoare. Entitatea B determină că este expusă la trei riscuri diferite: riscul de preț al cafelei care reflectă calitatea de referință, riscul de preț al cafelei care reflectă diferența (marja) dintre prețul cafelei la o calitate de referință și cel al cafelei Arabica specifice din Columbia pe care o primește de fapt și costurile logistice variabile. Pentru livrările aferente recoltei curente, după ce Entitatea B încheie un contract de furnizare a cafelei, riscul de preț al cafelei care reflectă calitatea de referință reprezintă o componentă de risc stipulată contractual, deoarece formula de determinare a prețului include o indexare a prețului la contractul futures pentru cafeaua tranzacționată la bursă. Entitatea B concluzionează că această componentă de risc este identificabilă în mod distinct și poate fi evaluată în mod fiabil. Pentru livrările aferente următoarei recolte, Entitatea B nu a încheiat încă niciun contract de furnizare a cafelei (adică acele livrări sunt tranzacţii prognozate). Prin urmare, riscul de preţ al cafelei care reflectă calitatea de referință reprezintă o componentă de risc stipulată non-contractual. Analiza Entității B asupra structurii pieței ține cont de modul în care sunt stabilite prețurile pentru posibilele livrări ale cafelei specifice primite. Prin urmare, pe baza acestei analize a structurii pieței, Entitatea B concluzionează că tranzacţiile prognozate implică și riscul de preţ al cafelei ce reflectă calitatea de referință ca fiind o componentă de risc care este identificabilă în mod distinct și care poate fi evaluată în mod fiabil, deși nu este stipulată contractual. În consecință, Entitatea B poate desemna relaţiile de acoperire împotriva riscurilor pe baza componentelor de risc (pentru riscul de preț al cafelei care reflectă calitatea de referință) pentru contractele de furnizare a cafelei, precum și pentru tranzacţiile prognozate.</w:t>
      </w:r>
      <w:bookmarkEnd w:id="940"/>
    </w:p>
    <w:p w:rsidR="00AC292A" w:rsidRDefault="00AC292A">
      <w:pPr>
        <w:pStyle w:val="IASBNormalnparaL1"/>
      </w:pPr>
      <w:r>
        <w:t>(c)</w:t>
      </w:r>
      <w:r>
        <w:tab/>
      </w:r>
      <w:bookmarkStart w:id="941" w:name="SL32626746"/>
      <w:r>
        <w:t xml:space="preserve">Entitatea C acoperă împotriva riscurilor o parte din achizițiile sale viitoare de kerosen pe baza consumului său prognozat pentru până la 24 de luni înainte de livrare și crește volumul acoperit de-a lungul timpului. Entitatea C acoperă această expunere folosind diferite tipuri de contracte, în funcție de orizontul de timp al acoperirii, ceea ce afectează lichiditatea de pe piață a instrumentelor derivate. Pentru orizonturi mai lungi de timp (12-24 de luni), Entitatea C folosește contracte pentru țițeiul brut deoarece doar acestea au suficientă lichiditate pe piață. Pentru orizonturi de timp de 6-12 luni, Entitatea C folosește instrumente derivate pentru motorină deoarece prezintă o lichiditate suficientă. Pentru orizonturi de timp de până la șase luni, Entitatea </w:t>
      </w:r>
      <w:r>
        <w:lastRenderedPageBreak/>
        <w:t>C folosește contracte pentru kerosen. Analiza Entității C asupra structurii pieței pentru petrol și produse petroliere, precum și evaluarea faptelor și circumstanțelor relevante sunt următoarele:</w:t>
      </w:r>
      <w:bookmarkEnd w:id="941"/>
    </w:p>
    <w:p w:rsidR="00AC292A" w:rsidRDefault="00AC292A">
      <w:pPr>
        <w:pStyle w:val="IASBNormalnparaL3"/>
      </w:pPr>
      <w:bookmarkStart w:id="942" w:name="SL32626749"/>
      <w:r>
        <w:t>Entitatea C funcționează într-o zonă geografică în care Brent reprezintă referința pentru țițeiul brut. Țițeiul brut reprezintă o materie primă de referință care afectează prețul diferitelor produse petroliere rafinate deoarece este componenta cea mai de bază a acestora. Motorina reprezintă referința pentru produsele petroliere rafinate, care este folosită ca preț de referinţă pentru produsele petroliere distilate în general. Acest lucru se reflectă de asemenea în tipurile de instrumente financiare derivate pentru piețele țițeiului brut și produselor petroliere rafinate din mediul în care operează Entitatea C, precum:•</w:t>
      </w:r>
      <w:r>
        <w:tab/>
      </w:r>
      <w:bookmarkStart w:id="943" w:name="SL32626752"/>
      <w:r>
        <w:t>contractul futures pentru țițeiul brut de referință, adică pentru țițeiul brut de tip Brent;</w:t>
      </w:r>
      <w:bookmarkEnd w:id="943"/>
    </w:p>
    <w:p w:rsidR="00AC292A" w:rsidRDefault="00AC292A">
      <w:pPr>
        <w:pStyle w:val="IASBNormalnparaL3"/>
      </w:pPr>
      <w:r>
        <w:t>•</w:t>
      </w:r>
      <w:r>
        <w:tab/>
      </w:r>
      <w:bookmarkStart w:id="944" w:name="SL32626754"/>
      <w:r>
        <w:t>contractul futures pentru motorina de referință, care este folosit ca referință de determinare a prețului produselor distilate - de exemplu, instrumentele derivate aferente marjei kerosenului acoperă diferența de preț dintre kerosen și acea motorină de referință; și</w:t>
      </w:r>
      <w:bookmarkEnd w:id="944"/>
    </w:p>
    <w:p w:rsidR="00AC292A" w:rsidRDefault="00AC292A">
      <w:pPr>
        <w:pStyle w:val="IASBNormalnparaL3"/>
      </w:pPr>
      <w:r>
        <w:t>•</w:t>
      </w:r>
      <w:r>
        <w:tab/>
      </w:r>
      <w:bookmarkStart w:id="945" w:name="SL32626756"/>
      <w:r>
        <w:t>instrumentul derivat aferent „marjei de rafinare” pentru motorina de referință (adică instrumentul derivat pentru diferența de preț dintre țițeiul brut și motorină – o marjă de procesare), care este indexat față de țițeiul brut de tip Brent.</w:t>
      </w:r>
      <w:bookmarkEnd w:id="945"/>
    </w:p>
    <w:bookmarkEnd w:id="942"/>
    <w:p w:rsidR="00AC292A" w:rsidRDefault="00AC292A">
      <w:pPr>
        <w:widowControl w:val="0"/>
        <w:autoSpaceDE w:val="0"/>
        <w:autoSpaceDN w:val="0"/>
        <w:adjustRightInd w:val="0"/>
      </w:pPr>
    </w:p>
    <w:p w:rsidR="00AC292A" w:rsidRDefault="00AC292A">
      <w:pPr>
        <w:pStyle w:val="IASBNormalnparaL2"/>
      </w:pPr>
      <w:r>
        <w:t>(ii)</w:t>
      </w:r>
      <w:r>
        <w:tab/>
      </w:r>
      <w:bookmarkStart w:id="946" w:name="SL32626758"/>
      <w:r>
        <w:t>stabilirea prețului produselor petroliere rafinate nu depinde de ce țiței brut specific este procesat de o anumită rafinărie, deoarece acele produse petroliere rafinate (precum motorina sau kerosenul) sunt produse standardizate.</w:t>
      </w:r>
      <w:bookmarkEnd w:id="946"/>
    </w:p>
    <w:p w:rsidR="00AC292A" w:rsidRDefault="00AC292A">
      <w:pPr>
        <w:pStyle w:val="IASBNormalnparaL1P"/>
      </w:pPr>
      <w:bookmarkStart w:id="947" w:name="SL32626759"/>
      <w:r>
        <w:t>Prin urmare, Entitatea C ajunge la concluzia că riscul de preț al achizițiilor sale de kerosen include o componentă de risc de preţ al țițeiului brut în funcție de țițeiul brut de tip Brent și o componentă de risc de preţ al motorinei, deși țițeiul brut și motorina nu sunt specificate în niciun angajament contractual. Entitatea C concluzionează că aceste două componente de risc sunt identificabile în mod distinct și pot fi evaluate în mod fiabil, deși nu sunt stipulate contractual. În consecință, Entitatea C poate desemna relaţii de acoperire împotriva riscurilor pentru achizițiile prognozate de kerosen pe baza componentelor de risc (pentru țițeiul brut sau motorină). Această analiză înseamnă, de asemenea, că dacă Entitatea C a folosit, de exemplu, instrumente derivate pentru țițeiul brut pe baza țițeiului brut de tip West Texas Intermediate (WTI), atunci modificările în diferența de preț dintre țițeiul de tip Brent și cel de tip WTI ar genera ineficacitate de acoperire împotriva riscurilor.</w:t>
      </w:r>
      <w:bookmarkEnd w:id="947"/>
    </w:p>
    <w:p w:rsidR="00AC292A" w:rsidRDefault="00AC292A">
      <w:pPr>
        <w:pStyle w:val="IASBNormalnparaL1"/>
      </w:pPr>
      <w:r>
        <w:t>(d)</w:t>
      </w:r>
      <w:r>
        <w:tab/>
      </w:r>
      <w:bookmarkStart w:id="948" w:name="SL32626761"/>
      <w:r>
        <w:t>Entitatea D deține un instrument de datorie cu rată fixă. Acest instrument este emis într-un mediu cu o piață în care o mare varietate de instrumente similare de datorie sunt comparate în funcție de marjele lor cu o rată de referință (LIBOR, de exemplu), iar instrumentele cu rată variabilă din acel mediu sunt, de obicei, indexate la acea rată de referință. Swapurile pe rata dobânzii sunt frecvent folosite pentru a gestiona riscul ratei dobânzii pe baza acelei rate de referință, indiferent de marja instrumentelor de datorie față de acea rată de referință. Prețul instrumentelor de datorie cu rată fixă variază direct proporțional cu schimbările ratei de referință pe măsură ce acestea au loc. Entitatea D concluzionează că rata de referință reprezintă o componentă care este identificabilă în mod distinct și care poate fi evaluată în mod fiabil. În consecință, Entitatea D poate desemna relaţiile de acoperire împotriva riscurilor pentru instrumentul de datorie cu rată fixă pe baza componentei de risc pentru riscul ratei dobânzii de referință.</w:t>
      </w:r>
      <w:bookmarkEnd w:id="948"/>
    </w:p>
    <w:p w:rsidR="00AC292A" w:rsidRDefault="00AC292A">
      <w:pPr>
        <w:pStyle w:val="IASBNormalnpara"/>
      </w:pPr>
      <w:r>
        <w:t>B6.3.11</w:t>
      </w:r>
      <w:r>
        <w:tab/>
      </w:r>
      <w:bookmarkStart w:id="949" w:name="SL32626762"/>
      <w:r>
        <w:t>Atunci când o componentă de risc este desemnată ca element acoperit împotriva riscurilor, dispoziţiile privind contabilitatea de acoperire împotriva riscurilor se aplică acelei componente de risc în același mod în care se aplică și pentru alte elemente acoperite care nu sunt componente de risc. De exemplu, se aplică criteriile necesare, inclusiv faptul că relaţia de acoperire împotriva riscurilor trebuie să îndeplinească dispozițiile privind eficacitatea acoperirii, iar orice ineficacitate a acoperirii împotriva riscurilor trebuie evaluată și recunoscută.</w:t>
      </w:r>
      <w:bookmarkEnd w:id="949"/>
    </w:p>
    <w:p w:rsidR="00AC292A" w:rsidRDefault="00AC292A">
      <w:pPr>
        <w:pStyle w:val="IASBNormalnpara"/>
      </w:pPr>
      <w:r>
        <w:t>B6.3.12</w:t>
      </w:r>
      <w:r>
        <w:tab/>
      </w:r>
      <w:bookmarkStart w:id="950" w:name="SL32626763"/>
      <w:r>
        <w:t xml:space="preserve">O entitate poate desemna, de asemenea, numai modificări ale fluxurilor de trezorerie sau ale valorii juste a unui element acoperit împotriva riscurilor peste sau sub un preţ specificat sau o altă variabilă (un „risc unilateral”). Valoarea intrinsecă a unui instrument de acoperire împotriva riscurilor a opţiunii cumpărate (presupunând că are aceleași termene de bază ca riscul desemnat), dar nu valoarea sa timp, reflectă un risc unilateral într-un element acoperit împotriva riscurilor. De exemplu, o entitate poate desemna variabilitatea rezultatelor viitoare ale fluxurilor de trezorerie generate de o creştere a preţului unei achiziții prognozate de mărfuri. Într-o asemenea situaţie, o entitate desemnează numai pierderile aferente fluxurilor de trezorerie </w:t>
      </w:r>
      <w:r>
        <w:lastRenderedPageBreak/>
        <w:t>rezultate dintr-o creştere a preţului peste nivelul specificat. Riscul acoperit nu cuprinde valoarea-timp a unei opţiuni cumpărate, deoarece valoarea-timp nu este o componentă a tranzacţiei prognozate care să afecteze profitul sau pierderea.</w:t>
      </w:r>
      <w:bookmarkEnd w:id="950"/>
    </w:p>
    <w:p w:rsidR="00AC292A" w:rsidRDefault="00AC292A">
      <w:pPr>
        <w:pStyle w:val="IASBNormalnpara"/>
      </w:pPr>
      <w:r>
        <w:t>B6.3.13</w:t>
      </w:r>
      <w:r>
        <w:tab/>
      </w:r>
      <w:bookmarkStart w:id="951" w:name="SL32626764"/>
      <w:r>
        <w:t>Există o prezumţie relativă conform căreia, cu excepția cazului în care riscul inflaționist este stipulat contractual, acesta nu este identificabil în mod distinct și nu poate fi evaluat în mod fiabil și, prin urmare, nu poate fi desemnat drept o componentă de risc a unui instrument financiar. Totuși, în cazuri limitate, este posibil să fie identificată o componentă de risc pentru riscul inflaţionist care este identificabilă în mod distinct și poate fi evaluată în mod fiabil, având în vedere situațiile specifice din mediul inflaționist și piața relevantă a datoriilor.</w:t>
      </w:r>
      <w:bookmarkEnd w:id="951"/>
    </w:p>
    <w:p w:rsidR="00AC292A" w:rsidRDefault="00AC292A">
      <w:pPr>
        <w:pStyle w:val="IASBNormalnpara"/>
      </w:pPr>
      <w:r>
        <w:t>B6.3.14</w:t>
      </w:r>
      <w:r>
        <w:tab/>
      </w:r>
      <w:bookmarkStart w:id="952" w:name="SL32626765"/>
      <w:r>
        <w:t>De exemplu, o entitate emite o datorie într-un mediu în care obligațiunile indexate la inflație au un volum și o structură a termenelor care au ca rezultat o piață suficient de lichidă ce permite stabilirea unei structuri a scadențelor ratelor reale ale dobânzii cu cupon zero. Acest lucru înseamnă că, pentru respectiva valută, inflația este un factor relevant care este luat în considerare separat pe piața datoriei. În acele situații, componenta de risc inflaționist poate fi determinată prin actualizarea fluxurilor de trezorerie ale instrumentului de datorie acoperit împotriva riscurilor folosind o structură a scadențelor ratelor reale ale dobânzii cu cupon zero (adică într-o manieră similară celei în care este determinată o componentă a ratei dobânzii fără risc (nominale)). Invers, în multe cazuri, o componentă de risc inflaționist nu este identificabilă în mod distinct și nu poate fi evaluată în mod fiabil. De exemplu, o entitate emite doar datorii cu rată nominală a dobânzii într-un mediu cu o piață a obligațiunilor indexate la inflație care nu este suficient de lichidă pentru a permite stabilirea unei structuri a scadențelor ratelor reale ale dobânzii cu cupon zero. În acest caz, analiza structurii pieței și a faptelor și circumstanțelor nu sprijină concluzia entității că inflaţia este un factor relevant luat în considerare separat de piețele dobânzii. Prin urmare, entitatea nu poate depăși prezumţia relativă că riscul inflaționist care nu este stipulat contractual nu este identificabil în mod distinct și nu poate fi evaluat în mod fiabil. În consecință, o componentă de risc inflaționist nu va fi eligibilă pentru desemnarea ca element acoperit împotriva riscurilor. Acest lucru se aplică indiferent de orice instrumente de acoperire împotriva riscurilor inflaționiste pe care le-a inițiat entitatea efectiv. În special, entitatea nu poate imputa pur și simplu termenele și condițiile aferente instrumentului de acoperire împotriva riscurilor aferente inflației reale prin proiectarea termenelor și condițiilor asupra unei datorii cu rată nominală a dobânzii.</w:t>
      </w:r>
      <w:bookmarkEnd w:id="952"/>
    </w:p>
    <w:p w:rsidR="00AC292A" w:rsidRDefault="00AC292A">
      <w:pPr>
        <w:pStyle w:val="IASBNormalnpara"/>
      </w:pPr>
      <w:r>
        <w:t>B6.3.15</w:t>
      </w:r>
      <w:r>
        <w:tab/>
      </w:r>
      <w:bookmarkStart w:id="953" w:name="SL32626766"/>
      <w:r>
        <w:t>O componentă de risc inflaționist stipulată contractual aferentă fluxurilor de trezorerie ale unei obligaţiuni recunoscute indexate la inflaţie (presupunând că nu există nicio dispoziţie de contabilizare separată a unui instrument derivat încorporat) este identificabilă separat şi poate fi evaluată în mod fiabil cât timp alte fluxuri de trezorerie aferente instrumentului nu sunt afectate de componenta de risc inflaționist.</w:t>
      </w:r>
      <w:bookmarkEnd w:id="953"/>
    </w:p>
    <w:p w:rsidR="00AC292A" w:rsidRDefault="00AC292A">
      <w:pPr>
        <w:pStyle w:val="IASBSectionTitle4Ind"/>
      </w:pPr>
      <w:bookmarkStart w:id="954" w:name="SL32626768"/>
      <w:r>
        <w:t>Componente ale unei valori nominale</w:t>
      </w:r>
      <w:bookmarkEnd w:id="954"/>
    </w:p>
    <w:p w:rsidR="00AC292A" w:rsidRDefault="00AC292A">
      <w:pPr>
        <w:pStyle w:val="IASBNormalnpara"/>
      </w:pPr>
      <w:r>
        <w:t>B6.3.16</w:t>
      </w:r>
      <w:r>
        <w:tab/>
      </w:r>
      <w:bookmarkStart w:id="955" w:name="SL32626769"/>
      <w:r>
        <w:t>Există două tipuri de componente ale valorilor nominale care pot fi desemnate drept elemente acoperite împotriva riscurilor într-o relaţie de acoperire: o componentă care este o parte a întregului element sau o componentă-strat. Tipul de componentă modifică rezultatul contabil. O entitate trebuie să desemneze componenta în scopuri contabile în mod consecvent cu obiectivul de gestionare a riscului.</w:t>
      </w:r>
      <w:bookmarkEnd w:id="955"/>
    </w:p>
    <w:p w:rsidR="00AC292A" w:rsidRDefault="00AC292A">
      <w:pPr>
        <w:pStyle w:val="IASBNormalnpara"/>
      </w:pPr>
      <w:r>
        <w:t>B6.3.17</w:t>
      </w:r>
      <w:r>
        <w:tab/>
      </w:r>
      <w:bookmarkStart w:id="956" w:name="SL32626770"/>
      <w:r>
        <w:t>Un exemplu de componentă care reprezintă o parte este un procent de 50% din fluxurile de trezorerie contractuale ale unui împrumut.</w:t>
      </w:r>
      <w:bookmarkEnd w:id="956"/>
    </w:p>
    <w:p w:rsidR="00AC292A" w:rsidRDefault="00AC292A">
      <w:pPr>
        <w:pStyle w:val="IASBNormalnpara"/>
      </w:pPr>
      <w:r>
        <w:t>B6.3.18</w:t>
      </w:r>
      <w:r>
        <w:tab/>
      </w:r>
      <w:bookmarkStart w:id="957" w:name="SL32626771"/>
      <w:r>
        <w:t>O componentă-strat poate fi identificată dintr-o populație definită, dar deschisă, sau dintr-o valoare nominală definită. Exemplele includ:</w:t>
      </w:r>
      <w:bookmarkEnd w:id="957"/>
    </w:p>
    <w:p w:rsidR="00AC292A" w:rsidRDefault="00AC292A">
      <w:pPr>
        <w:pStyle w:val="IASBNormalnparaL1"/>
      </w:pPr>
      <w:r>
        <w:t>(a)</w:t>
      </w:r>
      <w:r>
        <w:tab/>
      </w:r>
      <w:bookmarkStart w:id="958" w:name="SL32626774"/>
      <w:r>
        <w:t>o parte din volumul unei tranzacții monetare, de exemplu, următoarele fluxuri de trezorerie în valoare de 10 MS din vânzările exprimate într-o valută după primele 20 MS din martie 201X;</w:t>
      </w:r>
      <w:r>
        <w:rPr>
          <w:rStyle w:val="FootnoteReference"/>
        </w:rPr>
        <w:footnoteReference w:id="4"/>
      </w:r>
      <w:bookmarkEnd w:id="958"/>
    </w:p>
    <w:p w:rsidR="00AC292A" w:rsidRDefault="00AC292A">
      <w:pPr>
        <w:pStyle w:val="IASBNormalnparaL1"/>
      </w:pPr>
      <w:r>
        <w:t>(b)</w:t>
      </w:r>
      <w:r>
        <w:tab/>
      </w:r>
      <w:bookmarkStart w:id="959" w:name="SL32626776"/>
      <w:r>
        <w:t>o parte dintr-un volum fizic, de exemplu, stratul inferior, care măsoară 5 milioane de metri cubi, de gaz natural depozitat în locul XYZ;</w:t>
      </w:r>
      <w:bookmarkEnd w:id="959"/>
    </w:p>
    <w:p w:rsidR="00AC292A" w:rsidRDefault="00AC292A">
      <w:pPr>
        <w:pStyle w:val="IASBNormalnparaL1"/>
      </w:pPr>
      <w:r>
        <w:t>(c)</w:t>
      </w:r>
      <w:r>
        <w:tab/>
      </w:r>
      <w:bookmarkStart w:id="960" w:name="SL32626778"/>
      <w:r>
        <w:t>o parte dintr-un volum fizic sau un alt volum dintr-o tranzacție, de exemplu, primii 100 de barili de petrol achiziționați în iunie 201X sau primii 100 MWh din vânzările de electricitate din iunie 201X; sau</w:t>
      </w:r>
      <w:bookmarkEnd w:id="960"/>
    </w:p>
    <w:p w:rsidR="00AC292A" w:rsidRDefault="00AC292A">
      <w:pPr>
        <w:pStyle w:val="IASBNormalnparaL1"/>
      </w:pPr>
      <w:r>
        <w:t>(d)</w:t>
      </w:r>
      <w:r>
        <w:tab/>
      </w:r>
      <w:bookmarkStart w:id="961" w:name="SL32626780"/>
      <w:r>
        <w:t>un strat din valoarea nominală a elementului acoperit, de exemplu, ultimele 80 de milioane u.m. dintr-un angajament ferm de 100 de milioane u.m., stratul inferior de 20 de milioane u.m. dintr-o obligațiune cu rată fixă de 100 de milioane u.m. sau stratul superior de 30 de milioane u.m. din valoarea totală de 100 de milioane u.m. a unei datorii cu rată fixă care poate fi plătită în avans la valoarea justă (valoarea nominală definită este de 100 de milioane u.m.).</w:t>
      </w:r>
      <w:bookmarkEnd w:id="961"/>
    </w:p>
    <w:p w:rsidR="00AC292A" w:rsidRDefault="00AC292A">
      <w:pPr>
        <w:pStyle w:val="IASBNormalnpara"/>
      </w:pPr>
      <w:r>
        <w:lastRenderedPageBreak/>
        <w:t>B6.3.19</w:t>
      </w:r>
      <w:r>
        <w:tab/>
      </w:r>
      <w:bookmarkStart w:id="962" w:name="SL32626781"/>
      <w:r>
        <w:t>Dacă o componentă-strat este desemnată într-o acoperire a valorii juste împotriva riscurilor, atunci o entitate trebuie să o identifice dintr-o valoare nominală definită. Pentru a se conforma cu dispozițiile necesare privind îndeplinirea condițiilor ca acoperiri ale valorii juste împotriva riscurilor, o entitate trebuie să reevalueze elementul acoperit pentru modificările valorii juste (adică să reevalueze elementul pentru modificările valorii juste atribuibile riscului acoperit). Ajustarea acoperirii valorii juste împotriva riscurilor trebuie recunoscută în profit sau pierdere cel târziu atunci când elementul este derecunoscut. În consecință, este necesar să se urmărească elementul la care se referă ajustarea acoperirii valorii juste împotriva riscurilor. Pentru o componentă-strat dintr-o acoperire a valorii juste împotriva riscurilor se impune ca o entitate să urmărească valoarea nominală din cadrul căreia este definită. De exemplu, la punctul B6.3.18 litera (d), valoarea nominală definită totală de 100 de milioane u.m. trebuie urmărită pentru a putea urmări stratul inferior de 20 de milioane u.m. sau stratul superior de 30 de milioane u.m.</w:t>
      </w:r>
      <w:bookmarkEnd w:id="962"/>
    </w:p>
    <w:p w:rsidR="00AC292A" w:rsidRDefault="00AC292A">
      <w:pPr>
        <w:pStyle w:val="IASBNormalnpara"/>
      </w:pPr>
      <w:r>
        <w:t>B6.3.20</w:t>
      </w:r>
      <w:r>
        <w:tab/>
      </w:r>
      <w:bookmarkStart w:id="963" w:name="SL32626782"/>
      <w:r>
        <w:t>O componentă-strat care include o opțiune de plată în avans nu este eligibilă pentru a fi desemnată drept element acoperit împotriva riscurilor într-o acoperire a valorii juste dacă valoarea justă a opțiunii de plată în avans este afectată de modificările riscului acoperit, cu excepția cazului în care stratul desemnat include efectul opțiunii de plată în avans atunci când se determină modificarea valorii juste a elementului acoperit împotriva riscurilor.</w:t>
      </w:r>
      <w:bookmarkEnd w:id="963"/>
    </w:p>
    <w:p w:rsidR="00AC292A" w:rsidRDefault="00AC292A">
      <w:pPr>
        <w:pStyle w:val="IASBSectionTitle4Ind"/>
      </w:pPr>
      <w:bookmarkStart w:id="964" w:name="SL32626784"/>
      <w:r>
        <w:t>Relația dintre componente și fluxurile de trezorerie totale ale unui element</w:t>
      </w:r>
      <w:bookmarkEnd w:id="964"/>
    </w:p>
    <w:p w:rsidR="00AC292A" w:rsidRDefault="00AC292A">
      <w:pPr>
        <w:pStyle w:val="IASBNormalnpara"/>
      </w:pPr>
      <w:r>
        <w:t>B6.3.21</w:t>
      </w:r>
      <w:r>
        <w:tab/>
      </w:r>
      <w:bookmarkStart w:id="965" w:name="SL32626785"/>
      <w:r>
        <w:t>Dacă o componentă a fluxurilor de trezorerie ale unui element financiar sau nefinanciar este desemnată drept element acoperit împotriva riscurilor, acea componentă trebuie să fie mai mică sau egală cu fluxurile totale de trezorerie ale întregului element. Totuși, toate fluxurile de trezorerie ale întregului element pot fi desemnate drept element acoperit și acoperite doar pentru un anumit risc (de exemplu, doar pentru acele modificări care pot fi atribuite modificărilor LIBOR sau ale unui preț de referință al mărfii).</w:t>
      </w:r>
      <w:bookmarkEnd w:id="965"/>
    </w:p>
    <w:p w:rsidR="00AC292A" w:rsidRDefault="00AC292A">
      <w:pPr>
        <w:pStyle w:val="IASBNormalnpara"/>
      </w:pPr>
      <w:r>
        <w:t>B6.3.22</w:t>
      </w:r>
      <w:r>
        <w:tab/>
      </w:r>
      <w:bookmarkStart w:id="966" w:name="SL32626786"/>
      <w:r>
        <w:t>De exemplu, în cazul unei datorii financiare a cărei rată a dobânzii efective este mai mică decât LIBOR, o entitate nu poate desemna:</w:t>
      </w:r>
      <w:bookmarkEnd w:id="966"/>
    </w:p>
    <w:p w:rsidR="00AC292A" w:rsidRDefault="00AC292A">
      <w:pPr>
        <w:pStyle w:val="IASBNormalnparaL1"/>
      </w:pPr>
      <w:r>
        <w:t>(a)</w:t>
      </w:r>
      <w:r>
        <w:tab/>
      </w:r>
      <w:bookmarkStart w:id="967" w:name="SL32626789"/>
      <w:r>
        <w:t>o componentă a datoriei egală cu dobânda la indicele LIBOR (plus valoarea principalului, în cazul unei acoperiri a valorii juste împotriva riscurilor); și</w:t>
      </w:r>
      <w:bookmarkEnd w:id="967"/>
    </w:p>
    <w:p w:rsidR="00AC292A" w:rsidRDefault="00AC292A">
      <w:pPr>
        <w:pStyle w:val="IASBNormalnparaL1"/>
      </w:pPr>
      <w:r>
        <w:t>(b)</w:t>
      </w:r>
      <w:r>
        <w:tab/>
      </w:r>
      <w:bookmarkStart w:id="968" w:name="SL32626791"/>
      <w:r>
        <w:t>o componentă reziduală negativă.</w:t>
      </w:r>
      <w:bookmarkEnd w:id="968"/>
    </w:p>
    <w:p w:rsidR="00AC292A" w:rsidRDefault="00AC292A">
      <w:pPr>
        <w:pStyle w:val="IASBNormalnpara"/>
      </w:pPr>
      <w:r>
        <w:t>B6.3.23</w:t>
      </w:r>
      <w:r>
        <w:tab/>
      </w:r>
      <w:bookmarkStart w:id="969" w:name="SL32626792"/>
      <w:r>
        <w:t>Totuși, în cazul unei datorii financiare cu rată fixă a cărei rată a dobânzii efective este (de exemplu) cu 100 de puncte de bază sub LIBOR, o entitate poate desemna drept element acoperit împotriva riscurilor modificarea valorii întregii datorii (adică principalul plus dobânda la indicele LIBOR minus 100 de puncte de bază) care este atribuită schimbărilor LIBOR. Dacă un instrument financiar cu rată fixă este acoperit împotriva riscurilor la un moment dat, ulterior emiterii sale, iar ratele dobânzii s-au modificat între timp, entitatea poate desemna o componentă de risc egală cu o rată de referinţă care este mai mare decât rata contractuală plătită pentru elementul respectiv. Entitatea poate face acest lucru cu condiţia ca rata de referinţă să fie mai mică decât rata dobânzii efective, calculată presupunând că entitatea a cumpărat instrumentul în ziua în care a desemnat pentru prima dată elementul acoperit împotriva riscurilor. Să presupunem, de exemplu, că entitatea emite un activ financiar cu rată fixă în valoare de 100 u.m. care are o rată a dobânzii efective de 6% într-un moment în care LIBOR este 4%. Entitatea începe să acopere acel activ la un moment ulterior, când LIBOR a crescut la 8% şi valoarea justă a activului a scăzut la 90 u.m. Entitatea calculează că, în cazul în care ar fi cumpărat activul la data la care desemnează pentru prima dată riscul ratei dobânzii aferente LIBOR drept element acoperit împotriva riscurilor, randamentul efectiv al activului bazat pe valoarea justă la acel moment de 90 u.m. ar fi fost de 9,5%. Deoarece LIBOR este mai mic decât acest randament efectiv, entitatea poate desemna o componentă a LIBOR de 8% care constă parţial în fluxuri de trezorerie din dobândă contractuale şi parţial în diferenţa dintre valoarea justă curentă (adică 90 u.m.) şi valoarea rambursabilă la scadenţă (adică 100 u.m.).</w:t>
      </w:r>
      <w:bookmarkEnd w:id="969"/>
    </w:p>
    <w:p w:rsidR="00AC292A" w:rsidRDefault="00AC292A">
      <w:pPr>
        <w:pStyle w:val="IASBNormalnpara"/>
      </w:pPr>
      <w:r>
        <w:t>B6.3.24</w:t>
      </w:r>
      <w:r>
        <w:tab/>
      </w:r>
      <w:bookmarkStart w:id="970" w:name="SL32626793"/>
      <w:r>
        <w:t>Dacă o datorie financiară cu rată variabilă are (de exemplu) o dobândă LIBOR la trei luni minus 20 de puncte de bază (cu o limită inferioară de zero puncte de bază), atunci o entitate poate desemna drept element acoperit împotriva riscurilor modificarea fluxurilor de trezorerie ale acelei datorii în întregime (adică indicele LIBOR la trei luni minus 20 de puncte de bază – inclusiv limita inferioară) care poate fi atribuită modificărilor indicelui LIBOR. Prin urmare, cât timp curba pentru următoarele trei luni a LIBOR aferentă duratei de viață rămase a datoriei nu scade sub 20 de puncte de bază, elementul acoperit împotriva riscurilor are aceeași variabilitate a fluxurilor de trezorerie ca o datorie care are o dobândă LIBOR la trei luni cu o marjă pozitivă sau zero. Totuși, în cazul în care curba pentru următoarele trei luni a LIBOR aferentă duratei de viață rămase a datoriei (sau unei părți a acesteia) scade sub 20 de puncte de bază, elementul acoperit împotriva riscurilor are o variabilitate mai mică a fluxurilor de trezorerie decât o datorie care are o dobândă LIBOR la trei luni cu o marjă pozitivă sau zero.</w:t>
      </w:r>
      <w:bookmarkEnd w:id="970"/>
    </w:p>
    <w:p w:rsidR="00AC292A" w:rsidRDefault="00AC292A">
      <w:pPr>
        <w:pStyle w:val="IASBNormalnpara"/>
      </w:pPr>
      <w:r>
        <w:lastRenderedPageBreak/>
        <w:t>B6.3.25</w:t>
      </w:r>
      <w:r>
        <w:tab/>
      </w:r>
      <w:bookmarkStart w:id="971" w:name="SL32626794"/>
      <w:r>
        <w:t>Un exemplu similar de element nefinanciar este un anumit tip de țiței brut dintr-un anumit câmp petrolifer pentru care este stabilit un preț mai mic decât cel al țițeiului brut de referință. Dacă o entitate vinde acel țiței brut în baza unui contract conform unei formule de preț stipulate contractual care stabilește prețul pe baril la prețul țițeiului brut de referință minus 10 u.m. cu o limită inferioară de 15 u.m., entitatea poate desemna drept element acoperit împotriva riscurilor întreaga variabilitate a fluxurilor de trezorerie din cadrul contractului de vânzare atribuibilă modificării prețului țițeiului brut de referință. Totuși, entitatea nu poate desemna o componentă care este egală cu întreaga modificare a prețului țițeiului brut de referință. Prin urmare, cât timp prețul forward (pentru fiecare livrare) nu scade sub 25 u.m., elementul acoperit are aceeași variabilitate a fluxurilor de trezorerie ca o vânzare a țițeiului brut la prețul țițeiului brut de referință (sau cu o marjă pozitivă). Totuși, dacă prețul forward pentru orice livrare scade sub 25 u.m., elementul acoperit are o variabilitate mai mică a fluxurilor de trezorerie decât o vânzare a țițeiului brut la prețul țițeiului brut de referință (sau cu o marjă pozitivă).</w:t>
      </w:r>
      <w:bookmarkEnd w:id="971"/>
    </w:p>
    <w:p w:rsidR="00AC292A" w:rsidRDefault="00AC292A">
      <w:pPr>
        <w:pStyle w:val="IASBSectionTitle2Ind"/>
      </w:pPr>
      <w:bookmarkStart w:id="972" w:name="SL32626796"/>
      <w:r>
        <w:t>Criteriile necesare pentru contabilitatea de acoperire împotriva riscurilor (secțiunea 6.4)</w:t>
      </w:r>
      <w:bookmarkEnd w:id="972"/>
    </w:p>
    <w:p w:rsidR="00AC292A" w:rsidRDefault="00AC292A">
      <w:pPr>
        <w:pStyle w:val="IASBSectionTitle3Ind"/>
      </w:pPr>
      <w:bookmarkStart w:id="973" w:name="SL32626798"/>
      <w:r>
        <w:t>Eficacitatea acoperirii împotriva riscurilor</w:t>
      </w:r>
      <w:bookmarkEnd w:id="973"/>
    </w:p>
    <w:p w:rsidR="00AC292A" w:rsidRDefault="00AC292A">
      <w:pPr>
        <w:pStyle w:val="IASBNormalnpara"/>
      </w:pPr>
      <w:r>
        <w:t>B6.4.1</w:t>
      </w:r>
      <w:r>
        <w:tab/>
      </w:r>
      <w:bookmarkStart w:id="974" w:name="SL32626799"/>
      <w:r>
        <w:t>Eficacitatea acoperirii împotriva riscurilor reprezintă măsura în care modificările valorii juste sau ale fluxurilor de trezorerie aferente instrumentului de acoperire compensează modificările valorii juste sau ale fluxurilor de trezorerie aferente elementului acoperit (de exemplu, atunci când elementul acoperit reprezintă o componentă de risc, modificarea relevantă a valorii juste sau a fluxurilor de trezorerie ale unui element este cea atribuibilă riscului acoperit). Ineficacitatea acoperirii împotriva riscurilor reprezintă măsura în care modificările valorii juste sau ale fluxurilor de trezorerie aferente instrumentului de acoperire sunt mai mari sau mai mici decât cele ale elementului acoperit.</w:t>
      </w:r>
      <w:bookmarkEnd w:id="974"/>
    </w:p>
    <w:p w:rsidR="00AC292A" w:rsidRDefault="00AC292A">
      <w:pPr>
        <w:pStyle w:val="IASBNormalnpara"/>
      </w:pPr>
      <w:r>
        <w:t>B6.4.2</w:t>
      </w:r>
      <w:r>
        <w:tab/>
      </w:r>
      <w:bookmarkStart w:id="975" w:name="SL32626800"/>
      <w:r>
        <w:t>Atunci când este desemnată o relație de acoperire împotriva riscurilor și pe o bază continuă, o entitate trebuie să analizeze sursele ineficacității acoperirii împotriva riscurilor care se preconizează că vor afecta relaţia de acoperire pe parcursul duratei sale. Această analiză (inclusiv orice actualizări în conformitate cu punctul B6.5.21 care provin din reechilibrarea unei relații de acoperire împotriva riscurilor) reprezintă baza de evaluare a entității pentru îndeplinirea dispoziţiilor privind eficacitatea de acoperire împotriva riscurilor.</w:t>
      </w:r>
      <w:bookmarkEnd w:id="975"/>
    </w:p>
    <w:p w:rsidR="00AC292A" w:rsidRDefault="00AC292A">
      <w:pPr>
        <w:pStyle w:val="IASBNormalnpara"/>
      </w:pPr>
      <w:r>
        <w:t>B6.4.3</w:t>
      </w:r>
      <w:r>
        <w:tab/>
      </w:r>
      <w:bookmarkStart w:id="976" w:name="SL32626801"/>
      <w:r>
        <w:t>Pentru a evita orice incertitudine, efectele înlocuirii partenerului iniţial cu un partener de compensare şi efectuarea modificărilor aferente descrise la punctul 6.5.6 trebuie reflectate în evaluarea instrumentului de acoperire împotriva riscurilor şi, prin urmare, în evaluarea şi măsurarea eficacităţii acoperirii riscurilor.</w:t>
      </w:r>
      <w:bookmarkEnd w:id="976"/>
    </w:p>
    <w:p w:rsidR="00AC292A" w:rsidRDefault="00AC292A">
      <w:pPr>
        <w:pStyle w:val="IASBSectionTitle3Ind"/>
      </w:pPr>
      <w:bookmarkStart w:id="977" w:name="SL32626803"/>
      <w:r>
        <w:t>Relația economică dintre elementul acoperit și instrumentul de acoperire împotriva riscurilor</w:t>
      </w:r>
      <w:bookmarkEnd w:id="977"/>
    </w:p>
    <w:p w:rsidR="00AC292A" w:rsidRDefault="00AC292A">
      <w:pPr>
        <w:pStyle w:val="IASBNormalnpara"/>
      </w:pPr>
      <w:r>
        <w:t>B6.4.4</w:t>
      </w:r>
      <w:r>
        <w:tab/>
      </w:r>
      <w:bookmarkStart w:id="978" w:name="SL32626804"/>
      <w:r>
        <w:t>Dispoziţia referitoare la existența unei relații economice înseamnă că instrumentul de acoperire și elementul acoperit împotriva riscurilor au valori care, în general, se modifică în direcții opuse din cauza aceluiași risc, care reprezintă riscul acoperit. Prin urmare, trebuie să se preconizeze că valoarea instrumentului de acoperire și valoarea elementului acoperit se vor modifica în mod sistematic în urma variațiilor aceluiași instrument sau acelorași instrumente de bază care sunt corelate economic astfel încât răspund într-un mod similar la riscul care este acoperit (de exemplu, țițeiul Brent și WTI).</w:t>
      </w:r>
      <w:bookmarkEnd w:id="978"/>
    </w:p>
    <w:p w:rsidR="00AC292A" w:rsidRDefault="00AC292A">
      <w:pPr>
        <w:pStyle w:val="IASBNormalnpara"/>
      </w:pPr>
      <w:r>
        <w:t>B6.4.5</w:t>
      </w:r>
      <w:r>
        <w:tab/>
      </w:r>
      <w:bookmarkStart w:id="979" w:name="SL32626805"/>
      <w:r>
        <w:t>Dacă instrumentele de bază nu sunt aceleași, dar sunt legate din punct de vedere economic, pot exista situații în care valorile instrumentului de acoperire și elementului acoperit împotriva riscurilor se modifică în aceeași direcție, de exemplu, deoarece diferența de preț dintre cele două instrumente de bază corelate variază, în timp ce instrumentele însele nu se modifică semnificativ. Acest lucru este, în continuare, consecvent cu o relație economică între instrumentul de acoperire și elementul acoperit împotriva riscurilor dacă se preconizează în continuare că valorile instrumentului de acoperire și ale elementului acoperit se vor modifica în direcții opuse atunci când se modifică instrumentele de bază.</w:t>
      </w:r>
      <w:bookmarkEnd w:id="979"/>
    </w:p>
    <w:p w:rsidR="00AC292A" w:rsidRDefault="00AC292A">
      <w:pPr>
        <w:pStyle w:val="IASBNormalnpara"/>
      </w:pPr>
      <w:r>
        <w:t>B6.4.6</w:t>
      </w:r>
      <w:r>
        <w:tab/>
      </w:r>
      <w:bookmarkStart w:id="980" w:name="SL32626806"/>
      <w:r>
        <w:t>Evaluarea măsurii în care există o relație economică include o analiză a comportamentului posibil al relației de acoperire împotriva riscurilor pe durata sa, pentru a verifica dacă se poate preconiza îndeplinirea obiectivului de gestionare a riscului. Simpla existență a unei corelări statistice între două variabile nu sprijină, în sine, o concluzie validă privind existența unei relații economice.</w:t>
      </w:r>
      <w:bookmarkEnd w:id="980"/>
    </w:p>
    <w:p w:rsidR="00AC292A" w:rsidRDefault="00AC292A">
      <w:pPr>
        <w:pStyle w:val="IASBSectionTitle3Ind"/>
      </w:pPr>
      <w:bookmarkStart w:id="981" w:name="SL32626808"/>
      <w:r>
        <w:lastRenderedPageBreak/>
        <w:t>Efectul riscului de credit</w:t>
      </w:r>
      <w:bookmarkEnd w:id="981"/>
    </w:p>
    <w:p w:rsidR="00AC292A" w:rsidRDefault="00AC292A">
      <w:pPr>
        <w:pStyle w:val="IASBNormalnpara"/>
      </w:pPr>
      <w:r>
        <w:t>B6.4.7</w:t>
      </w:r>
      <w:r>
        <w:tab/>
      </w:r>
      <w:bookmarkStart w:id="982" w:name="SL32626809"/>
      <w:r>
        <w:t>Deoarece modelul contabil se bazează pe noțiunea generală de compensare între câștigurile și pierderile aferente instrumentului de acoperire și cele aferente elementului acoperit, eficacitatea de acoperire împotriva riscurilor se determină nu doar în funcție de relația economică dintre aceste elemente (adică modificările în instrumentele lor de bază), ci și în funcție de efectul riscului de credit asupra valorii atât a instrumentului de acoperire, cât și a elementului acoperit. Efectul riscului de credit înseamnă că, indiferent dacă există o relație economică între instrumentul de acoperire și elementul acoperit împotriva riscurilor, nivelul de compensare poate deveni eratic. Acest lucru poate conduce la o modificare în riscul de credit fie al instrumentului de acoperire, fie al elementului acoperit care are o asemenea amploarea, încât riscul de credit domină modificările de valoare care rezultă din relația economică (adică efectul modificărilor în instrumentele de bază). Un nivel al amplorii care determină exercitarea unei influențe este unul care ar genera pierdere (sau câștig) din riscul de credit, împiedicând efectul modificărilor instrumentelor de bază asupra valorii instrumentului de acoperire sau elementului acoperit, chiar dacă acele modificări sunt semnificative. Dimpotrivă, dacă pe parcursul unei anumite perioade modificarea în instrumentele de bază este redusă, faptul că și niște modificări reduse legate de riscul de credit în valoarea instrumentului de acoperire sau a elementului acoperit ar putea afecta valoarea mai mult decât instrumentele de bază nu determină exercitarea unei influențe.</w:t>
      </w:r>
      <w:bookmarkEnd w:id="982"/>
    </w:p>
    <w:p w:rsidR="00AC292A" w:rsidRDefault="00AC292A">
      <w:pPr>
        <w:pStyle w:val="IASBNormalnpara"/>
      </w:pPr>
      <w:r>
        <w:t>B6.4.8</w:t>
      </w:r>
      <w:r>
        <w:tab/>
      </w:r>
      <w:bookmarkStart w:id="983" w:name="SL32626810"/>
      <w:r>
        <w:t>Un exemplu de risc de credit care influențează o relaţie de acoperire împotriva riscurilor este atunci când o entitate acoperă o expunere la riscul de preț al unei mărfi folosind un instrument derivat negarantat. Dacă partenerul acelui instrument derivat suferă o deteriorare severă a bonității sale, efectul modificărilor bonității partenerului poate depăși efectul modificărilor prețului mărfii asupra valorii juste a instrumentului de acoperire împotriva riscurilor, în timp ce modificările valorii elementului acoperit depind, în general, de modificările prețului mărfii.</w:t>
      </w:r>
      <w:bookmarkEnd w:id="983"/>
    </w:p>
    <w:p w:rsidR="00AC292A" w:rsidRDefault="00AC292A">
      <w:pPr>
        <w:pStyle w:val="IASBSectionTitle3Ind"/>
      </w:pPr>
      <w:bookmarkStart w:id="984" w:name="SL32626812"/>
      <w:r>
        <w:t>Rata de acoperire</w:t>
      </w:r>
      <w:bookmarkEnd w:id="984"/>
    </w:p>
    <w:p w:rsidR="00AC292A" w:rsidRDefault="00AC292A">
      <w:pPr>
        <w:pStyle w:val="IASBNormalnpara"/>
      </w:pPr>
      <w:r>
        <w:t>B6.4.9</w:t>
      </w:r>
      <w:r>
        <w:tab/>
      </w:r>
      <w:bookmarkStart w:id="985" w:name="SL32626813"/>
      <w:r>
        <w:t>În conformitate cu dispozițiile privind eficacitatea acoperirii împotriva riscurilor, rata de acoperire dintr-o relaţie de acoperire trebuie să fie aceeași cu cea care rezultă din cantitatea elementului acoperit pe care entitatea o acoperă de fapt și din cantitatea instrumentului de acoperire folosită efectiv de entitate pentru a acoperi respectiva cantitate din elementul acoperit. Prin urmare, dacă o entitate acoperă mai puțin de 100% din expunerea unui element, cum ar fi 85%, ea trebuie să desemneze relaţia de acoperire împotriva riscurilor folosind o rată de acoperire care este aceeași cu cea care rezultă din 85% din expunere și cantitatea instrumentului de acoperire pe care entitatea o folosește efectiv pentru a acoperi procentul de 85%. În mod similar, dacă, de exemplu, o entitate acoperă o expunere folosind o valoare nominală de 40 de unități dintr-un instrument financiar, ea trebuie să desemneze relaţia de acoperire împotriva riscurilor folosind o rată de acoperire care este aceeași cu cea care rezultă din cantitatea de 40 de unități (adică entitatea nu trebuie să folosească o rată de acoperire bazată pe o cantitate mai mare sau mai mică de unități decât cea pe care ar putea să o dețină în total) și cantitatea de elemente acoperite pe care o acoperă de fapt cu acele 40 de unități.</w:t>
      </w:r>
      <w:bookmarkEnd w:id="985"/>
    </w:p>
    <w:p w:rsidR="00AC292A" w:rsidRDefault="00AC292A">
      <w:pPr>
        <w:pStyle w:val="IASBNormalnpara"/>
      </w:pPr>
      <w:r>
        <w:t>B6.4.10</w:t>
      </w:r>
      <w:r>
        <w:tab/>
      </w:r>
      <w:bookmarkStart w:id="986" w:name="SL32626814"/>
      <w:r>
        <w:t>Totuși, desemnarea relaţiei de acoperire împotriva riscurilor folosind aceeași rată de acoperire cu cea care rezultă din cantitățile elementului acoperit și instrumentului de acoperire pe care entitatea le folosește efectiv nu trebuie să reflecte un dezechilibru între ponderile elementului acoperit și instrumentului de acoperire, care ar genera, la rândul său, o ineficacitate a acoperirii împotriva riscurilor (indiferent dacă este recunoscută sau nu) care ar putea genera un rezultat contabil inconsecvent cu obiectivul contabilității de acoperire împotriva riscurilor. Prin urmare, în sensul desemnării unei relaţii de acoperire împotriva riscurilor, o entitate trebuie să ajusteze rata de acoperire care rezultă din cantitățile elementului acoperit și instrumentului de acoperire pe care entitatea le folosește efectiv în cazul în care este necesar pentru a evita un astfel de dezechilibru.</w:t>
      </w:r>
      <w:bookmarkEnd w:id="986"/>
    </w:p>
    <w:p w:rsidR="00AC292A" w:rsidRDefault="00AC292A">
      <w:pPr>
        <w:pStyle w:val="IASBNormalnpara"/>
      </w:pPr>
      <w:r>
        <w:t>B6.4.11</w:t>
      </w:r>
      <w:r>
        <w:tab/>
      </w:r>
      <w:bookmarkStart w:id="987" w:name="SL32626815"/>
      <w:r>
        <w:t>Următoarele exemple sunt considerente relevante atunci când se evaluează măsura în care un rezultat contabil este inconsecvent cu obiectivul contabilității de acoperire împotriva riscurilor:</w:t>
      </w:r>
      <w:bookmarkEnd w:id="987"/>
    </w:p>
    <w:p w:rsidR="00AC292A" w:rsidRDefault="00AC292A">
      <w:pPr>
        <w:pStyle w:val="IASBNormalnparaL1"/>
      </w:pPr>
      <w:r>
        <w:t>(a)</w:t>
      </w:r>
      <w:r>
        <w:tab/>
      </w:r>
      <w:bookmarkStart w:id="988" w:name="SL32626818"/>
      <w:r>
        <w:t>dacă rata de acoperire vizată este stabilită pentru a se evita recunoașterea ineficacității acoperirii împotriva riscurilor pentru acoperirile fluxurilor de trezorerie sau pentru a realiza ajustări ale acoperirii valorii juste împotriva riscurilor pentru mai multe elemente acoperite, cu scopul de a spori utilizarea contabilizării la valoarea justă, dar fără a compensa modificările valorii juste a instrumentului de acoperire împotriva riscurilor; și</w:t>
      </w:r>
      <w:bookmarkEnd w:id="988"/>
    </w:p>
    <w:p w:rsidR="00AC292A" w:rsidRDefault="00AC292A">
      <w:pPr>
        <w:pStyle w:val="IASBNormalnparaL1"/>
      </w:pPr>
      <w:r>
        <w:t>(b)</w:t>
      </w:r>
      <w:r>
        <w:tab/>
      </w:r>
      <w:bookmarkStart w:id="989" w:name="SL32626820"/>
      <w:r>
        <w:t xml:space="preserve">dacă există un motiv comercial pentru respectivele ponderi ale elementului acoperit și ale instrumentului de acoperire împotriva riscurilor, chiar dacă acesta creează o ineficacitate a acoperirii împotriva riscurilor. De exemplu, o entitate încheie și desemnează o parte dintr-un instrument de acoperire care nu reprezintă cantitatea pe care o determină ca fiind cea mai bună acoperire a elementului acoperit, deoarece volumul standard al instrumentelor de acoperire nu îi </w:t>
      </w:r>
      <w:r>
        <w:lastRenderedPageBreak/>
        <w:t>permite să încheie acea parte exactă din instrumentul de acoperire (o „problemă de mărime a lotului”). Un exemplu este o entitate care acoperă 100 de tone din achizițiile de cafea prin contracte futures standard pentru cafea în care volumul contractual este de 37.500 livre. Entitatea poate folosi doar cinci sau șase contracte (echivalentul a 85,0 și, respectiv, 102,1 tone) pentru a acoperi volumul achiziționat de 100 de tone. În acest caz, entitatea desemnează relaţia de acoperire împotriva riscurilor folosind rata de acoperire care rezultă din numărul de contracte futures pentru cafea pe care le folosește efectiv, deoarece ineficacitatea acoperirii care rezultă din necorelarea ponderilor elementului acoperit și instrumentului de acoperire nu conduce la un rezultat contabil care să fie inconsecvent cu obiectivul contabilității de acoperire împotriva riscurilor.</w:t>
      </w:r>
      <w:bookmarkEnd w:id="989"/>
    </w:p>
    <w:p w:rsidR="00AC292A" w:rsidRDefault="00AC292A">
      <w:pPr>
        <w:pStyle w:val="IASBSectionTitle3Ind"/>
      </w:pPr>
      <w:bookmarkStart w:id="990" w:name="SL32626822"/>
      <w:r>
        <w:t>Frecvența evaluării măsurii în care sunt îndeplinite dispozițiile privind eficacitatea acoperirii împotriva riscurilor</w:t>
      </w:r>
      <w:bookmarkEnd w:id="990"/>
    </w:p>
    <w:p w:rsidR="00AC292A" w:rsidRDefault="00AC292A">
      <w:pPr>
        <w:pStyle w:val="IASBNormalnpara"/>
      </w:pPr>
      <w:r>
        <w:t>B6.4.12</w:t>
      </w:r>
      <w:r>
        <w:tab/>
      </w:r>
      <w:bookmarkStart w:id="991" w:name="SL32626823"/>
      <w:r>
        <w:t xml:space="preserve">O entitate trebuie să evalueze, la începutul relaţiei de acoperire împotriva riscurilor și în mod permanent, măsura în care o relaţie de acoperire îndeplinește dispozițiile privind eficacitatea acoperirii. O entitate trebuie să efectueze evaluarea permanentă cel puțin la fiecare dată de raportare sau la fiecare modificare semnificativă a circumstanțelor care afectează dispozițiile privind eficacitatea acoperirii împotriva riscurilor, în funcție de care dintre acestea intervine mai întâi. Evaluarea se referă la așteptările cu privire la eficacitatea acoperirii împotriva riscurilor și, prin urmare, este doar cu caracter previzional. </w:t>
      </w:r>
      <w:bookmarkEnd w:id="991"/>
    </w:p>
    <w:p w:rsidR="00AC292A" w:rsidRDefault="00AC292A">
      <w:pPr>
        <w:pStyle w:val="IASBSectionTitle3Ind"/>
      </w:pPr>
      <w:bookmarkStart w:id="992" w:name="SL32626825"/>
      <w:r>
        <w:t>Metode de evaluare a măsurii în care sunt îndeplinite dispozițiile privind eficacitatea acoperirii împotriva riscurilor</w:t>
      </w:r>
      <w:bookmarkEnd w:id="992"/>
    </w:p>
    <w:p w:rsidR="00AC292A" w:rsidRDefault="00AC292A">
      <w:pPr>
        <w:pStyle w:val="IASBNormalnpara"/>
      </w:pPr>
      <w:r>
        <w:t>B6.4.13</w:t>
      </w:r>
      <w:r>
        <w:tab/>
      </w:r>
      <w:bookmarkStart w:id="993" w:name="SL32626826"/>
      <w:r>
        <w:t>Prezentul standard nu specifică o metodă prin care să se evalueze măsura în care o relaţie de acoperire împotriva riscurilor îndeplinește dispozițiile privind eficacitatea acoperirii. Totuși, o entitate trebuie să utilizeze o metodă care să reflecte caracteristicile relevante ale relaţiei de acoperire împotriva riscurilor, inclusiv sursele ineficacității acoperirii. În funcție de acești factori, metoda poate reprezenta o evaluare calitativă sau cantitativă.</w:t>
      </w:r>
      <w:bookmarkEnd w:id="993"/>
    </w:p>
    <w:p w:rsidR="00AC292A" w:rsidRDefault="00AC292A">
      <w:pPr>
        <w:pStyle w:val="IASBNormalnpara"/>
      </w:pPr>
      <w:r>
        <w:t>B6.4.14</w:t>
      </w:r>
      <w:r>
        <w:tab/>
      </w:r>
      <w:bookmarkStart w:id="994" w:name="SL32626827"/>
      <w:r>
        <w:t>De exemplu, atunci când termenele esențiale (precum valoarea nominală, scadența și instrumentul de bază) aferente instrumentului de acoperire și elementului acoperit sunt corelate sau strâns aliniate, este posibil ca, pe baza evaluării calitative a acelor termene esențiale, o entitate să ajungă la concluzia că instrumentul de acoperire și elementul acoperit au valori care în general se modifică în direcții opuse din cauza aceluiași risc și, prin urmare, există o relație economică între elementul acoperit și instrumentul de acoperire (a se vedea punctele B6.4.4–B6.4.6).</w:t>
      </w:r>
      <w:bookmarkEnd w:id="994"/>
    </w:p>
    <w:p w:rsidR="00AC292A" w:rsidRDefault="00AC292A">
      <w:pPr>
        <w:pStyle w:val="IASBNormalnpara"/>
      </w:pPr>
      <w:r>
        <w:t>B6.4.15</w:t>
      </w:r>
      <w:r>
        <w:tab/>
      </w:r>
      <w:bookmarkStart w:id="995" w:name="SL32626828"/>
      <w:r>
        <w:t>Faptul că un instrument derivat este în bani sau în afara banilor („in or out of the money”) atunci când este desemnat drept instrument de acoperire nu înseamnă în sine că o evaluare calitativă nu este adecvată. Măsura în care ineficacitatea acoperirii împotriva riscurilor care provine din acest lucru ar putea avea o amploare pe care o evaluare calitativă nu ar putea să o reflecte în mod adecvat depinde de circumstanțe.</w:t>
      </w:r>
      <w:bookmarkEnd w:id="995"/>
    </w:p>
    <w:p w:rsidR="00AC292A" w:rsidRDefault="00AC292A">
      <w:pPr>
        <w:pStyle w:val="IASBNormalnpara"/>
      </w:pPr>
      <w:r>
        <w:t>B6.4.16</w:t>
      </w:r>
      <w:r>
        <w:tab/>
      </w:r>
      <w:bookmarkStart w:id="996" w:name="SL32626829"/>
      <w:r>
        <w:t>Dimpotrivă, dacă termenele esențiale aferente instrumentului de acoperire și elementului acoperit nu sunt strâns aliniate, atunci există un nivel sporit de incertitudine cu privire la gradul de compensare. În consecință, eficacitatea acoperirii împotriva riscurilor pe parcursul relaţiei de acoperire este mai dificil de preconizat. Într-o astfel de situație, ar putea fi posibil ca, pe baza evaluării cantitative, o entitate să ajungă doar la concluzia că există o relație economică între elementul acoperit și instrumentul de acoperire (a se vedea punctele B6.4.4–B6.4.6). În unele situații, ar putea fi necesară și o evaluare cantitativă pentru a determina dacă rata de acoperire folosită pentru desemnarea relaţiei de acoperire împotriva riscurilor îndeplinește dispozițiile privind eficacitatea acoperirii (a se vedea punctele B6.4.9–B6.4.11). O entitate poate folosi aceleași metode sau metode diferite pentru cele două obiective diferite.</w:t>
      </w:r>
      <w:bookmarkEnd w:id="996"/>
    </w:p>
    <w:p w:rsidR="00AC292A" w:rsidRDefault="00AC292A">
      <w:pPr>
        <w:pStyle w:val="IASBNormalnpara"/>
      </w:pPr>
      <w:r>
        <w:t>B6.4.17</w:t>
      </w:r>
      <w:r>
        <w:tab/>
      </w:r>
      <w:bookmarkStart w:id="997" w:name="SL32626830"/>
      <w:r>
        <w:t>Dacă există modificări în circumstanțe care afectează eficacitatea acoperirii împotriva riscurilor, atunci este posibil ca o entitate să fie nevoită să modifice metoda de evaluare a măsurii în care o relaţie de acoperire împotriva riscurilor îndeplinește dispozițiile privind eficacitatea acoperirii pentru a se asigura că sunt reflectate în continuare caracteristicile relevante ale relaţiei de acoperire, inclusiv sursele ineficacității acoperirii împotriva riscurilor.</w:t>
      </w:r>
      <w:bookmarkEnd w:id="997"/>
    </w:p>
    <w:p w:rsidR="00AC292A" w:rsidRDefault="00AC292A">
      <w:pPr>
        <w:pStyle w:val="IASBNormalnpara"/>
      </w:pPr>
      <w:r>
        <w:t>B6.4.18</w:t>
      </w:r>
      <w:r>
        <w:tab/>
      </w:r>
      <w:bookmarkStart w:id="998" w:name="SL32626831"/>
      <w:r>
        <w:t>Pentru o entitate, gestionarea riscului este principala sursă de informații pentru a evalua măsura în care o relaţie de acoperire îndeplinește dispozițiile privind eficacitatea acoperirii împotriva riscurilor. Acest lucru înseamnă că informațiile (sau analiza) de gestionare utilizate în scopuri decizionale pot fi folosite ca bază pentru evaluarea măsurii în care o relație de acoperire îndeplinește dispozițiile privind eficacitatea acoperirii împotriva riscurilor.</w:t>
      </w:r>
      <w:bookmarkEnd w:id="998"/>
    </w:p>
    <w:p w:rsidR="00AC292A" w:rsidRDefault="00AC292A">
      <w:pPr>
        <w:pStyle w:val="IASBNormalnpara"/>
      </w:pPr>
      <w:r>
        <w:lastRenderedPageBreak/>
        <w:t>B6.4.19</w:t>
      </w:r>
      <w:r>
        <w:tab/>
      </w:r>
      <w:bookmarkStart w:id="999" w:name="SL32626832"/>
      <w:r>
        <w:t>Documentația unei entități cu privire la relaţia de acoperire împotriva riscurilor include modul în care se vor evalua dispozițiile privind eficacitatea acoperirii împotriva riscurilor, inclusiv metoda sau metodele folosite. Documentația cu privire la relaţia de acoperire împotriva riscurilor trebuie actualizată cu orice modificări privind metodele folosite (a se vedea punctul B6.4.17).</w:t>
      </w:r>
      <w:bookmarkEnd w:id="999"/>
    </w:p>
    <w:p w:rsidR="00AC292A" w:rsidRDefault="00AC292A">
      <w:pPr>
        <w:pStyle w:val="IASBSectionTitle2Ind"/>
      </w:pPr>
      <w:bookmarkStart w:id="1000" w:name="SL32626834"/>
      <w:r>
        <w:t>Contabilizarea relaţiilor de acoperire împotriva riscurilor care îndeplinesc condiţiile necesare (secțiunea 6.5)</w:t>
      </w:r>
      <w:bookmarkEnd w:id="1000"/>
    </w:p>
    <w:p w:rsidR="00AC292A" w:rsidRDefault="00AC292A">
      <w:pPr>
        <w:pStyle w:val="IASBNormalnpara"/>
      </w:pPr>
      <w:r>
        <w:t>B6.5.1</w:t>
      </w:r>
      <w:r>
        <w:tab/>
      </w:r>
      <w:bookmarkStart w:id="1001" w:name="SL32626835"/>
      <w:r>
        <w:t>Un exemplu de acoperire a valorii juste împotriva riscurilor este o acoperire a expunerii la modificările valorii juste a unui instrument de datorie cu rată fixă care rezultă în urma modificărilor ratelor dobânzii. O astfel de acoperire împotriva riscurilor poate fi iniţiată de emitent sau de deţinător.</w:t>
      </w:r>
      <w:bookmarkEnd w:id="1001"/>
    </w:p>
    <w:p w:rsidR="00AC292A" w:rsidRDefault="00AC292A">
      <w:pPr>
        <w:pStyle w:val="IASBNormalnpara"/>
      </w:pPr>
      <w:r>
        <w:t>B6.5.2</w:t>
      </w:r>
      <w:r>
        <w:tab/>
      </w:r>
      <w:bookmarkStart w:id="1002" w:name="SL32626836"/>
      <w:r>
        <w:t>Scopul unei acoperiri a fluxurilor de trezorerie împotriva riscurilor este acela de a amâna câştigul sau pierderea aferent(ă) instrumentului de acoperire împotriva riscurilor într-o perioadă sau în perioade în care fluxurile de trezorerie viitoare preconizate acoperite afectează profitul sau pierderea. Un exemplu de acoperire a fluxurilor de trezorerie împotriva riscurilor este utilizarea unui swap pentru a modifica datoria cu rată fluctuantă (indiferent dacă este evaluată la costul amortizat sau la valoarea justă) într-o datorie cu rată fixă (adică o acoperire a unei tranzacţii viitoare în care fluxurile de trezorerie viitoare acoperite reprezintă plăţile viitoare ale dobânzii). Dimpotrivă, o achiziție prognozată a unui instrument de capitaluri proprii care, odată dobândit, va fi contabilizat la valoarea justă prin profit sau pierdere reprezintă un exemplu de element care nu poate fi elementul acoperit într-o acoperire a fluxurilor de trezorerie împotriva riscurilor, deoarece orice câştig sau pierdere aferent(ă) instrumentului de acoperire care ar fi amânat(ă) nu poate fi reclasificat(ă) în mod adecvat în profit sau pierdere într-o perioadă în care ar realiza compensarea. Din același motiv, nici o achiziție prognozată a unui instrument de capitaluri proprii care, odată dobândit, va fi contabilizat la valoarea justă cu modificările valorii juste prezentate în alte elemente ale rezultatului global nu va putea fi elementul acoperit într-o acoperire a fluxurilor de trezorerie împotriva riscurilor.</w:t>
      </w:r>
      <w:bookmarkEnd w:id="1002"/>
    </w:p>
    <w:p w:rsidR="00AC292A" w:rsidRDefault="00AC292A">
      <w:pPr>
        <w:pStyle w:val="IASBNormalnpara"/>
      </w:pPr>
      <w:r>
        <w:t>B6.5.3</w:t>
      </w:r>
      <w:r>
        <w:tab/>
      </w:r>
      <w:bookmarkStart w:id="1003" w:name="SL32626837"/>
      <w:r>
        <w:t>O acoperire a unui angajament ferm împotriva riscurilor (de exemplu, o acoperire a modificării preţului carburantului aferentă unui angajament contractual nerecunoscut al unei reţele publice de distribuţie a energiei electrice de a cumpăra carburant la un preţ fix) reprezintă o acoperire a unei expuneri la o modificare a valorii juste. În consecinţă, o astfel de acoperire reprezintă o acoperire a valorii juste împotriva riscurilor. Cu toate acestea, în conformitate cu punctul 6.5.4, o acoperire a riscului valutar aferent unui angajament ferm poate fi contabilizată în mod alternativ ca o acoperire a fluxurilor de trezorerie împotriva riscurilor.</w:t>
      </w:r>
      <w:bookmarkEnd w:id="1003"/>
    </w:p>
    <w:p w:rsidR="00AC292A" w:rsidRDefault="00AC292A">
      <w:pPr>
        <w:pStyle w:val="IASBSectionTitle3Ind"/>
      </w:pPr>
      <w:bookmarkStart w:id="1004" w:name="SL32626839"/>
      <w:r>
        <w:t>Evaluarea ineficacității acoperirii împotriva riscurilor</w:t>
      </w:r>
      <w:bookmarkEnd w:id="1004"/>
    </w:p>
    <w:p w:rsidR="00AC292A" w:rsidRDefault="00AC292A">
      <w:pPr>
        <w:pStyle w:val="IASBNormalnpara"/>
      </w:pPr>
      <w:r>
        <w:t>B6.5.4</w:t>
      </w:r>
      <w:r>
        <w:tab/>
      </w:r>
      <w:bookmarkStart w:id="1005" w:name="SL32626840"/>
      <w:r>
        <w:t>Atunci când evaluează ineficacitatea acoperirii împotriva riscurilor, o entitate trebuie să ia în considerare valoarea-timp a banilor. În consecință, entitatea determină valoarea elementului acoperit împotriva riscurilor pe baza valorii actualizate și, prin urmare, modificarea valorii elementului acoperit împotriva riscurilor include și efectul valorii-timp a banilor.</w:t>
      </w:r>
      <w:bookmarkEnd w:id="1005"/>
    </w:p>
    <w:p w:rsidR="00AC292A" w:rsidRDefault="00AC292A">
      <w:pPr>
        <w:pStyle w:val="IASBNormalnpara"/>
      </w:pPr>
      <w:r>
        <w:t>B6.5.5</w:t>
      </w:r>
      <w:r>
        <w:tab/>
      </w:r>
      <w:bookmarkStart w:id="1006" w:name="SL32626841"/>
      <w:r>
        <w:t xml:space="preserve">Pentru a calcula modificarea valorii elementului acoperit cu scopul evaluării ineficacității acoperirii împotriva riscurilor, o entitate poate folosi un instrument derivat cu termene care corespund termenelor esențiale ale elementului acoperit (denumit, de obicei, „instrument derivat ipotetic”) și care ar fi calibrat, de exemplu, pentru o acoperire a unei tranzacţii prognozate folosind nivelul de preț (sau rata) acoperit(ă). De exemplu, în cazul în care acoperirea a fost folosită pentru un risc bilateral la nivelul curent al pieței, instrumentul derivat ipotetic reprezintă un contract forward ipotetic care este calibrat la o valoare zero la momentul desemnării relaţiei de acoperire împotriva riscurilor. Dacă acoperirea a fost folosită, de exemplu, pentru un risc unilateral, atunci instrumentul derivat ipotetic reprezintă valoarea intrinsecă a unei opțiuni ipotetice care la momentul desemnării relației de acoperire este la paritate dacă nivelul prețului acoperit este la nivelul curent al pieței sau este în afara banilor („out of the money”) dacă nivelul prețului acoperit este mai mare (sau, în cazul unei acoperiri a unei poziții lungi, este mai mic) decât nivelul curent al pieței. Folosirea unui instrument derivat ipotetic este unul dintre mijloacele posibile pentru calcularea modificării valorii elementului acoperit împotriva riscurilor. Instrumentul derivat ipotetic reproduce elementul acoperit și, prin urmare, are același rezultat ca și când acea modificare a valorii ar fi determinată printr-o abordare diferită. Prin urmare, folosirea unui „instrument derivat ipotetic” nu reprezintă o metodă în sine, ci o soluție matematică ce poate fi folosită doar la calcularea valorii elementului acoperit împotriva riscurilor. În consecință, un „instrument derivat ipotetic” nu poate fi folosit pentru a include caracteristici în valoarea elementului acoperit care există doar în instrumentul de acoperire (dar nu și în elementul acoperit). Un exemplu îl reprezintă o datorie exprimată în valută (indiferent dacă aceasta este o datorie cu rată fixă sau variabilă). Atunci când se folosește un instrument derivat ipotetic pentru a calcula modificarea valorii unei astfel de datorii sau valoarea actualizată a modificării cumulate în fluxurile de trezorerie aferente, </w:t>
      </w:r>
      <w:r>
        <w:lastRenderedPageBreak/>
        <w:t>instrumentul derivat ipotetic nu poate să impute pur și simplu o taxă pentru schimbul valutar, chiar dacă instrumentele derivate reale conform cărora sunt schimbate monedele diferite pot include o astfel de taxă (de exemplu, swapuri pe rata dobânzii între monede diferite).</w:t>
      </w:r>
      <w:bookmarkEnd w:id="1006"/>
    </w:p>
    <w:p w:rsidR="00AC292A" w:rsidRDefault="00AC292A">
      <w:pPr>
        <w:pStyle w:val="IASBNormalnpara"/>
      </w:pPr>
      <w:r>
        <w:t>B6.5.6</w:t>
      </w:r>
      <w:r>
        <w:tab/>
      </w:r>
      <w:bookmarkStart w:id="1007" w:name="SL32626842"/>
      <w:r>
        <w:t>Modificarea valorii elementului acoperit determinată prin folosirea unui instrument derivat ipotetic poate fi utilizată, de asemenea, în vederea evaluării măsurii în care o relaţie de acoperire împotriva riscurilor îndeplinește dispozițiile privind eficacitatea acoperirii împotriva riscurilor.</w:t>
      </w:r>
      <w:bookmarkEnd w:id="1007"/>
    </w:p>
    <w:p w:rsidR="00AC292A" w:rsidRDefault="00AC292A">
      <w:pPr>
        <w:pStyle w:val="IASBSectionTitle3Ind"/>
      </w:pPr>
      <w:bookmarkStart w:id="1008" w:name="SL32626844"/>
      <w:r>
        <w:t>Reechilibrarea relaţiei de acoperire împotriva riscurilor și a modificărilor ratei de acoperire</w:t>
      </w:r>
      <w:bookmarkEnd w:id="1008"/>
    </w:p>
    <w:p w:rsidR="00AC292A" w:rsidRDefault="00AC292A">
      <w:pPr>
        <w:pStyle w:val="IASBNormalnpara"/>
      </w:pPr>
      <w:r>
        <w:t>B6.5.7</w:t>
      </w:r>
      <w:r>
        <w:tab/>
      </w:r>
      <w:bookmarkStart w:id="1009" w:name="SL32626845"/>
      <w:r>
        <w:t>Reechilibrarea se referă la ajustările realizate asupra cantităților desemnate din elementul acoperit sau din instrumentul de acoperire împotriva riscurilor din cadrul unei relații deja existente de acoperire cu scopul de a menține o rată de acoperire care respectă dispozițiile privind eficacitatea acoperirii. Modificările cantităților desemnate dintr-un element acoperit sau dintr-un instrument de acoperire împotriva riscurilor în alt scop nu constituie o reechilibrare în sensul prezentului standard.</w:t>
      </w:r>
      <w:bookmarkEnd w:id="1009"/>
    </w:p>
    <w:p w:rsidR="00AC292A" w:rsidRDefault="00AC292A">
      <w:pPr>
        <w:pStyle w:val="IASBNormalnpara"/>
      </w:pPr>
      <w:r>
        <w:t>B6.5.8</w:t>
      </w:r>
      <w:r>
        <w:tab/>
      </w:r>
      <w:bookmarkStart w:id="1010" w:name="SL32626846"/>
      <w:r>
        <w:t>Reechilibrarea este contabilizată ca o continuare a relației de acoperire în conformitate cu punctele B6.5.9–B6.5.21. La reechilibrare, ineficacitatea acoperirii aferentă relaţiei de acoperire împotriva riscurilor este determinată și recunoscută imediat înainte de ajustarea relaţiei de acoperire împotriva riscurilor.</w:t>
      </w:r>
      <w:bookmarkEnd w:id="1010"/>
    </w:p>
    <w:p w:rsidR="00AC292A" w:rsidRDefault="00AC292A">
      <w:pPr>
        <w:pStyle w:val="IASBNormalnpara"/>
      </w:pPr>
      <w:r>
        <w:t>B6.5.9</w:t>
      </w:r>
      <w:r>
        <w:tab/>
      </w:r>
      <w:bookmarkStart w:id="1011" w:name="SL32626847"/>
      <w:r>
        <w:t>Ajustarea ratei de acoperire permite unei entități să răspundă unor modificări ale relației dintre un instrument de acoperire și un element acoperit împotriva riscurilor, rezultate din instrumentele de bază sau din variabilele de risc. De exemplu, o relaţie de acoperire împotriva riscurilor în care un instrument de acoperire și un element acoperit suferă modificări diferite, dar conexe în instrumentele de bază ca răspuns la o modificare a relației dintre cele două instrumente de bază (indici, rate sau prețuri de referință diferite, dar conexe, de exemplu). Prin urmare, reechilibrarea permite continuarea unei relații de acoperire împotriva riscurilor în situații în care relația dintre instrumentul de acoperire și elementul acoperit se modifică în așa fel încât modificarea poate fi compensată prin ajustarea ratei de acoperire.</w:t>
      </w:r>
      <w:bookmarkEnd w:id="1011"/>
    </w:p>
    <w:p w:rsidR="00AC292A" w:rsidRDefault="00AC292A">
      <w:pPr>
        <w:pStyle w:val="IASBNormalnpara"/>
      </w:pPr>
      <w:r>
        <w:t>B6.5.10</w:t>
      </w:r>
      <w:r>
        <w:tab/>
      </w:r>
      <w:bookmarkStart w:id="1012" w:name="SL32626848"/>
      <w:r>
        <w:t>De exemplu, o entitate acoperă o expunere la Valuta A folosind un instrument derivat pentru valută care face referire la Valuta B, iar Valutele A și B sunt ancorate (adică cursul lor de schimb este menținut într-un interval sau la un curs de schimb stabilit de o bancă centrală sau de o altă autoritate). În cazul în care cursul de schimb dintre Valuta A și Valuta B s-ar modifica (adică s-ar stabili un nou interval sau o nouă rată), prin reechilibrarea relației de acoperire pentru a reflecta noul curs de schimb valutar s-ar asigura că relația de acoperire împotriva riscurilor continuă să îndeplinească dispoziția privind eficacitatea acoperirii pentru rata de acoperire în noile circumstanțe. Invers, în cazul unei neîndepliniri a obligațiilor aferente instrumentului derivat valutar, modificarea ratei de acoperire nu ar putea garanta că relaţia de acoperire împotriva riscurilor va continua să îndeplinească dispozițiile privind eficacitatea acoperirii împotriva riscurilor. Prin urmare, reechilibrarea nu facilitează continuarea unei relații de acoperire împotriva riscurilor în situațiile în care relația dintre un instrument de acoperire și elementul acoperit se modifică în așa fel încât modificarea nu poate fi compensată prin ajustarea ratei de acoperire.</w:t>
      </w:r>
      <w:bookmarkEnd w:id="1012"/>
    </w:p>
    <w:p w:rsidR="00AC292A" w:rsidRDefault="00AC292A">
      <w:pPr>
        <w:pStyle w:val="IASBNormalnpara"/>
      </w:pPr>
      <w:r>
        <w:t>B6.5.11</w:t>
      </w:r>
      <w:r>
        <w:tab/>
      </w:r>
      <w:bookmarkStart w:id="1013" w:name="SL32626849"/>
      <w:r>
        <w:t>Nu orice modificare a gradului de compensare dintre modificările valorii juste a instrumentului de acoperire și ale valorii juste sau fluxurilor de trezorerie aferente elementului acoperit constituie o modificare a relației dintre instrumentul de acoperire și elementul acoperit. O entitate analizează sursele ineficacității acoperirii împotriva riscurilor despre care a estimat că vor afecta relaţia de acoperire împotriva riscurilor pe durata sa și evaluează dacă modificările gradului de compensare reprezintă:</w:t>
      </w:r>
      <w:bookmarkEnd w:id="1013"/>
    </w:p>
    <w:p w:rsidR="00AC292A" w:rsidRDefault="00AC292A">
      <w:pPr>
        <w:pStyle w:val="IASBNormalnparaL1"/>
      </w:pPr>
      <w:r>
        <w:t>(a)</w:t>
      </w:r>
      <w:r>
        <w:tab/>
      </w:r>
      <w:bookmarkStart w:id="1014" w:name="SL32626852"/>
      <w:r>
        <w:t>fluctuații în jurul ratei de acoperire, care rămâne validă (mai exact, continuă să reflecte în mod adecvat relația dintre instrumentul de acoperire și elementul acoperit); sau</w:t>
      </w:r>
      <w:bookmarkEnd w:id="1014"/>
    </w:p>
    <w:p w:rsidR="00AC292A" w:rsidRDefault="00AC292A">
      <w:pPr>
        <w:pStyle w:val="IASBNormalnparaL1"/>
      </w:pPr>
      <w:r>
        <w:t>(b)</w:t>
      </w:r>
      <w:r>
        <w:tab/>
      </w:r>
      <w:bookmarkStart w:id="1015" w:name="SL32626854"/>
      <w:r>
        <w:t>o indicaţie a faptului că rata de acoperire nu mai reflectă în mod adecvat relația dintre instrumentul de acoperire și elementul acoperit.</w:t>
      </w:r>
      <w:bookmarkEnd w:id="1015"/>
    </w:p>
    <w:p w:rsidR="00AC292A" w:rsidRDefault="00AC292A">
      <w:pPr>
        <w:pStyle w:val="IASBNormalnparaP"/>
      </w:pPr>
      <w:bookmarkStart w:id="1016" w:name="SL32626855"/>
      <w:r>
        <w:t>O entitate efectuează această evaluare în raport cu dispoziția privind eficacitatea ratei de acoperire, adică pentru a se asigura că relaţia de acoperire nu reflectă un dezechilibru între ponderile elementului acoperit și instrumentului de acoperire care ar determina o ineficacitate a acoperirii împotriva riscurilor (indiferent dacă este recunoscută sau nu) ce ar putea genera un rezultat contabil inconsecvent cu obiectivul contabilității de acoperire împotriva riscurilor. Prin urmare, această evaluare necesită folosirea raționamentului.</w:t>
      </w:r>
      <w:bookmarkEnd w:id="1016"/>
    </w:p>
    <w:p w:rsidR="00AC292A" w:rsidRDefault="00AC292A">
      <w:pPr>
        <w:pStyle w:val="IASBNormalnpara"/>
      </w:pPr>
      <w:r>
        <w:t>B6.5.12</w:t>
      </w:r>
      <w:r>
        <w:tab/>
      </w:r>
      <w:bookmarkStart w:id="1017" w:name="SL32626856"/>
      <w:r>
        <w:t>Fluctuațiile în jurul unei rate de acoperire constante (în consecință și ineficacitatea aferentă a acoperirii împotriva riscurilor) nu pot fi reduse prin ajustarea ratei de acoperire ca răspuns la fiecare rezultat individual. Prin urmare, în astfel de situații, modificarea gradului de compensare reprezintă o problemă de evaluare și de recunoaştere a ineficacității acoperirii împotriva riscurilor, dar nu necesită o reechilibrare.</w:t>
      </w:r>
      <w:bookmarkEnd w:id="1017"/>
    </w:p>
    <w:p w:rsidR="00AC292A" w:rsidRDefault="00AC292A">
      <w:pPr>
        <w:pStyle w:val="IASBNormalnpara"/>
      </w:pPr>
      <w:r>
        <w:lastRenderedPageBreak/>
        <w:t>B6.5.13</w:t>
      </w:r>
      <w:r>
        <w:tab/>
      </w:r>
      <w:bookmarkStart w:id="1018" w:name="SL32626857"/>
      <w:r>
        <w:t>În schimb, dacă modificările în gradul de compensare indică faptul că există fluctuații în jurul unei rate de acoperire care diferă de rata de acoperire folosită în prezent pentru acea relație de acoperire sau că există o tendință de abatere de la acea rată, ineficacitatea acoperirii poate fi redusă prin ajustarea ratei de acoperire, în timp ce menținerea ratei de acoperire ar putea produce din ce în ce mai multă ineficacitate în acoperire. Prin urmare, în astfel de situații, o entitate trebuie să evalueze măsura în care relația de acoperire reflectă un dezechilibru între ponderile elementului acoperit și instrumentul de acoperire împotriva riscurilor care ar determina o ineficacitate a acoperirii împotriva riscurilor (indiferent dacă este recunoscută sau nu) ce ar putea genera un rezultat contabil inconsecvent cu obiectivul contabilității de acoperire împotriva riscurilor. Dacă rata de acoperire este ajustată, aceasta afectează, de asemenea, evaluarea și recunoaşterea ineficacității acoperirii, deoarece, la reechilibrare, ineficacitatea acoperirii aferentă relației de acoperire trebuie determinată și recunoscută imediat înainte de ajustarea relaţiei de acoperire în conformitate cu punctul B6.5.8.</w:t>
      </w:r>
      <w:bookmarkEnd w:id="1018"/>
    </w:p>
    <w:p w:rsidR="00AC292A" w:rsidRDefault="00AC292A">
      <w:pPr>
        <w:pStyle w:val="IASBNormalnpara"/>
      </w:pPr>
      <w:r>
        <w:t>B6.5.14</w:t>
      </w:r>
      <w:r>
        <w:tab/>
      </w:r>
      <w:bookmarkStart w:id="1019" w:name="SL32626858"/>
      <w:r>
        <w:t>Reechilibrarea înseamnă că, în sensul contabilității de acoperire împotriva riscurilor, după începutul unei relaţii de acoperire, o entitate ajustează cantitățile instrumentului de acoperire sau ale elementului acoperit ca răspuns la modificările circumstanțelor care afectează rata de acoperire a acelei relaţii de acoperire. În mod normal, acea ajustare trebuie să reflecte ajustările cantităților instrumentului de acoperire și ale elementului acoperit pe care le folosește efectiv. Totuși, o entitate trebuie să ajusteze rata de acoperire care rezultă din cantitățile elementului acoperit sau ale instrumentului de acoperire pe care le folosește efectiv dacă:</w:t>
      </w:r>
      <w:bookmarkEnd w:id="1019"/>
    </w:p>
    <w:p w:rsidR="00AC292A" w:rsidRDefault="00AC292A">
      <w:pPr>
        <w:pStyle w:val="IASBNormalnparaL1"/>
      </w:pPr>
      <w:r>
        <w:t>(a)</w:t>
      </w:r>
      <w:r>
        <w:tab/>
      </w:r>
      <w:bookmarkStart w:id="1020" w:name="SL32626861"/>
      <w:r>
        <w:t>rata de acoperire care rezultă din modificările cantităților instrumentului de acoperire sau ale elementului acoperit pe care entitatea le folosește efectiv reflectă un dezechilibru care ar determina o ineficacitate a acoperirii care ar putea genera un rezultat contabil inconsecvent cu obiectivul contabilității de acoperire împotriva riscurilor; sau</w:t>
      </w:r>
      <w:bookmarkEnd w:id="1020"/>
    </w:p>
    <w:p w:rsidR="00AC292A" w:rsidRDefault="00AC292A">
      <w:pPr>
        <w:pStyle w:val="IASBNormalnparaL1"/>
      </w:pPr>
      <w:r>
        <w:t>(b)</w:t>
      </w:r>
      <w:r>
        <w:tab/>
      </w:r>
      <w:bookmarkStart w:id="1021" w:name="SL32626863"/>
      <w:r>
        <w:t>o entitate ar păstra cantitățile instrumentului de acoperire și ale elementului acoperit pe care le folosește efectiv, rezultând astfel o rată de acoperire care, în noi circumstanțe, ar reflecta un dezechilibru ce ar conduce la o ineficacitate a acoperirii care ar putea genera un rezultat contabil inconsecvent cu obiectivul contabilității de acoperire împotriva riscurilor (adică o entitate nu trebuie să creeze un dezechilibru prin omiterea ajustării ratei de acoperire).</w:t>
      </w:r>
      <w:bookmarkEnd w:id="1021"/>
    </w:p>
    <w:p w:rsidR="00AC292A" w:rsidRDefault="00AC292A">
      <w:pPr>
        <w:pStyle w:val="IASBNormalnpara"/>
      </w:pPr>
      <w:r>
        <w:t>B6.5.15</w:t>
      </w:r>
      <w:r>
        <w:tab/>
      </w:r>
      <w:bookmarkStart w:id="1022" w:name="SL32626864"/>
      <w:r>
        <w:t>Reechilibrarea nu se aplică în cazul în care s-a modificat obiectivul de gestionare a riscului aferent unei relații de acoperire împotriva riscurilor. În schimb, contabilitatea de acoperire împotriva riscurilor pentru respectiva relație trebuie întreruptă (fără a se ține cont de faptul că o entitate ar putea desemna o nouă relație de acoperire împotriva riscurilor care implică instrumentul de acoperire sau elementul acoperit împotriva riscurilor din relația anterioară de acoperire, așa cum este descris la punctul B6.5.28).</w:t>
      </w:r>
      <w:bookmarkEnd w:id="1022"/>
    </w:p>
    <w:p w:rsidR="00AC292A" w:rsidRDefault="00AC292A">
      <w:pPr>
        <w:pStyle w:val="IASBNormalnpara"/>
      </w:pPr>
      <w:r>
        <w:t>B6.5.16</w:t>
      </w:r>
      <w:r>
        <w:tab/>
      </w:r>
      <w:bookmarkStart w:id="1023" w:name="SL32626865"/>
      <w:r>
        <w:t>Dacă o relație de acoperire împotriva riscurilor este reechilibrată, ajustarea ratei de acoperire poate fi realizată prin diferite modalități:</w:t>
      </w:r>
      <w:bookmarkEnd w:id="1023"/>
    </w:p>
    <w:p w:rsidR="00AC292A" w:rsidRDefault="00AC292A">
      <w:pPr>
        <w:pStyle w:val="IASBNormalnparaL1"/>
      </w:pPr>
      <w:r>
        <w:t>(a)</w:t>
      </w:r>
      <w:r>
        <w:tab/>
      </w:r>
      <w:bookmarkStart w:id="1024" w:name="SL32626868"/>
      <w:r>
        <w:t>ponderea elementului acoperit poate fi mărită (ceea ce reduce, în același timp, ponderea instrumentului de acoperire) prin:</w:t>
      </w:r>
      <w:bookmarkEnd w:id="1024"/>
    </w:p>
    <w:p w:rsidR="00AC292A" w:rsidRDefault="00AC292A">
      <w:pPr>
        <w:pStyle w:val="IASBNormalnparaL2"/>
      </w:pPr>
      <w:r>
        <w:t>(i)</w:t>
      </w:r>
      <w:r>
        <w:tab/>
      </w:r>
      <w:bookmarkStart w:id="1025" w:name="SL32626871"/>
      <w:r>
        <w:t>creșterea volumului elementului acoperit împotriva riscurilor; sau</w:t>
      </w:r>
      <w:bookmarkEnd w:id="1025"/>
    </w:p>
    <w:p w:rsidR="00AC292A" w:rsidRDefault="00AC292A">
      <w:pPr>
        <w:pStyle w:val="IASBNormalnparaL2"/>
      </w:pPr>
      <w:r>
        <w:t>(ii)</w:t>
      </w:r>
      <w:r>
        <w:tab/>
      </w:r>
      <w:bookmarkStart w:id="1026" w:name="SL32626873"/>
      <w:r>
        <w:t>reducerea volumului instrumentului de acoperire împotriva riscurilor.</w:t>
      </w:r>
      <w:bookmarkEnd w:id="1026"/>
    </w:p>
    <w:p w:rsidR="00AC292A" w:rsidRDefault="00AC292A">
      <w:pPr>
        <w:pStyle w:val="IASBNormalnparaL1"/>
      </w:pPr>
      <w:r>
        <w:t>(b)</w:t>
      </w:r>
      <w:r>
        <w:tab/>
      </w:r>
      <w:bookmarkStart w:id="1027" w:name="SL32626875"/>
      <w:r>
        <w:t>ponderea instrumentului de acoperire poate fi mărită (ceea ce reduce, în același timp, ponderea elementului acoperit) prin:</w:t>
      </w:r>
      <w:bookmarkEnd w:id="1027"/>
    </w:p>
    <w:p w:rsidR="00AC292A" w:rsidRDefault="00AC292A">
      <w:pPr>
        <w:pStyle w:val="IASBNormalnparaL2"/>
      </w:pPr>
      <w:r>
        <w:t>(i)</w:t>
      </w:r>
      <w:r>
        <w:tab/>
      </w:r>
      <w:bookmarkStart w:id="1028" w:name="SL32626878"/>
      <w:r>
        <w:t>creșterea volumului instrumentului de acoperire împotriva riscurilor; sau</w:t>
      </w:r>
      <w:bookmarkEnd w:id="1028"/>
    </w:p>
    <w:p w:rsidR="00AC292A" w:rsidRDefault="00AC292A">
      <w:pPr>
        <w:pStyle w:val="IASBNormalnparaL2"/>
      </w:pPr>
      <w:r>
        <w:t>(ii)</w:t>
      </w:r>
      <w:r>
        <w:tab/>
      </w:r>
      <w:bookmarkStart w:id="1029" w:name="SL32626880"/>
      <w:r>
        <w:t>reducerea volumului elementului acoperit împotriva riscurilor.</w:t>
      </w:r>
      <w:bookmarkEnd w:id="1029"/>
    </w:p>
    <w:p w:rsidR="00AC292A" w:rsidRDefault="00AC292A">
      <w:pPr>
        <w:pStyle w:val="IASBNormalnparaP"/>
      </w:pPr>
      <w:bookmarkStart w:id="1030" w:name="SL32626881"/>
      <w:r>
        <w:t>Modificările volumului se referă la cantitățile care fac parte din relaţia de acoperire împotriva riscurilor. Prin urmare, reducerile volumelor nu înseamnă neapărat că elementele sau tranzacțiile nu mai există sau nu se mai preconizează să aibă loc, ci că ele nu mai fac parte din relaţia de acoperire împotriva riscurilor. De exemplu, reducerea volumului instrumentului de acoperire poate avea ca rezultat păstrarea instrumentului derivat de către entitate, dar s-ar putea ca doar o parte a acestuia să rămână un instrument de acoperire în relaţia de acoperire împotriva riscurilor. Această situație poate apărea dacă reechilibrarea poate fi realizată doar prin reducerea volumului instrumentului de acoperire din relaţia de acoperire împotriva riscurilor, entitatea păstrând însă volumul care nu mai este necesar. În acest caz, partea nedesemnată din instrumentul derivat va fi contabilizată la valoarea justă prin profit sau pierdere (exceptând cazul în care a fost desemnată drept instrument de acoperire într-o altă relație de acoperire împotriva riscurilor).</w:t>
      </w:r>
      <w:bookmarkEnd w:id="1030"/>
    </w:p>
    <w:p w:rsidR="00AC292A" w:rsidRDefault="00AC292A">
      <w:pPr>
        <w:pStyle w:val="IASBNormalnpara"/>
      </w:pPr>
      <w:r>
        <w:t>B6.5.17</w:t>
      </w:r>
      <w:r>
        <w:tab/>
      </w:r>
      <w:bookmarkStart w:id="1031" w:name="SL32626882"/>
      <w:r>
        <w:t xml:space="preserve">Ajustarea ratei de acoperire prin creșterea volumului elementului acoperit nu afectează modul în care sunt evaluate modificările valorii juste a instrumentului de acoperire împotriva riscurilor. Evaluarea modificării valorii elementului acoperit împotriva riscurilor aferent volumului desemnat anterior rămâne neafectată. Totuși, de la data reechilibrării, modificările în valoarea elementului acoperit includ, de asemenea, </w:t>
      </w:r>
      <w:r>
        <w:lastRenderedPageBreak/>
        <w:t>modificarea valorii volumului suplimentar al elementului acoperit împotriva riscurilor. Aceste modificări sunt evaluate începând cu data reechilibrării și în raport cu aceasta, în locul datei la care a fost desemnată relaţia de acoperire împotriva riscurilor. De exemplu, în cazul în care o entitate a acoperit inițial un volum de 100 de tone de marfă la un preț forward de 80 u.m. (prețul forward la începutul relaţiei de acoperire împotriva riscurilor) și a adăugat un volum de 10 tone la reechilibrare, când prețul forward era de 90 u.m., elementul acoperit după reechilibrare ar cuprinde două straturi: 100 de tone acoperite la 80 u.m. și 10 tone acoperite la 90 u.m.</w:t>
      </w:r>
      <w:bookmarkEnd w:id="1031"/>
    </w:p>
    <w:p w:rsidR="00AC292A" w:rsidRDefault="00AC292A">
      <w:pPr>
        <w:pStyle w:val="IASBNormalnpara"/>
      </w:pPr>
      <w:r>
        <w:t>B6.5.18</w:t>
      </w:r>
      <w:r>
        <w:tab/>
      </w:r>
      <w:bookmarkStart w:id="1032" w:name="SL32626883"/>
      <w:r>
        <w:t>Ajustarea ratei de acoperire prin scăderea volumului instrumentului de acoperire nu afectează modul în care sunt evaluate modificările valorii elementului acoperit împotriva riscurilor. Evaluarea modificărilor valorii juste a instrumentului de acoperire aferente volumului care continuă să fie desemnat rămâne de asemenea neafectată. Totuși, de la data reechilibrării, volumul cu care a fost redus instrumentul de acoperire împotriva riscurilor nu mai face parte din relaţia de acoperire. De exemplu, dacă o entitate a acoperit inițial riscul de preț al unei mărfi folosind un volum al instrumentului derivat de 100 de tone drept instrument de acoperire împotriva riscurilor și reduce apoi acel volum cu 10 tone la reechilibrare, se va păstra o valoare nominală de 90 de tone a volumului instrumentului de acoperire (a se vedea punctul B6.5.16 privind consecințele volumului instrumentului derivat (adică 10 tone) care nu mai face parte din relaţia de acoperire împotriva riscurilor).</w:t>
      </w:r>
      <w:bookmarkEnd w:id="1032"/>
    </w:p>
    <w:p w:rsidR="00AC292A" w:rsidRDefault="00AC292A">
      <w:pPr>
        <w:pStyle w:val="IASBNormalnpara"/>
      </w:pPr>
      <w:r>
        <w:t>B6.5.19</w:t>
      </w:r>
      <w:r>
        <w:tab/>
      </w:r>
      <w:bookmarkStart w:id="1033" w:name="SL32626884"/>
      <w:r>
        <w:t>Ajustarea ratei de acoperire prin creșterea volumului instrumentului de acoperire nu afectează modul în care sunt evaluate modificările valorii elementului acoperit împotriva riscurilor. Evaluarea modificărilor valorii juste a instrumentului de acoperire împotriva riscurilor aferente volumului desemnat anterior rămâne neafectată. Totuși, de la data reechilibrării, modificările valorii juste a instrumentului de acoperire împotriva riscurilor includ și modificarea valorii volumului suplimentar al instrumentului de acoperire împotriva riscurilor. Modificările sunt evaluate începând cu data reechilibrării, și în raport cu aceasta, în locul datei la care a fost desemnată relaţia de acoperire împotriva riscurilor. De exemplu, dacă o entitate a acoperit inițial riscul de preț al unei mărfi folosind un volum al instrumentului derivat de 100 de tone drept instrument de acoperire împotriva riscurilor și a adăugat un volum de 10 tone la reechilibrare, instrumentul de acoperire după reechilibrare cuprinde un volum total de 110 tone din instrumentul derivat. Modificarea valorii juste a instrumentului de acoperire împotriva riscurilor reprezintă modificarea totală a valorii juste a instrumentelor derivate care alcătuiesc volumul total de 110 tone. Aceste instrumente derivate ar putea avea (și probabil vor avea) termene esențiale diferite, cum ar fi ratele forward, dat fiind faptul că au fost încheiate la momente diferite (inclusiv posibilitatea de desemnare a instrumentelor derivate în relațiile de acoperire ulterior recunoașterii inițiale).</w:t>
      </w:r>
      <w:bookmarkEnd w:id="1033"/>
    </w:p>
    <w:p w:rsidR="00AC292A" w:rsidRDefault="00AC292A">
      <w:pPr>
        <w:pStyle w:val="IASBNormalnpara"/>
      </w:pPr>
      <w:r>
        <w:t>B6.5.20</w:t>
      </w:r>
      <w:r>
        <w:tab/>
      </w:r>
      <w:bookmarkStart w:id="1034" w:name="SL32626885"/>
      <w:r>
        <w:t>Ajustarea ratei de acoperire prin reducerea volumului elementului acoperit nu afectează modul în care sunt evaluate modificările valorii juste a instrumentului de acoperire. Evaluarea modificărilor valorii elementului acoperit împotriva riscurilor aferente volumului care continuă să fie desemnat rămâne, de asemenea, neafectată. Totuși, de la data reechilibrării, volumul cu care a fost redus elementul acoperit împotriva riscurilor nu mai face parte din relaţia de acoperire împotriva riscurilor. De exemplu, dacă o entitate a acoperit inițial un volum de 100 de tone de marfă la un preț forward de 80 u.m. și reduce volumul cu 10 tone la reechilibrare, elementul acoperit împotriva riscurilor după reechilibrare va fi de 90 de tone acoperite la 80 u.m. Cele 10 tone ale elementului acoperit care nu mai fac parte din relaţia de acoperire vor fi contabilizate în conformitate cu dispozițiile privind întreruperea contabilității de acoperire împotriva riscurilor (a se vedea punctele 6.5.6–6.5.7 și B6.5.22–B6.5.28).</w:t>
      </w:r>
      <w:bookmarkEnd w:id="1034"/>
    </w:p>
    <w:p w:rsidR="00AC292A" w:rsidRDefault="00AC292A">
      <w:pPr>
        <w:pStyle w:val="IASBNormalnpara"/>
      </w:pPr>
      <w:r>
        <w:t>B6.5.21</w:t>
      </w:r>
      <w:r>
        <w:tab/>
      </w:r>
      <w:bookmarkStart w:id="1035" w:name="SL32626886"/>
      <w:r>
        <w:t>La reechilibrarea unei relaţii de acoperire împotriva riscurilor, o entitate trebuie să își actualizeze analiza surselor de ineficacitate a acoperirii împotriva riscurilor care se preconizează că vor afecta relația de acoperire pe parcursul duratei sale (rămase) (a se vedea punctul B6.4.2). Documentația relaţiei de acoperire împotriva riscurilor trebuie actualizată corespunzător.</w:t>
      </w:r>
      <w:bookmarkEnd w:id="1035"/>
    </w:p>
    <w:p w:rsidR="00AC292A" w:rsidRDefault="00AC292A">
      <w:pPr>
        <w:pStyle w:val="IASBSectionTitle3Ind"/>
      </w:pPr>
      <w:bookmarkStart w:id="1036" w:name="SL32626888"/>
      <w:r>
        <w:t>Întreruperea contabilităţii de acoperire împotriva riscurilor</w:t>
      </w:r>
      <w:bookmarkEnd w:id="1036"/>
    </w:p>
    <w:p w:rsidR="00AC292A" w:rsidRDefault="00AC292A">
      <w:pPr>
        <w:pStyle w:val="IASBNormalnpara"/>
      </w:pPr>
      <w:r>
        <w:t>B6.5.22</w:t>
      </w:r>
      <w:r>
        <w:tab/>
      </w:r>
      <w:bookmarkStart w:id="1037" w:name="SL32626889"/>
      <w:r>
        <w:t>Întreruperea contabilităţii de acoperire împotriva riscurilor se aplică prospectiv de la data la care nu mai sunt îndeplinite criteriile necesare.</w:t>
      </w:r>
      <w:bookmarkEnd w:id="1037"/>
    </w:p>
    <w:p w:rsidR="00AC292A" w:rsidRDefault="00AC292A">
      <w:pPr>
        <w:pStyle w:val="IASBNormalnpara"/>
      </w:pPr>
      <w:r>
        <w:t>B6.5.23</w:t>
      </w:r>
      <w:r>
        <w:tab/>
      </w:r>
      <w:bookmarkStart w:id="1038" w:name="SL32626890"/>
      <w:r>
        <w:t>O entitate nu trebuie să anuleze desemnarea și, prin urmare, să întrerupă o relaţie de acoperire împotriva riscurilor care:</w:t>
      </w:r>
      <w:bookmarkEnd w:id="1038"/>
    </w:p>
    <w:p w:rsidR="00AC292A" w:rsidRDefault="00AC292A">
      <w:pPr>
        <w:pStyle w:val="IASBNormalnparaL1"/>
      </w:pPr>
      <w:r>
        <w:t>(a)</w:t>
      </w:r>
      <w:r>
        <w:tab/>
      </w:r>
      <w:bookmarkStart w:id="1039" w:name="SL32626893"/>
      <w:r>
        <w:t>îndeplinește în continuare obiectivul de gestionare a riscului pe baza căruia au fost îndeplinite criteriile pentru contabilitatea de acoperire împotriva riscurilor (adică entitatea urmărește în continuare respectivul obiectiv de gestionare); și</w:t>
      </w:r>
      <w:bookmarkEnd w:id="1039"/>
    </w:p>
    <w:p w:rsidR="00AC292A" w:rsidRDefault="00AC292A">
      <w:pPr>
        <w:pStyle w:val="IASBNormalnparaL1"/>
      </w:pPr>
      <w:r>
        <w:t>(b)</w:t>
      </w:r>
      <w:r>
        <w:tab/>
      </w:r>
      <w:bookmarkStart w:id="1040" w:name="SL32626895"/>
      <w:r>
        <w:t>continuă să îndeplinească toate celelalte criterii necesare (după ce este luată în considerare orice reechilibrare a relaţiei de acoperire împotriva riscurilor, dacă este cazul).</w:t>
      </w:r>
      <w:bookmarkEnd w:id="1040"/>
    </w:p>
    <w:p w:rsidR="00AC292A" w:rsidRDefault="00AC292A">
      <w:pPr>
        <w:pStyle w:val="IASBNormalnpara"/>
      </w:pPr>
      <w:r>
        <w:lastRenderedPageBreak/>
        <w:t>B6.5.24</w:t>
      </w:r>
      <w:r>
        <w:tab/>
      </w:r>
      <w:bookmarkStart w:id="1041" w:name="SL32626896"/>
      <w:r>
        <w:t>În sensul prezentului standard, strategia de gestionare a riscului din cadrul unei entități este diferită de obiectivele sale de gestionare a riscului. Strategia de gestionare a riscului este stabilită la cel mai ridicat nivel la care o entitate determină modul în care își gestionează riscul. În mod obișnuit, strategiile de gestionare a riscului identifică riscurile la care este expusă o entitate și stabilesc modul în care o entitate răspunde la acestea. O strategie de gestionare a riscului se desfășoară, în mod normal, pe o perioadă mai lungă și poate include o oarecare flexibilitate pentru a reacționa la modificările circumstanțelor care apar pe parcursul existenței acelei strategii (de exemplu, niveluri diferite ale ratei dobânzii sau ale prețului unei mărfi care au ca rezultat un grad diferit de acoperire). Acest lucru este, în mod normal, precizat în cadrul unui document general care se propagă în cadrul unei entități prin intermediul unor politici care conțin îndrumări mai specifice. În schimb, obiectivul de gestionare a riscului aferent unei relaţii de acoperire împotriva riscurilor se aplică la nivelul unei anumite relaţii de acoperire. Acesta se referă la modul în care un anumit instrument desemnat de acoperire împotriva riscurilor este folosit pentru a acoperi o anumită expunere care a fost desemnată drept element acoperit. Prin urmare, o strategie de gestionare a riscului poate să implice mai multe relații diferite de acoperire ale căror obiective de gestionare a riscului sunt corelate cu executarea respectivei strategii generale de gestionare a riscului. De exemplu:</w:t>
      </w:r>
      <w:bookmarkEnd w:id="1041"/>
    </w:p>
    <w:p w:rsidR="00AC292A" w:rsidRDefault="00AC292A">
      <w:pPr>
        <w:pStyle w:val="IASBNormalnparaL1"/>
      </w:pPr>
      <w:r>
        <w:t>(a)</w:t>
      </w:r>
      <w:r>
        <w:tab/>
      </w:r>
      <w:bookmarkStart w:id="1042" w:name="SL32626899"/>
      <w:r>
        <w:t>o entitate are o strategie de gestionare a expunerii la rata dobânzii aferentă finanţării datoriei care stabilește intervale pentru întreaga entitate pentru o finanțare mixtă cu rată variabilă și cu rată fixă. Strategia este de a menține între 20% și 40% din datorie la rate fixe. Entitatea decide, din timp în timp, modul în care să execute această strategie (adică unde se poziționează în intervalul dintre 20% și 40% al expunerii la dobânda cu rată fixă) în funcție de nivelul ratelor dobânzii. Dacă ratele dobânzii sunt scăzute, atunci entitatea fixează dobânda pentru o datorie mai mare decât atunci când ratele dobânzii sunt mari. Datoria entității este de 100 u.m. aferente unei datorii cu rată variabilă din care 30 u.m. sunt schimbate într-o expunere la rată fixă. Entitatea profită de ratele scăzute ale dobânzii pentru a emite încă 50 u.m. de datorie în vederea finanțării unei investiții majore, entitatea făcând acest lucru prin emiterea unei obligațiuni cu rată fixă. În contextul unor rate scăzute ale dobânzii, entitatea decide să stabilească expunerea la rata fixă a dobânzii la 40% din datoria totală prin reducerea cu 20 u.m. a nivelului la care a acoperit anterior expunerea la rata variabilă, rezultând o expunere la rată fixă de 60 u.m. În această situație, strategia de gestionare a riscului rămâne neschimbată. Totuși, în schimb, execuția strategiei de către entitate s-a modificat, iar acest lucru înseamnă că pentru 20 u.m. din expunerea la rata variabilă care a fost anterior acoperită, obiectivul de gestionare a riscului a fost modificat (adică la nivelul relației de acoperire împotriva riscurilor). În consecință, în această situație, contabilitatea de acoperire împotriva riscurilor trebuie să fie întreruptă pentru 20 u.m. din expunerea la rata variabilă acoperită anterior. Acest lucru poate implica reducerea poziției swap cu o valoare nominală de 20 u.m., dar, în funcție de circumstanțe, o entitate poate să păstreze volumul swap și să îl folosească, de exemplu, pentru o acoperire a unei alte expuneri, sau acesta poate deveni o parte dintr-un portofoliu de instrumente financiare. Invers, dacă o entitate a transferat, în schimb, o parte a noii datorii cu rată fixă într-o expunere cu rată variabilă, contabilitatea de acoperire împotriva riscurilor trebuie continuată pentru expunerea la rata variabilă acoperită anterior.</w:t>
      </w:r>
      <w:bookmarkEnd w:id="1042"/>
    </w:p>
    <w:p w:rsidR="00AC292A" w:rsidRDefault="00AC292A">
      <w:pPr>
        <w:pStyle w:val="IASBNormalnparaL1"/>
      </w:pPr>
      <w:r>
        <w:t>(b)</w:t>
      </w:r>
      <w:r>
        <w:tab/>
      </w:r>
      <w:bookmarkStart w:id="1043" w:name="SL32626901"/>
      <w:r>
        <w:t xml:space="preserve">unele expuneri rezultă din pozițiile care se modifică frecvent, de exemplu, riscul ratei dobânzii aferent unui portofoliu deschis de instrumente de datorie. Adăugarea unor noi instrumente de datorie și derecunoașterea instrumentelor de datorie modifică permanent acea expunere (adică este diferită de simpla închidere a unei poziții care ajunge la scadență). Acesta este un proces dinamic în care nici expunerea, nici instrumentele de acoperire împotriva riscurilor folosite pentru a o gestiona nu rămân aceleași pentru mult timp. În consecință, o entitate cu o astfel de expunere ajustează frecvent instrumentele de acoperire împotriva riscurilor folosite pentru a gestiona riscul ratei dobânzii pe măsură ce se modifică expunerea. De exemplu, instrumentele de datorie care mai au 24 de luni până la scadență sunt desemnate ca element acoperit împotriva riscurilor pentru riscul ratei dobânzii pentru 24 de luni. Aceeași procedură se aplică și pentru alte intervale temporale sau perioade de scadență. După o scurtă perioadă de timp, entitatea întrerupe toate relaţiile de acoperire împotriva riscurilor desemnate anterior pentru perioadele până la scadență și desemnează noi relații de acoperire aferente perioadelor până la scadență pe baza mărimii acestora și a instrumentelor de acoperire existente la acel moment. Întreruperea contabilității de acoperire împotriva riscurilor în această situație reflectă faptul că acele relaţii de acoperire sunt stabilite astfel încât entitatea se orientează către un nou instrument de acoperire și un nou element acoperit, în locul instrumentului de acoperire și al elementului acoperit desemnate anterior. Strategia de gestionare a riscului rămâne aceeași, dar nu există un obiectiv de gestionare a riscului care să continue pentru acele relaţii de acoperire desemnate anterior care, în consecință, nu mai există. Într-o astfel de situație, întreruperea contabilității de acoperire se aplică în măsura în care a fost modificat obiectivul de gestionare a riscului. Acest lucru depinde de situația entității și poate </w:t>
      </w:r>
      <w:r>
        <w:lastRenderedPageBreak/>
        <w:t>să afecteze, de exemplu, toate relaţiile de acoperire împotriva riscurilor aferente unei perioade de scadență sau numai o parte din acestea, sau doar o parte a unei relații de acoperire.</w:t>
      </w:r>
      <w:bookmarkEnd w:id="1043"/>
    </w:p>
    <w:p w:rsidR="00AC292A" w:rsidRDefault="00AC292A">
      <w:pPr>
        <w:pStyle w:val="IASBNormalnparaL1"/>
      </w:pPr>
      <w:r>
        <w:t>(c)</w:t>
      </w:r>
      <w:r>
        <w:tab/>
      </w:r>
      <w:bookmarkStart w:id="1044" w:name="SL32626903"/>
      <w:r>
        <w:t>o entitate are o strategie de gestionare a riscului în care gestionează riscul valutar aferent vânzărilor preconizate și creanţelor rezultate. În cadrul acelei strategii, entitatea gestionează riscul valutar ca fiind o anumită relație de acoperire doar până la momentul recunoaşterii creanței. Ulterior, entitatea nu mai gestionează riscul valutar pe baza acelei relaţii de acoperire împotriva riscurilor. În schimb, gestionează împreună riscul valutar aferent creanțelor, datoriilor și instrumentelor derivate (care nu sunt aferente unor tranzacții prognozate aflate încă în așteptare) exprimate în aceeași valută. În scopuri contabile, acest lucru funcționează ca o acoperire „naturală” împotriva riscurilor deoarece câştigurile și pierderile aferente riscului valutar pentru toate acele elemente sunt recunoscute imediat în profit sau pierdere. În consecință, din motive contabile, dacă relaţia de acoperire împotriva riscurilor este desemnată pentru perioada care precede data plății, atunci aceasta trebuie întreruptă atunci când este recunoscută creanța, deoarece nu se mai aplică obiectivul de gestionare a riscului aferent relaţiei de acoperire inițiale. Riscul valutar este gestionat acum în cadrul aceleiași strategii, dar pe o bază diferită. În schimb, dacă o entitate a avut un alt obiectiv de gestionare a riscului și a gestionat riscul valutar ca pe o relaţie continuă de acoperire, în mod specific pentru acel volum preconizat de vânzări și pentru creanța rezultată până la data de decontare, contabilitatea de acoperire împotriva riscurilor continuă până la acea dată.</w:t>
      </w:r>
      <w:bookmarkEnd w:id="1044"/>
    </w:p>
    <w:p w:rsidR="00AC292A" w:rsidRDefault="00AC292A">
      <w:pPr>
        <w:pStyle w:val="IASBNormalnpara"/>
      </w:pPr>
      <w:r>
        <w:t>B6.5.25</w:t>
      </w:r>
      <w:r>
        <w:tab/>
      </w:r>
      <w:bookmarkStart w:id="1045" w:name="SL32626904"/>
      <w:r>
        <w:t>Întreruperea contabilității de acoperire împotriva riscurilor poate afecta:</w:t>
      </w:r>
      <w:bookmarkEnd w:id="1045"/>
    </w:p>
    <w:p w:rsidR="00AC292A" w:rsidRDefault="00AC292A">
      <w:pPr>
        <w:pStyle w:val="IASBNormalnparaL1"/>
      </w:pPr>
      <w:r>
        <w:t>(a)</w:t>
      </w:r>
      <w:r>
        <w:tab/>
      </w:r>
      <w:bookmarkStart w:id="1046" w:name="SL32626907"/>
      <w:r>
        <w:t>o relaţie de acoperire împotriva riscurilor în totalitatea sa; sau</w:t>
      </w:r>
      <w:bookmarkEnd w:id="1046"/>
    </w:p>
    <w:p w:rsidR="00AC292A" w:rsidRDefault="00AC292A">
      <w:pPr>
        <w:pStyle w:val="IASBNormalnparaL1"/>
      </w:pPr>
      <w:r>
        <w:t>(b)</w:t>
      </w:r>
      <w:r>
        <w:tab/>
      </w:r>
      <w:bookmarkStart w:id="1047" w:name="SL32626909"/>
      <w:r>
        <w:t>o parte a unei relații de acoperire împotriva riscurilor (ceea ce înseamnă că se va continua contabilitatea de acoperire pentru restul relației de acoperire).</w:t>
      </w:r>
      <w:bookmarkEnd w:id="1047"/>
    </w:p>
    <w:p w:rsidR="00AC292A" w:rsidRDefault="00AC292A">
      <w:pPr>
        <w:pStyle w:val="IASBNormalnpara"/>
      </w:pPr>
      <w:r>
        <w:t>B6.5.26</w:t>
      </w:r>
      <w:r>
        <w:tab/>
      </w:r>
      <w:bookmarkStart w:id="1048" w:name="SL32626910"/>
      <w:r>
        <w:t>O relaţie de acoperire împotriva riscurilor este întreruptă în întregime atunci când nu mai îndeplinește criteriile necesare. De exemplu:</w:t>
      </w:r>
      <w:bookmarkEnd w:id="1048"/>
    </w:p>
    <w:p w:rsidR="00AC292A" w:rsidRDefault="00AC292A">
      <w:pPr>
        <w:pStyle w:val="IASBNormalnparaL1"/>
      </w:pPr>
      <w:r>
        <w:t>(a)</w:t>
      </w:r>
      <w:r>
        <w:tab/>
      </w:r>
      <w:bookmarkStart w:id="1049" w:name="SL32626913"/>
      <w:r>
        <w:t>relaţia de acoperire împotriva riscurilor nu mai îndeplinește obiectivul de gestionare a riscului pe baza căruia îndeplinea condițiile pentru contabilitatea de acoperire împotriva riscurilor (adică entitatea nu mai urmărește respectivul obiectiv de gestionare a riscului);</w:t>
      </w:r>
      <w:bookmarkEnd w:id="1049"/>
    </w:p>
    <w:p w:rsidR="00AC292A" w:rsidRDefault="00AC292A">
      <w:pPr>
        <w:pStyle w:val="IASBNormalnparaL1"/>
      </w:pPr>
      <w:r>
        <w:t>(b)</w:t>
      </w:r>
      <w:r>
        <w:tab/>
      </w:r>
      <w:bookmarkStart w:id="1050" w:name="SL32626915"/>
      <w:r>
        <w:t>instrumentul sau instrumentele de acoperire împotriva riscurilor a (au) fost vândut(e) sau finalizat(e) (în raport cu întregul volum care a făcut parte din relaţia de acoperire împotriva riscurilor); sau</w:t>
      </w:r>
      <w:bookmarkEnd w:id="1050"/>
    </w:p>
    <w:p w:rsidR="00AC292A" w:rsidRDefault="00AC292A">
      <w:pPr>
        <w:pStyle w:val="IASBNormalnparaL1"/>
      </w:pPr>
      <w:r>
        <w:t>(c)</w:t>
      </w:r>
      <w:r>
        <w:tab/>
      </w:r>
      <w:bookmarkStart w:id="1051" w:name="SL32626917"/>
      <w:r>
        <w:t>nu mai există o relație economică între elementul acoperit și instrumentul de acoperire sau efectul riscului de credit începe să domine modificările de valoare care au rezultat din acea relație economică.</w:t>
      </w:r>
      <w:bookmarkEnd w:id="1051"/>
    </w:p>
    <w:p w:rsidR="00AC292A" w:rsidRDefault="00AC292A">
      <w:pPr>
        <w:pStyle w:val="IASBNormalnpara"/>
      </w:pPr>
      <w:r>
        <w:t>B6.5.27</w:t>
      </w:r>
      <w:r>
        <w:tab/>
      </w:r>
      <w:bookmarkStart w:id="1052" w:name="SL32626918"/>
      <w:r>
        <w:t>O parte a relației de acoperire este întreruptă (iar pentru restul relației continuă contabilitatea de acoperire) atunci când doar o parte a relației de acoperire nu mai îndeplinește condițiile necesare. De exemplu:</w:t>
      </w:r>
      <w:bookmarkEnd w:id="1052"/>
    </w:p>
    <w:p w:rsidR="00AC292A" w:rsidRDefault="00AC292A">
      <w:pPr>
        <w:pStyle w:val="IASBNormalnparaL1"/>
      </w:pPr>
      <w:r>
        <w:t>(a)</w:t>
      </w:r>
      <w:r>
        <w:tab/>
      </w:r>
      <w:bookmarkStart w:id="1053" w:name="SL32626921"/>
      <w:r>
        <w:t>la reechilibrarea relației de acoperire împotriva riscurilor, rata de acoperire ar putea fi ajustată astfel încât o parte a volumului elementului acoperit nu mai face parte din relaţia de acoperire împotriva riscurilor (a se vedea punctul B6.5.20); prin urmare, contabilitatea de acoperire împotriva riscurilor este întreruptă doar pentru volumul elementului acoperit care nu mai face parte din relaţia de acoperire împotriva riscurilor; sau</w:t>
      </w:r>
      <w:bookmarkEnd w:id="1053"/>
    </w:p>
    <w:p w:rsidR="00AC292A" w:rsidRDefault="00AC292A">
      <w:pPr>
        <w:pStyle w:val="IASBNormalnparaL1"/>
      </w:pPr>
      <w:r>
        <w:t>(b)</w:t>
      </w:r>
      <w:r>
        <w:tab/>
      </w:r>
      <w:bookmarkStart w:id="1054" w:name="SL32626923"/>
      <w:r>
        <w:t>atunci când nu mai este foarte probabilă apariția unei părți din volumul elementului acoperit care este o tranzacţie prognozată (sau o componentă a acesteia), contabilitatea de acoperire împotriva riscurilor este întreruptă doar pentru volumul elementului acoperit a cărui apariție nu mai este foarte probabilă. Totuși, dacă o entitate are un istoric al acoperirilor desemnate ale tranzacțiilor prognozate și al determinării ulterioare a faptului că nu se mai preconizează că vor avea loc tranzacțiile prognozate, capacitatea entității de a prevedea cu acuratețe tranzacțiile prognozate este pusă la îndoială atunci când sunt anticipate tranzacții prognozate similare. Acest lucru afectează modul în care se evaluează dacă tranzacţiile prognozate similare sunt foarte probabile (a se vedea punctul 6.3.3) și, prin urmare, dacă acestea sunt eligibile ca elemente acoperite.</w:t>
      </w:r>
      <w:bookmarkEnd w:id="1054"/>
    </w:p>
    <w:p w:rsidR="00AC292A" w:rsidRDefault="00AC292A">
      <w:pPr>
        <w:pStyle w:val="IASBNormalnpara"/>
      </w:pPr>
      <w:r>
        <w:t>B6.5.28</w:t>
      </w:r>
      <w:r>
        <w:tab/>
      </w:r>
      <w:bookmarkStart w:id="1055" w:name="SL32626924"/>
      <w:r>
        <w:t>O entitate poate desemna o nouă relaţie de acoperire împotriva riscurilor care implică instrumentul de acoperire sau elementul acoperit dintr-o relație anterioară de acoperire pentru care a fost întreruptă contabilitatea de acoperire (parțial sau în întregime). Acest lucru nu constituie o continuare a relaţiei de acoperire împotriva riscurilor, ci o reinițiere a acesteia. De exemplu:</w:t>
      </w:r>
      <w:bookmarkEnd w:id="1055"/>
    </w:p>
    <w:p w:rsidR="00AC292A" w:rsidRDefault="00AC292A">
      <w:pPr>
        <w:pStyle w:val="IASBNormalnparaL1"/>
      </w:pPr>
      <w:r>
        <w:t>(a)</w:t>
      </w:r>
      <w:r>
        <w:tab/>
      </w:r>
      <w:bookmarkStart w:id="1056" w:name="SL32626927"/>
      <w:r>
        <w:t xml:space="preserve">un instrument de acoperire împotriva riscurilor suferă o deteriorare a creditului atât de severă, încât entitatea îl înlocuiește cu un nou instrument de acoperire. Acest lucru înseamnă că relaţia inițială de acoperire împotriva riscurilor nu și-a atins obiectivul de gestionare a riscului și, prin </w:t>
      </w:r>
      <w:r>
        <w:lastRenderedPageBreak/>
        <w:t>urmare, este întreruptă complet. Noul instrument de acoperire împotriva riscurilor este desemnat ca o acoperire a aceleiași expuneri acoperite anterior și formează o nouă relație de acoperire. Prin urmare, modificările valorii juste sau ale fluxurilor de trezorerie aferente elementului acoperit sunt evaluate începând cu data desemnării noii relații de acoperire, și în raport cu aceasta, în locul datei la care a fost desemnată relaţia inițială de acoperire împotriva riscurilor.</w:t>
      </w:r>
      <w:bookmarkEnd w:id="1056"/>
    </w:p>
    <w:p w:rsidR="00AC292A" w:rsidRDefault="00AC292A">
      <w:pPr>
        <w:pStyle w:val="IASBNormalnparaL1"/>
      </w:pPr>
      <w:r>
        <w:t>(b)</w:t>
      </w:r>
      <w:r>
        <w:tab/>
      </w:r>
      <w:bookmarkStart w:id="1057" w:name="SL32626929"/>
      <w:r>
        <w:t>o relaţie de acoperire împotriva riscurilor este întreruptă înainte de încheierea termenului său. Instrumentul de acoperire din acea relaţie de acoperire împotriva riscurilor poate fi desemnat drept instrument de acoperire într-o altă relație de acoperire (de exemplu, atunci când se ajustează rata de acoperire la reechilibrare prin creșterea volumului instrumentului de acoperire sau când se desemnează o nouă relaţie de acoperire în întregime).</w:t>
      </w:r>
      <w:bookmarkEnd w:id="1057"/>
    </w:p>
    <w:p w:rsidR="00AC292A" w:rsidRDefault="00AC292A">
      <w:pPr>
        <w:pStyle w:val="IASBSectionTitle3Ind"/>
      </w:pPr>
      <w:bookmarkStart w:id="1058" w:name="SL32626931"/>
      <w:r>
        <w:t>Contabilizarea valorii-timp a opțiunilor</w:t>
      </w:r>
      <w:bookmarkEnd w:id="1058"/>
    </w:p>
    <w:p w:rsidR="00AC292A" w:rsidRDefault="00AC292A">
      <w:pPr>
        <w:pStyle w:val="IASBNormalnpara"/>
      </w:pPr>
      <w:r>
        <w:t>B6.5.29</w:t>
      </w:r>
      <w:r>
        <w:tab/>
      </w:r>
      <w:bookmarkStart w:id="1059" w:name="SL32626932"/>
      <w:r>
        <w:t>O opţiune poate fi considerată ca fiind aferentă unei perioade de timp deoarece valoarea-timp a sa reprezintă un comision de protecție pentru deținătorul opțiunii pe parcursul unei perioade de timp. Totuși, aspectul relevant atunci când se evaluează dacă o opțiune acoperă o tranzacție sau un element acoperit aferent unei perioade de timp constă în caracteristicile elementului acoperit împotriva riscurilor, inclusiv cum și când acesta afectează profitul sau pierderea. Prin urmare, o entitate trebuie să evalueze tipul de element acoperit (a se vedea punctul 6.5.15 litera (a)) pe baza naturii elementului acoperit (indiferent dacă relaţia de acoperire împotriva riscurilor este o acoperire a fluxurilor de trezorerie împotriva riscurilor sau o acoperire a valorii juste împotriva riscurilor):</w:t>
      </w:r>
      <w:bookmarkEnd w:id="1059"/>
    </w:p>
    <w:p w:rsidR="00AC292A" w:rsidRDefault="00AC292A">
      <w:pPr>
        <w:pStyle w:val="IASBNormalnparaL1"/>
      </w:pPr>
      <w:r>
        <w:t>(a)</w:t>
      </w:r>
      <w:r>
        <w:tab/>
      </w:r>
      <w:bookmarkStart w:id="1060" w:name="SL32626935"/>
      <w:r>
        <w:t>valoarea-timp a unei opțiuni se referă la un element acoperit împotriva riscurilor aferent unei tranzacţii dacă natura elementului acoperit reprezintă o tranzacţie pentru care valoarea-timp are caracterul de costuri aferente acelei tranzacţii. Un exemplu este momentul în care valoarea-timp a unei opțiuni se referă la un element acoperit împotriva riscurilor care determină recunoașterea unui element a cărui evaluare inițială include costurile tranzacției (de exemplu, o entitate acoperă o achiziție de mărfuri, indiferent dacă aceasta este o tranzacţie prognozată sau un angajament ferm, împotriva riscului de preț al mărfii și include costurile tranzacției în evaluarea inițială a stocurilor). Drept consecință a includerii valorii-timp a opțiunii în evaluarea iniţială a unui anumit element acoperit împotriva riscurilor, valoarea-timp afectează profitul sau pierderea în același timp ca elementul acoperit împotriva riscurilor. În mod similar, o entitate care acoperă vânzarea unei mărfi, indiferent dacă este vorba de o tranzacție prognozată sau de un angajament ferm, va include valoarea-timp a opțiunii ca parte a costului aferent acelei vânzări (prin urmare, valoarea-timp va fi recunoscută în profit sau pierdere în aceeași perioadă ca veniturile din vânzarea acoperită împotriva riscurilor).</w:t>
      </w:r>
      <w:bookmarkEnd w:id="1060"/>
    </w:p>
    <w:p w:rsidR="00AC292A" w:rsidRDefault="00AC292A">
      <w:pPr>
        <w:pStyle w:val="IASBNormalnparaL1"/>
      </w:pPr>
      <w:r>
        <w:t>(b)</w:t>
      </w:r>
      <w:r>
        <w:tab/>
      </w:r>
      <w:bookmarkStart w:id="1061" w:name="SL32626937"/>
      <w:r>
        <w:t>valoarea-timp a unei opțiuni se referă la un element acoperit împotriva riscurilor aferent unei perioade de timp dacă elementul acoperit este de o asemenea natură încât valoarea-timp are caracterul unui cost pentru obținerea protecției împotriva unui risc pe parcursul unei anumite perioade de timp (dar elementul acoperit nu are ca rezultat o tranzacție ce implică noțiunea de cost al tranzacției în conformitate cu litera (a)). De exemplu, dacă stocurile de marfă sunt acoperite împotriva unei scăderi a valorii juste pe o perioadă de șase luni folosind o opțiune pentru marfă cu o durată de viață corespunzătoare, valoarea-timp a opțiunii va fi alocată în profit sau pierdere (adică amortizată pe o bază sistematică și rațională) pe acea perioadă de șase luni. Un alt exemplu este o acoperire a unei investiţii nete într-o operaţiune din străinătate care este acoperită pentru 18 luni folosind o opţiune de schimb valutar, acoperire ce va conduce la alocarea valorii-timp aferente opțiunii pe acea perioadă de 18 luni.</w:t>
      </w:r>
      <w:bookmarkEnd w:id="1061"/>
    </w:p>
    <w:p w:rsidR="00AC292A" w:rsidRDefault="00AC292A">
      <w:pPr>
        <w:pStyle w:val="IASBNormalnpara"/>
      </w:pPr>
      <w:r>
        <w:t>B6.5.30</w:t>
      </w:r>
      <w:r>
        <w:tab/>
      </w:r>
      <w:bookmarkStart w:id="1062" w:name="SL32626938"/>
      <w:r>
        <w:t>Caracteristicile elementului acoperit împotriva riscurilor, inclusiv modul și momentul în care elementul acoperit afectează profitul sau pierderea, afectează, de asemenea, perioada pe parcursul căreia este amortizată valoarea-timp a unei opțiuni ce acoperă un element acoperit aferent unei perioade de timp, ceea ce este consecvent cu perioada pe parcursul căreia valoarea intrinsecă a opţiunii poate afecta profitul sau pierderea în conformitate cu contabilitatea de acoperire împotriva riscurilor. De exemplu, dacă este folosită o opțiune aferentă ratei dobânzii (un plafon maxim) pentru a oferi protecție împotriva creșterilor cheltuielilor cu dobânda aferente unei obligațiuni cu rată fluctuantă, atunci valoarea-timp a plafonului maxim este amortizată în profit sau pierdere pe parcursul aceleiași perioade de timp în care valoarea intrinsecă a plafonului maxim afectează profitul sau pierderea:</w:t>
      </w:r>
      <w:bookmarkEnd w:id="1062"/>
    </w:p>
    <w:p w:rsidR="00AC292A" w:rsidRDefault="00AC292A">
      <w:pPr>
        <w:pStyle w:val="IASBNormalnparaL1"/>
      </w:pPr>
      <w:r>
        <w:t>(a)</w:t>
      </w:r>
      <w:r>
        <w:tab/>
      </w:r>
      <w:bookmarkStart w:id="1063" w:name="SL32626941"/>
      <w:r>
        <w:t>în cazul în care plafonul maxim acoperă împotriva riscurilor creșterea ratelor dobânzii pentru primii trei ani din durata totală de viață de cinci ani a obligațiunii cu rată fluctuantă,  valoarea-timp a plafonului maxim este amortizată pe parcursul primilor trei ani; sau</w:t>
      </w:r>
      <w:bookmarkEnd w:id="1063"/>
    </w:p>
    <w:p w:rsidR="00AC292A" w:rsidRDefault="00AC292A">
      <w:pPr>
        <w:pStyle w:val="IASBNormalnparaL1"/>
      </w:pPr>
      <w:r>
        <w:t>(b)</w:t>
      </w:r>
      <w:r>
        <w:tab/>
      </w:r>
      <w:bookmarkStart w:id="1064" w:name="SL32626943"/>
      <w:r>
        <w:t xml:space="preserve">în cazul în care plafonul maxim reprezintă o opţiune cu declanșare la termen care acoperă creșterea ratelor dobânzii pentru anii doi și trei din durata totală de viață de cinci ani a obligațiunii </w:t>
      </w:r>
      <w:r>
        <w:lastRenderedPageBreak/>
        <w:t>cu rată fluctuantă, atunci valoarea-timp a plafonului maxim este amortizată pe parcursul anilor doi și trei.</w:t>
      </w:r>
      <w:bookmarkEnd w:id="1064"/>
    </w:p>
    <w:p w:rsidR="00AC292A" w:rsidRDefault="00AC292A">
      <w:pPr>
        <w:pStyle w:val="IASBNormalnpara"/>
      </w:pPr>
      <w:r>
        <w:t>B6.5.31</w:t>
      </w:r>
      <w:r>
        <w:tab/>
      </w:r>
      <w:bookmarkStart w:id="1065" w:name="SL32626944"/>
      <w:r>
        <w:t>Contabilizarea valorii-timp a opțiunilor în conformitate cu punctul 6.5.15 se aplică și unei combinații dintre o opțiune cumpărată și una emisă (una fiind o opțiune put și cealaltă fiind o opțiune call) care are, la data desemnării drept instrument de acoperire împotriva riscurilor, o valoare-timp zero (denumită, de obicei, un „collar cu cost zero”). În acest caz, o entitate trebuie să recunoască orice modificări în valoarea-timp în alte elemente ale rezultatului global, chiar dacă modificarea cumulată a valorii-timp pe parcursul întregii perioade a relației de acoperire este zero. Prin urmare, dacă valoarea-timp a opțiunii se referă la:</w:t>
      </w:r>
      <w:bookmarkEnd w:id="1065"/>
    </w:p>
    <w:p w:rsidR="00AC292A" w:rsidRDefault="00AC292A">
      <w:pPr>
        <w:pStyle w:val="IASBNormalnparaL1"/>
      </w:pPr>
      <w:r>
        <w:t>(a)</w:t>
      </w:r>
      <w:r>
        <w:tab/>
      </w:r>
      <w:bookmarkStart w:id="1066" w:name="SL32626947"/>
      <w:r>
        <w:t>un element acoperit împotriva riscurilor aferent unei tranzacţii, atunci valoarea-timp la finalul relaţiei de acoperire care ajustează elementul acoperit sau care este reclasificată în profit sau pierdere (a se vedea punctul 6.5.15 litera (b)) va fi zero.</w:t>
      </w:r>
      <w:bookmarkEnd w:id="1066"/>
    </w:p>
    <w:p w:rsidR="00AC292A" w:rsidRDefault="00AC292A">
      <w:pPr>
        <w:pStyle w:val="IASBNormalnparaL1"/>
      </w:pPr>
      <w:r>
        <w:t>(b)</w:t>
      </w:r>
      <w:r>
        <w:tab/>
      </w:r>
      <w:bookmarkStart w:id="1067" w:name="SL32626949"/>
      <w:r>
        <w:t>un element acoperit împotriva riscurilor aferent unei perioade de timp, atunci cheltuielile de amortizare aferente valorii-timp vor fi zero.</w:t>
      </w:r>
      <w:bookmarkEnd w:id="1067"/>
    </w:p>
    <w:p w:rsidR="00AC292A" w:rsidRDefault="00AC292A">
      <w:pPr>
        <w:pStyle w:val="IASBNormalnpara"/>
      </w:pPr>
      <w:r>
        <w:t>B6.5.32</w:t>
      </w:r>
      <w:r>
        <w:tab/>
      </w:r>
      <w:bookmarkStart w:id="1068" w:name="SL32626950"/>
      <w:r>
        <w:t>Contabilizarea valorii-timp a opțiunilor în conformitate cu punctul 6.5.15 se aplică doar în măsura în care valoarea-timp se referă la elementul acoperit (valoare-timp aliniată). Valoarea-timp a unei opțiuni se referă la elementul acoperit dacă termenele esențiale ale opțiunii (precum valoarea nominală, durata de viață și instrumentul de bază) sunt aliniați cu elementul acoperit. Prin urmare, dacă termenele esențiale ale opțiunii și ale elementului acoperit nu sunt pe deplin aliniate, atunci o entitate trebuie să determine valoarea-timp aliniată, respectiv cât din valoarea-timp inclusă în primă (valoarea-timp reală) se referă la elementul acoperit (și, prin urmare, trebuie tratată în conformitate cu punctul 6.5.15). O entitate determină valoarea-timp aliniată folosind evaluarea unei opțiuni care are clauze esențiale ce corespund perfect elementului acoperit împotriva riscurilor.</w:t>
      </w:r>
      <w:bookmarkEnd w:id="1068"/>
    </w:p>
    <w:p w:rsidR="00AC292A" w:rsidRDefault="00AC292A">
      <w:pPr>
        <w:pStyle w:val="IASBNormalnpara"/>
      </w:pPr>
      <w:r>
        <w:t>B6.5.33</w:t>
      </w:r>
      <w:r>
        <w:tab/>
      </w:r>
      <w:bookmarkStart w:id="1069" w:name="SL32626951"/>
      <w:r>
        <w:t>Dacă valoarea-timp reală și valoarea-timp aliniată sunt diferite, entitatea trebuie să determine valoarea care este acumulată într-o componentă separată a capitalurilor proprii, în conformitate cu punctul 6.5.15, după cum urmează:</w:t>
      </w:r>
      <w:bookmarkEnd w:id="1069"/>
    </w:p>
    <w:p w:rsidR="00AC292A" w:rsidRDefault="00AC292A">
      <w:pPr>
        <w:pStyle w:val="IASBNormalnparaL1"/>
      </w:pPr>
      <w:r>
        <w:t>(a)</w:t>
      </w:r>
      <w:r>
        <w:tab/>
      </w:r>
      <w:bookmarkStart w:id="1070" w:name="SL32626954"/>
      <w:r>
        <w:t>dacă la începutul contractului de leasing, valoarea-timp reală este mai mare decât valoarea-timp aliniată, entitatea trebuie:</w:t>
      </w:r>
      <w:bookmarkEnd w:id="1070"/>
    </w:p>
    <w:p w:rsidR="00AC292A" w:rsidRDefault="00AC292A">
      <w:pPr>
        <w:pStyle w:val="IASBNormalnparaL2"/>
      </w:pPr>
      <w:r>
        <w:t>(i)</w:t>
      </w:r>
      <w:r>
        <w:tab/>
      </w:r>
      <w:bookmarkStart w:id="1071" w:name="SL32626957"/>
      <w:r>
        <w:t>să determine valoarea care este acumulată într-o componentă separată a capitalurilor proprii pe baza valorii-timp aliniate; și</w:t>
      </w:r>
      <w:bookmarkEnd w:id="1071"/>
    </w:p>
    <w:p w:rsidR="00AC292A" w:rsidRDefault="00AC292A">
      <w:pPr>
        <w:pStyle w:val="IASBNormalnparaL2"/>
      </w:pPr>
      <w:r>
        <w:t>(ii)</w:t>
      </w:r>
      <w:r>
        <w:tab/>
      </w:r>
      <w:bookmarkStart w:id="1072" w:name="SL32626959"/>
      <w:r>
        <w:t>să contabilizeze diferențele în modificările valorilor juste dintre cele două valori-timp în profit sau pierdere.</w:t>
      </w:r>
      <w:bookmarkEnd w:id="1072"/>
    </w:p>
    <w:p w:rsidR="00AC292A" w:rsidRDefault="00AC292A">
      <w:pPr>
        <w:pStyle w:val="IASBNormalnparaL1"/>
      </w:pPr>
      <w:r>
        <w:t>(b)</w:t>
      </w:r>
      <w:r>
        <w:tab/>
      </w:r>
      <w:bookmarkStart w:id="1073" w:name="SL32626961"/>
      <w:r>
        <w:t>dacă la începutul relaţiei de acoperire împotriva riscurilor, valoarea-timp reală este mai mică decât valoarea-timp aliniată, entitatea trebuie să determine valoarea acumulată într-o componentă separată a capitalurilor proprii în funcție de cea mai mică modificare cumulată a valorii juste a:</w:t>
      </w:r>
      <w:bookmarkEnd w:id="1073"/>
    </w:p>
    <w:p w:rsidR="00AC292A" w:rsidRDefault="00AC292A">
      <w:pPr>
        <w:pStyle w:val="IASBNormalnparaL2"/>
      </w:pPr>
      <w:r>
        <w:t>(i)</w:t>
      </w:r>
      <w:r>
        <w:tab/>
      </w:r>
      <w:bookmarkStart w:id="1074" w:name="SL32626964"/>
      <w:r>
        <w:t>valorii-timp reale; și</w:t>
      </w:r>
      <w:bookmarkEnd w:id="1074"/>
    </w:p>
    <w:p w:rsidR="00AC292A" w:rsidRDefault="00AC292A">
      <w:pPr>
        <w:pStyle w:val="IASBNormalnparaL2"/>
      </w:pPr>
      <w:r>
        <w:t>(ii)</w:t>
      </w:r>
      <w:r>
        <w:tab/>
      </w:r>
      <w:bookmarkStart w:id="1075" w:name="SL32626966"/>
      <w:r>
        <w:t>valorii-timp aliniate.</w:t>
      </w:r>
      <w:bookmarkEnd w:id="1075"/>
    </w:p>
    <w:p w:rsidR="00AC292A" w:rsidRDefault="00AC292A">
      <w:pPr>
        <w:pStyle w:val="IASBNormalnparaP"/>
      </w:pPr>
      <w:bookmarkStart w:id="1076" w:name="F32626967"/>
      <w:r>
        <w:t>Orice rest al modificării valorii juste aferente valorii-timp reale va fi recunoscut în profit sau pierdere.</w:t>
      </w:r>
      <w:bookmarkEnd w:id="1076"/>
    </w:p>
    <w:p w:rsidR="00AC292A" w:rsidRDefault="00AC292A">
      <w:pPr>
        <w:pStyle w:val="IASBSectionTitle3Ind"/>
      </w:pPr>
      <w:bookmarkStart w:id="1077" w:name="SL32626969"/>
      <w:r>
        <w:t>Contabilizarea unui element forward din contractele forward și marjele cu bază valutară ale instrumentelor financiare</w:t>
      </w:r>
      <w:bookmarkEnd w:id="1077"/>
    </w:p>
    <w:p w:rsidR="00AC292A" w:rsidRDefault="00AC292A">
      <w:pPr>
        <w:pStyle w:val="IASBNormalnpara"/>
      </w:pPr>
      <w:r>
        <w:t>B6.5.34</w:t>
      </w:r>
      <w:r>
        <w:tab/>
      </w:r>
      <w:bookmarkStart w:id="1078" w:name="SL32626970"/>
      <w:r>
        <w:t>Un contract forward poate fi considerat ca fiind corelat cu o perioadă de timp deoarece elementul său forward reprezintă cheltuieli aferente unei perioade de timp (care reprezintă durata pentru care este determinat). Totuși, aspectul relevant atunci când se evaluează dacă un instrument de acoperire împotriva riscurilor acoperă o tranzacție sau un element acoperit aferent unei perioade de timp constă în caracteristicile respectivului element acoperit împotriva riscurilor, inclusiv cum și când acesta afectează profitul sau pierderea. Prin urmare, o entitate trebuie să evalueze tipul de element acoperit (a se vedea punctele 6.5.16 și 6.5.15 litera (a)) pe baza naturii elementului acoperit (indiferent dacă relaţia de acoperire împotriva riscurilor este o acoperire a fluxurilor de trezorerie împotriva riscurilor sau o acoperire a valorii juste împotriva riscurilor):</w:t>
      </w:r>
      <w:bookmarkEnd w:id="1078"/>
    </w:p>
    <w:p w:rsidR="00AC292A" w:rsidRDefault="00AC292A">
      <w:pPr>
        <w:pStyle w:val="IASBNormalnparaL1"/>
      </w:pPr>
      <w:r>
        <w:t>(a)</w:t>
      </w:r>
      <w:r>
        <w:tab/>
      </w:r>
      <w:bookmarkStart w:id="1079" w:name="SL32626973"/>
      <w:r>
        <w:t xml:space="preserve">elementul forward al unui contract forward se referă la un element acoperit împotriva riscurilor aferent unei tranzacţii dacă natura elementului acoperit reprezintă o tranzacţie pentru care elementul forward prezintă caracterul de cost al acelei tranzacţii. Un exemplu este momentul în care elementul forward se referă la un element acoperit care are ca rezultat recunoașterea unui element a cărui evaluare inițială include costurile tranzacției (de exemplu, o entitate acoperă o achiziție de stocuri exprimată într-o valută, indiferent dacă este o tranzacţie prognozată sau un </w:t>
      </w:r>
      <w:r>
        <w:lastRenderedPageBreak/>
        <w:t>angajament ferm, împotriva riscului valutar și include costurile tranzacției în evaluarea inițială a stocurilor). Drept consecință a includerii elementului forward în evaluarea iniţială a unui anumit element acoperit împotriva riscurilor, elementul forward afectează profitul sau pierderea în același timp ca elementul acoperit. În mod similar, o entitate care acoperă împotriva riscului valutar o vânzare a unor mărfuri exprimată în valută, indiferent dacă este o tranzacție prognozată sau un angajament ferm, va include elementul forward ca parte din costul aferent acelei vânzări (prin urmare, elementul forward va fi recunoscut în profit sau pierdere în aceeași perioadă ca veniturile din vânzarea acoperită împotriva riscurilor).</w:t>
      </w:r>
      <w:bookmarkEnd w:id="1079"/>
    </w:p>
    <w:p w:rsidR="00AC292A" w:rsidRDefault="00AC292A">
      <w:pPr>
        <w:pStyle w:val="IASBNormalnparaL1"/>
      </w:pPr>
      <w:r>
        <w:t>(b)</w:t>
      </w:r>
      <w:r>
        <w:tab/>
      </w:r>
      <w:bookmarkStart w:id="1080" w:name="SL32626975"/>
      <w:r>
        <w:t>elementul forward al unui contract forward se referă la un element acoperit aferent unei perioade de timp dacă elementul acoperit este de o asemenea natură încât elementul forward prezintă caracterul unui cost pentru obținerea protecției împotriva unui risc pe parcursul unei anumite perioade de timp (dar elementul acoperit nu are ca rezultat o tranzacție ce implică noțiunea de cost al tranzacției în conformitate cu litera (a)). De exemplu, dacă stocurile de marfă sunt acoperite împotriva unor modificări ale valorii juste pe o perioadă de șase luni folosind un contract forward de marfă cu o durată de viață corespunzătoare, elementul forward al contractului forward va fi alocat în profit sau pierdere (adică va fi amortizat pe o bază sistematică și rațională) pe acea perioadă de șase luni. Un alt exemplu este o acoperire a unei investiţii nete într-o operaţiune din străinătate care este acoperită pentru 18 luni folosind un contract forward de schimb valutar care determină alocarea elementului forward al contractului forward pe acea perioadă de 18 luni.</w:t>
      </w:r>
      <w:bookmarkEnd w:id="1080"/>
    </w:p>
    <w:p w:rsidR="00AC292A" w:rsidRDefault="00AC292A">
      <w:pPr>
        <w:pStyle w:val="IASBNormalnpara"/>
      </w:pPr>
      <w:r>
        <w:t>B6.5.35</w:t>
      </w:r>
      <w:r>
        <w:tab/>
      </w:r>
      <w:bookmarkStart w:id="1081" w:name="SL32626976"/>
      <w:r>
        <w:t>Caracteristicile elementului acoperit împotriva riscurilor, inclusiv modul și momentul în care elementul acoperit afectează profitul sau pierderea, afectează și perioada pe parcursul căreia este amortizat elementul forward al contractului forward care acoperă elementul acoperit aferent unei perioade de timp, adică perioada la care se referă elementul forward. De exemplu, dacă un contract forward acoperă împotriva riscurilor expunerea la variabilitatea ratelor dobânzii pe trei luni pentru o perioadă de trei luni care începe peste șase luni, atunci elementul forward este amortizat pe o perioadă între șapte și nouă luni.</w:t>
      </w:r>
      <w:bookmarkEnd w:id="1081"/>
    </w:p>
    <w:p w:rsidR="00AC292A" w:rsidRDefault="00AC292A">
      <w:pPr>
        <w:pStyle w:val="IASBNormalnpara"/>
      </w:pPr>
      <w:r>
        <w:t>B6.5.36</w:t>
      </w:r>
      <w:r>
        <w:tab/>
      </w:r>
      <w:bookmarkStart w:id="1082" w:name="SL32626977"/>
      <w:r>
        <w:t>Contabilizarea elementului forward al unui contract forward în conformitate cu punctul 6.5.16 se aplică, de asemenea, dacă elementul forward este zero la data la care contractul forward este desemnat drept instrument de acoperire împotriva riscurilor. În acest caz, o entitate trebuie să recunoască orice modificări ale valorii juste atribuibile elementului forward în alte elemente ale rezultatului global, chiar dacă modificarea cumulată a valorii juste atribuibilă elementului forward pe parcursul perioadei totale a relației de acoperire este zero. Prin urmare, dacă elementul forward al unui contract forward se referă la:</w:t>
      </w:r>
      <w:bookmarkEnd w:id="1082"/>
    </w:p>
    <w:p w:rsidR="00AC292A" w:rsidRDefault="00AC292A">
      <w:pPr>
        <w:pStyle w:val="IASBNormalnparaL1"/>
      </w:pPr>
      <w:r>
        <w:t>(a)</w:t>
      </w:r>
      <w:r>
        <w:tab/>
      </w:r>
      <w:bookmarkStart w:id="1083" w:name="SL32626980"/>
      <w:r>
        <w:t>un element acoperit împotriva riscurilor aferent unei tranzacţii, atunci valoarea asociată elementului forward la finalul relaţiei de acoperire care ajustează elementul acoperit sau care este reclasificată în profit sau pierdere (a se vedea punctele 6.5.15 litera (b) și 6.5.16) va fi zero.</w:t>
      </w:r>
      <w:bookmarkEnd w:id="1083"/>
    </w:p>
    <w:p w:rsidR="00AC292A" w:rsidRDefault="00AC292A">
      <w:pPr>
        <w:pStyle w:val="IASBNormalnparaL1"/>
      </w:pPr>
      <w:r>
        <w:t>(b)</w:t>
      </w:r>
      <w:r>
        <w:tab/>
      </w:r>
      <w:bookmarkStart w:id="1084" w:name="SL32626982"/>
      <w:r>
        <w:t>un element acoperit împotriva riscurilor aferent unei perioade de timp, atunci valoarea amortizată aferentă elementului forward va fi zero.</w:t>
      </w:r>
      <w:bookmarkEnd w:id="1084"/>
    </w:p>
    <w:p w:rsidR="00AC292A" w:rsidRDefault="00AC292A">
      <w:pPr>
        <w:pStyle w:val="IASBNormalnpara"/>
      </w:pPr>
      <w:r>
        <w:t>B6.5.37</w:t>
      </w:r>
      <w:r>
        <w:tab/>
      </w:r>
      <w:bookmarkStart w:id="1085" w:name="SL32626983"/>
      <w:r>
        <w:t>Contabilizarea elementului forward al contractelor forward în conformitate cu punctul 6.5.16 se aplică doar în măsura în care elementul forward se referă la elementul acoperit împotriva riscurilor (element forward aliniat). Elementul forward al unui contract forward se referă la elementul acoperit dacă termenele esențiale ale contractului forward (precum valoarea nominală, durata de viață și instrumentul de bază) sunt aliniate față de elementul acoperit. Prin urmare, dacă termenele esențiale ale contractului forward și ale elementului acoperit nu sunt pe deplin aliniate, atunci o entitate trebuie să determine elementul forward aliniat, respectiv cât din elementul forward inclus în contractul forward (elementul forward real) se referă la elementul acoperit (și, prin urmare, trebuie tratat în conformitate cu punctul 6.5.16). O entitate determină elementul forward aliniat folosind evaluarea unui contract forward care are clauze esențiale ce corespund perfect elementului acoperit împotriva riscurilor.</w:t>
      </w:r>
      <w:bookmarkEnd w:id="1085"/>
    </w:p>
    <w:p w:rsidR="00AC292A" w:rsidRDefault="00AC292A">
      <w:pPr>
        <w:pStyle w:val="IASBNormalnpara"/>
      </w:pPr>
      <w:r>
        <w:t>B6.5.38</w:t>
      </w:r>
      <w:r>
        <w:tab/>
      </w:r>
      <w:bookmarkStart w:id="1086" w:name="SL32626984"/>
      <w:r>
        <w:t>Dacă elementul forward real și elementul forward aliniat sunt diferite, atunci entitatea trebuie să determine valoarea care este acumulată într-o componentă separată a capitalurilor proprii, în conformitate cu punctul 6.5.16, după cum urmează:</w:t>
      </w:r>
      <w:bookmarkEnd w:id="1086"/>
    </w:p>
    <w:p w:rsidR="00AC292A" w:rsidRDefault="00AC292A">
      <w:pPr>
        <w:pStyle w:val="IASBNormalnparaL1"/>
      </w:pPr>
      <w:r>
        <w:t>(a)</w:t>
      </w:r>
      <w:r>
        <w:tab/>
      </w:r>
      <w:bookmarkStart w:id="1087" w:name="SL32626987"/>
      <w:r>
        <w:t>dacă, la începutul relaţiei de acoperire împotriva riscurilor, valoarea absolută a elementului forward real este mai mare decât elementul forward aliniat, entitatea trebuie:</w:t>
      </w:r>
      <w:bookmarkEnd w:id="1087"/>
    </w:p>
    <w:p w:rsidR="00AC292A" w:rsidRDefault="00AC292A">
      <w:pPr>
        <w:pStyle w:val="IASBNormalnparaL2"/>
      </w:pPr>
      <w:r>
        <w:t>(i)</w:t>
      </w:r>
      <w:r>
        <w:tab/>
      </w:r>
      <w:bookmarkStart w:id="1088" w:name="SL32626990"/>
      <w:r>
        <w:t>să determine valoarea care este acumulată într-o componentă separată a capitalurilor proprii pe baza elementului forward aliniat; și</w:t>
      </w:r>
      <w:bookmarkEnd w:id="1088"/>
    </w:p>
    <w:p w:rsidR="00AC292A" w:rsidRDefault="00AC292A">
      <w:pPr>
        <w:pStyle w:val="IASBNormalnparaL2"/>
      </w:pPr>
      <w:r>
        <w:t>(ii)</w:t>
      </w:r>
      <w:r>
        <w:tab/>
      </w:r>
      <w:bookmarkStart w:id="1089" w:name="SL32626992"/>
      <w:r>
        <w:t>să contabilizeze diferențele în modificările valorilor juste dintre cele două elemente forward în profit sau pierdere.</w:t>
      </w:r>
      <w:bookmarkEnd w:id="1089"/>
    </w:p>
    <w:p w:rsidR="00AC292A" w:rsidRDefault="00AC292A">
      <w:pPr>
        <w:pStyle w:val="IASBNormalnparaL1"/>
      </w:pPr>
      <w:r>
        <w:t>(b)</w:t>
      </w:r>
      <w:r>
        <w:tab/>
      </w:r>
      <w:bookmarkStart w:id="1090" w:name="SL32626994"/>
      <w:r>
        <w:t xml:space="preserve">dacă, la începutul relaţiei de acoperire împotriva riscurilor, valoarea absolută a elementului forward real este mai mică decât cea a elementului forward aliniat, atunci entitatea trebuie să </w:t>
      </w:r>
      <w:r>
        <w:lastRenderedPageBreak/>
        <w:t>determine valoarea acumulată într-o componentă separată a capitalurilor proprii în funcție de cea mai mică modificare cumulată a valorii juste a:</w:t>
      </w:r>
      <w:bookmarkEnd w:id="1090"/>
    </w:p>
    <w:p w:rsidR="00AC292A" w:rsidRDefault="00AC292A">
      <w:pPr>
        <w:pStyle w:val="IASBNormalnparaL2"/>
      </w:pPr>
      <w:r>
        <w:t>(i)</w:t>
      </w:r>
      <w:r>
        <w:tab/>
      </w:r>
      <w:bookmarkStart w:id="1091" w:name="SL32626997"/>
      <w:r>
        <w:t>valorii absolute a elementului forward real; și</w:t>
      </w:r>
      <w:bookmarkEnd w:id="1091"/>
    </w:p>
    <w:p w:rsidR="00AC292A" w:rsidRDefault="00AC292A">
      <w:pPr>
        <w:pStyle w:val="IASBNormalnparaL2"/>
      </w:pPr>
      <w:r>
        <w:t>(ii)</w:t>
      </w:r>
      <w:r>
        <w:tab/>
      </w:r>
      <w:bookmarkStart w:id="1092" w:name="SL32626999"/>
      <w:r>
        <w:t>valorii absolute a elementului forward aliniat.</w:t>
      </w:r>
      <w:bookmarkEnd w:id="1092"/>
    </w:p>
    <w:p w:rsidR="00AC292A" w:rsidRDefault="00AC292A">
      <w:pPr>
        <w:pStyle w:val="IASBNormalnparaP"/>
      </w:pPr>
      <w:bookmarkStart w:id="1093" w:name="SL32627000"/>
      <w:r>
        <w:t>Orice rest al modificării valorii juste aferente elementului forward real trebuie recunoscut în profit sau pierdere.</w:t>
      </w:r>
      <w:bookmarkEnd w:id="1093"/>
    </w:p>
    <w:p w:rsidR="00AC292A" w:rsidRDefault="00AC292A">
      <w:pPr>
        <w:pStyle w:val="IASBNormalnpara"/>
      </w:pPr>
      <w:r>
        <w:t>B6.5.39</w:t>
      </w:r>
      <w:r>
        <w:tab/>
      </w:r>
      <w:bookmarkStart w:id="1094" w:name="SL32627001"/>
      <w:r>
        <w:t>Atunci când o entitate separă marja cu bază valutară de un instrument financiar și o exclude din desemnarea acelui instrument financiar drept instrument de acoperire împotriva riscurilor (a se vedea punctul 6.2.4 litera (b)), îndrumările de aplicare de la punctele B6.5.34–B6.5.38 se aplică marjei cu bază valutară în aceeași manieră în care se aplică pentru elementul forward al unui contract forward.</w:t>
      </w:r>
      <w:bookmarkEnd w:id="1094"/>
    </w:p>
    <w:p w:rsidR="00AC292A" w:rsidRDefault="00AC292A">
      <w:pPr>
        <w:pStyle w:val="IASBSectionTitle2Ind"/>
      </w:pPr>
      <w:bookmarkStart w:id="1095" w:name="SL32627003"/>
      <w:r>
        <w:t>Acoperirea unui grup de elemente împotriva riscurilor (secțiunea 6.6)</w:t>
      </w:r>
      <w:bookmarkEnd w:id="1095"/>
    </w:p>
    <w:p w:rsidR="00AC292A" w:rsidRDefault="00AC292A">
      <w:pPr>
        <w:pStyle w:val="IASBSectionTitle3Ind"/>
      </w:pPr>
      <w:bookmarkStart w:id="1096" w:name="SL32627005"/>
      <w:r>
        <w:t>Acoperirea unei poziții nete împotriva riscurilor</w:t>
      </w:r>
      <w:bookmarkEnd w:id="1096"/>
    </w:p>
    <w:p w:rsidR="00AC292A" w:rsidRDefault="00AC292A">
      <w:pPr>
        <w:pStyle w:val="IASBSectionTitle4Ind"/>
      </w:pPr>
      <w:bookmarkStart w:id="1097" w:name="SL32627007"/>
      <w:r>
        <w:t>Eligibilitatea pentru contabilitatea de acoperire împotriva riscurilor și desemnarea unei poziții nete</w:t>
      </w:r>
      <w:bookmarkEnd w:id="1097"/>
    </w:p>
    <w:p w:rsidR="00AC292A" w:rsidRDefault="00AC292A">
      <w:pPr>
        <w:pStyle w:val="IASBNormalnpara"/>
      </w:pPr>
      <w:r>
        <w:t>B6.6.1</w:t>
      </w:r>
      <w:r>
        <w:tab/>
      </w:r>
      <w:bookmarkStart w:id="1098" w:name="SL32627008"/>
      <w:r>
        <w:t>O poziţie netă este eligibilă pentru contabilitatea de acoperire împotriva riscurilor doar dacă o entitate acoperă împotriva riscurilor pe o bază netă cu scopul de a gestiona riscul. Măsura în care o entitate acoperă împotriva riscurilor în acest mod este o realitate (și nu doar o afirmație sau un aspect de documentație). Prin urmare, o entitate nu poate să aplice contabilitatea de acoperire împotriva riscurilor pe o bază netă doar pentru a atinge un anumit rezultat contabil dacă acest lucru nu reflectă abordarea sa privind gestionarea riscului. Acoperirea poziţiei nete împotriva riscurilor trebuie să facă parte dintr-o strategie stabilită de gestionare a riscului. În mod normal, aceasta este aprobată de către personalul-cheie din conducere, conform definiției din IAS 24.</w:t>
      </w:r>
      <w:bookmarkEnd w:id="1098"/>
    </w:p>
    <w:p w:rsidR="00AC292A" w:rsidRDefault="00AC292A">
      <w:pPr>
        <w:pStyle w:val="IASBNormalnpara"/>
      </w:pPr>
      <w:r>
        <w:t>B6.6.2</w:t>
      </w:r>
      <w:r>
        <w:tab/>
      </w:r>
      <w:bookmarkStart w:id="1099" w:name="SL32627010"/>
      <w:r>
        <w:t xml:space="preserve">De exemplu, Entitatea A, a cărei monedă funcţională o reprezintă moneda locală, are un angajament ferm de a plăti 150.000 MS pentru cheltuieli aferente publicității în nouă luni și un angajament ferm de a vinde produse finite în valoare de 150.000 MS în 15 luni. Entitatea A încheie un instrument derivat valutar care se decontează în nouă luni, conform căruia primește 100 MS și plătește 70 u.m. Entitatea A nu are alte expuneri față de MS. Entitatea A nu gestionează riscul valutar pe o bază netă. Prin urmare, Entitatea A nu poate să aplice contabilitatea de acoperire împotriva riscurilor pentru o relaţie de acoperire între instrumentul derivat valutar și o poziție netă de 100 MS (care constă în 150.000 MS din angajamentul ferm de cumpărare – adică servicii de publicitate – și 149.900 MS (din 150.000 MS) din angajamentul ferm de vânzare) pe o perioadă de nouă luni. </w:t>
      </w:r>
      <w:bookmarkEnd w:id="1099"/>
    </w:p>
    <w:p w:rsidR="00AC292A" w:rsidRDefault="00AC292A">
      <w:pPr>
        <w:pStyle w:val="IASBNormalnpara"/>
      </w:pPr>
      <w:r>
        <w:t>B6.6.3</w:t>
      </w:r>
      <w:r>
        <w:tab/>
      </w:r>
      <w:bookmarkStart w:id="1100" w:name="SL32627011"/>
      <w:r>
        <w:t>Dacă Entitatea A ar fi gestionat riscul valutar pe o bază netă și nu ar fi încheiat un instrument derivat valutar (deoarece crește expunerea sa la riscul valutar în loc să o reducă), atunci entitatea ar fi într-o poziție acoperită natural împotriva riscurilor pe o perioadă de nouă luni. În mod normal, această poziție acoperită nu s-ar reflecta în situațiile financiare deoarece tranzacțiile sunt recunoscute în diferite perioade de raportare din viitor. Poziția netă cu valoare zero este eligibilă pentru contabilitatea de acoperire împotriva riscurilor doar dacă sunt îndeplinite condițiile de la punctul 6.6.6.</w:t>
      </w:r>
      <w:bookmarkEnd w:id="1100"/>
    </w:p>
    <w:p w:rsidR="00AC292A" w:rsidRDefault="00AC292A">
      <w:pPr>
        <w:pStyle w:val="IASBNormalnpara"/>
      </w:pPr>
      <w:r>
        <w:t>B6.6.4</w:t>
      </w:r>
      <w:r>
        <w:tab/>
      </w:r>
      <w:bookmarkStart w:id="1101" w:name="SL32627012"/>
      <w:r>
        <w:t xml:space="preserve">Atunci când un grup de elemente care constituie o poziţie netă este desemnat drept un element acoperit împotriva riscurilor, o entitate trebuie să desemneze grupul total de elemente care include elementele ce pot constitui respectiva poziţie netă. Unei entități nu i se permite să desemneze o valoare abstractă nespecifică a unei poziţii nete. De exemplu, o entitate deține un grup de angajamente ferme de vânzare în nouă luni în valoare de 100 MS și un grup de angajamente ferme de cumpărare în 18 luni în valoare de 120 MS. Entitatea nu poate desemna o valoare abstractă a unei poziții nete de până la 20 MS. În schimb, aceasta trebuie să desemneze o valoare brută de achiziții și o valoare brută de vânzări care împreună au ca rezultat poziția netă acoperită împotriva riscurilor. O entitate trebuie să desemneze poziţii brute care generează poziții nete, astfel încât entitatea să se poată conforma dispoziţiilor privind contabilizarea relaţiilor de acoperire împotriva riscurilor care îndeplinesc condițiile necesare. </w:t>
      </w:r>
      <w:bookmarkEnd w:id="1101"/>
    </w:p>
    <w:p w:rsidR="00AC292A" w:rsidRDefault="00AC292A">
      <w:pPr>
        <w:pStyle w:val="IASBSectionTitle4Ind"/>
      </w:pPr>
      <w:bookmarkStart w:id="1102" w:name="SL32627014"/>
      <w:r>
        <w:lastRenderedPageBreak/>
        <w:t>Aplicarea dispozițiilor privind eficacitatea acoperirii împotriva riscurilor pentru o acoperire a poziţiei nete împotriva riscurilor</w:t>
      </w:r>
      <w:bookmarkEnd w:id="1102"/>
    </w:p>
    <w:p w:rsidR="00AC292A" w:rsidRDefault="00AC292A">
      <w:pPr>
        <w:pStyle w:val="IASBNormalnpara"/>
      </w:pPr>
      <w:r>
        <w:t>B6.6.5</w:t>
      </w:r>
      <w:r>
        <w:tab/>
      </w:r>
      <w:bookmarkStart w:id="1103" w:name="SL32627015"/>
      <w:r>
        <w:t>Atunci când o entitate determină măsura în care sunt îndeplinite dispozițiile privind eficacitatea acoperirii împotriva riscurilor de la punctul 6.4.1 litera (c) atunci când acoperă o poziție netă, aceasta trebuie să ia în considerare modificările valorii elementelor din poziția netă care au un efect similar cu al instrumentului de acoperire împotriva riscurilor în combinație cu modificarea valorii juste asupra instrumentului de acoperire. De exemplu, o entitate deține un grup de angajamente ferme de vânzare în nouă luni în valoare de 100 MS și un grup de angajamente ferme de cumpărare în 18 luni în valoare de 120 MS. Entitatea acoperă riscul valutar aferent poziţiei nete de 20 MS folosind un contract forward de schimb valutar pentru 20 MS. Atunci când determină măsura în care sunt îndeplinite dispozițiile privind eficacitatea acoperirii împotriva riscurilor de la punctul 6.4.1 litera (c), entitatea trebuie să în considerare relația dintre:</w:t>
      </w:r>
      <w:bookmarkEnd w:id="1103"/>
    </w:p>
    <w:p w:rsidR="00AC292A" w:rsidRDefault="00AC292A">
      <w:pPr>
        <w:pStyle w:val="IASBNormalnparaL1"/>
      </w:pPr>
      <w:r>
        <w:t>(a)</w:t>
      </w:r>
      <w:r>
        <w:tab/>
      </w:r>
      <w:bookmarkStart w:id="1104" w:name="SL32627018"/>
      <w:r>
        <w:t>modificarea valorii juste aferente contractului forward de schimb valutar împreună cu modificările valorii angajamentelor ferme de vânzare determinate de riscul valutar; și</w:t>
      </w:r>
      <w:bookmarkEnd w:id="1104"/>
    </w:p>
    <w:p w:rsidR="00AC292A" w:rsidRDefault="00AC292A">
      <w:pPr>
        <w:pStyle w:val="IASBNormalnparaL1"/>
      </w:pPr>
      <w:r>
        <w:t>(b)</w:t>
      </w:r>
      <w:r>
        <w:tab/>
      </w:r>
      <w:bookmarkStart w:id="1105" w:name="SL32627020"/>
      <w:r>
        <w:t>modificările valorii angajamentelor ferme de cumpărare determinate de riscul valutar.</w:t>
      </w:r>
      <w:bookmarkEnd w:id="1105"/>
    </w:p>
    <w:p w:rsidR="00AC292A" w:rsidRDefault="00AC292A">
      <w:pPr>
        <w:pStyle w:val="IASBNormalnpara"/>
      </w:pPr>
      <w:r>
        <w:t>B6.6.6</w:t>
      </w:r>
      <w:r>
        <w:tab/>
      </w:r>
      <w:bookmarkStart w:id="1106" w:name="SL32627021"/>
      <w:r>
        <w:t>În mod similar, dacă în exemplul de la punctul B6.6.5 entitatea a avut o poziție netă cu valoarea zero, aceasta va lua în considerare relația dintre modificările în valoarea angajamentelor ferme de vânzare determinate de riscul valutar și modificările în valoarea angajamentelor ferme de cumpărare determinate de riscul valutar pentru a stabili dacă sunt îndeplinite dispozițiile privind eficacitatea acoperirii împotriva riscurilor de la punctul 6.4.1 litera (c).</w:t>
      </w:r>
      <w:bookmarkEnd w:id="1106"/>
    </w:p>
    <w:p w:rsidR="00AC292A" w:rsidRDefault="00AC292A">
      <w:pPr>
        <w:pStyle w:val="IASBSectionTitle4Ind"/>
      </w:pPr>
      <w:bookmarkStart w:id="1107" w:name="SL32627023"/>
      <w:r>
        <w:t>Acoperiri ale fluxurilor de trezorerie împotriva riscurilor care constituie o poziţie netă</w:t>
      </w:r>
      <w:bookmarkEnd w:id="1107"/>
    </w:p>
    <w:p w:rsidR="00AC292A" w:rsidRDefault="00AC292A">
      <w:pPr>
        <w:pStyle w:val="IASBNormalnpara"/>
      </w:pPr>
      <w:r>
        <w:t>B6.6.7</w:t>
      </w:r>
      <w:r>
        <w:tab/>
      </w:r>
      <w:bookmarkStart w:id="1108" w:name="SL32627024"/>
      <w:r>
        <w:t>Atunci când o entitate acoperă un grup de elemente cu poziții de compensare a riscurilor (adică o poziție netă), eligibilitatea pentru contabilitatea de acoperire depinde de tipul de acoperire. Dacă acoperirea este o acoperire a valorii juste împotriva riscurilor, atunci poziţia netă poate fi eligibilă ca element acoperit împotriva riscurilor. În schimb, dacă acoperirea împotriva riscurilor este o acoperire a fluxurilor de trezorerie, atunci poziţia netă poate fi eligibilă ca element acoperit doar dacă este o acoperire a riscului valutar, iar desemnarea acelei poziții nete specifică perioada de raportare în care se preconizează că tranzacţiile prognozate vor afecta profitul sau pierderea și, de asemenea, specifică natura și volumul lor.</w:t>
      </w:r>
      <w:bookmarkEnd w:id="1108"/>
    </w:p>
    <w:p w:rsidR="00AC292A" w:rsidRDefault="00AC292A">
      <w:pPr>
        <w:pStyle w:val="IASBNormalnpara"/>
      </w:pPr>
      <w:r>
        <w:t>B6.6.8</w:t>
      </w:r>
      <w:r>
        <w:tab/>
      </w:r>
      <w:bookmarkStart w:id="1109" w:name="SL32627025"/>
      <w:r>
        <w:t>De exemplu, o entitate are o poziţie netă care constă într-un strat inferior de 100 MS din vânzări și un strat inferior de 150 MS din achiziții. Atât vânzările, cât și achizițiile sunt exprimate în aceeași valută. Pentru a putea specifica în mod suficient desemnarea poziției nete acoperite, entitatea precizează în documentația inițială a relaţiei de acoperire împotriva riscurilor că vânzările se pot referi la Produsul A sau la Produsul B, iar achizițiile se pot referi la Tipul de instalație A, la Tipul de instalație B și la Materia primă A. Entitatea precizează și volumele aferente tranzacțiilor, conform naturii fiecăreia. Documentația entității precizează că stratul inferior al vânzărilor (100 MS) este compus dintr-un volum de vânzări prognozate ale primelor 70 MS din Produsul A și ale primelor 30 MS din Produsul B. Dacă se preconizează că acele volume ale vânzărilor vor afecta profitul sau pierderea în perioade de raportare diferite, entitatea va include acest lucru în documentație, de exemplu, primele 70 MS din vânzările Produsului A care se preconizează că vor afecta profitul sau pierderea în prima perioadă de raportare și primele 30 MS din vânzările Produsului B care se preconizează că vor afecta profitul sau pierderea în a doua perioadă de raportare. De asemenea, entitatea documentează faptul că stratul inferior al achizițiilor (150 MS) este compus din cumpărarea primelor 60 MS din Tipul de instalație A, a primelor 40 MS din Tipul de instalație B și a primelor 50 MS din Materia primă A. Dacă se preconizează că aceste volume de achiziții vor afecta profitul sau pierderea în perioade diferite de raportare, atunci entitatea va include în documentație o dezagregare a volumelor de achiziții, în funcție de perioadele de raportare în care se preconizează că vor afecta profitul sau pierderea (similar modului în care entitatea documentează volumul vânzărilor). De exemplu, tranzacţiile prognozate vor fi specificate după cum urmează:</w:t>
      </w:r>
      <w:bookmarkEnd w:id="1109"/>
    </w:p>
    <w:p w:rsidR="00AC292A" w:rsidRDefault="00AC292A">
      <w:pPr>
        <w:pStyle w:val="IASBNormalnparaL1"/>
      </w:pPr>
      <w:r>
        <w:t>(a)</w:t>
      </w:r>
      <w:r>
        <w:tab/>
      </w:r>
      <w:bookmarkStart w:id="1110" w:name="SL32627028"/>
      <w:r>
        <w:t>primele 60 MS cumpărate din Tipul de instalație A care se preconizează că vor afecta profitul sau pierderea începând cu a treia perioadă de raportare pe parcursul următoarelor zece perioade de raportare;</w:t>
      </w:r>
      <w:bookmarkEnd w:id="1110"/>
    </w:p>
    <w:p w:rsidR="00AC292A" w:rsidRDefault="00AC292A">
      <w:pPr>
        <w:pStyle w:val="IASBNormalnparaL1"/>
      </w:pPr>
      <w:r>
        <w:t>(b)</w:t>
      </w:r>
      <w:r>
        <w:tab/>
      </w:r>
      <w:bookmarkStart w:id="1111" w:name="SL32627030"/>
      <w:r>
        <w:t>primele 40 MS cumpărate din Tipul de instalație B care se preconizează că vor afecta profitul sau pierderea începând cu a patra perioadă de raportare pe parcursul următoarelor 20 de perioade de raportare; și</w:t>
      </w:r>
      <w:bookmarkEnd w:id="1111"/>
    </w:p>
    <w:p w:rsidR="00AC292A" w:rsidRDefault="00AC292A">
      <w:pPr>
        <w:pStyle w:val="IASBNormalnparaL1"/>
      </w:pPr>
      <w:r>
        <w:t>(c)</w:t>
      </w:r>
      <w:r>
        <w:tab/>
      </w:r>
      <w:bookmarkStart w:id="1112" w:name="SL32627032"/>
      <w:r>
        <w:t>primele 50 MS cumpărate din Materia primă A care se preconizează că vor fi primite în a treia perioadă de raportare și vândute, adică vor afecta profitul sau pierderea, în acea perioadă de raportare și în perioada următoare.</w:t>
      </w:r>
      <w:bookmarkEnd w:id="1112"/>
    </w:p>
    <w:p w:rsidR="00AC292A" w:rsidRDefault="00AC292A">
      <w:pPr>
        <w:pStyle w:val="IASBNormalnparaP"/>
      </w:pPr>
      <w:bookmarkStart w:id="1113" w:name="SL32627033"/>
      <w:r>
        <w:lastRenderedPageBreak/>
        <w:t>Detalierea naturii volumelor tranzacţiilor prognozate va include aspecte precum modelul de amortizare al elementelor de imobilizări corporale din aceeași categorie, dacă elementele sunt de așa natură încât modelul de amortizare poate diferi în funcție de modul în care entitatea folosește acele elemente. De exemplu, dacă entitatea folosește elemente din Tipul de instalație A în două procese de producţie diferite care au ca rezultat o amortizare liniară pe parcursul a zece perioade de raportare și, respectiv, metoda unităţii de producţie, documentarea volumului de achiziții prognozate pentru Tipul de instalație A va dezagrega acel volum în funcție de care dintre cele două modele de amortizare se va aplica.</w:t>
      </w:r>
      <w:bookmarkEnd w:id="1113"/>
    </w:p>
    <w:p w:rsidR="00AC292A" w:rsidRDefault="00AC292A">
      <w:pPr>
        <w:pStyle w:val="IASBNormalnpara"/>
      </w:pPr>
      <w:r>
        <w:t>B6.6.9</w:t>
      </w:r>
      <w:r>
        <w:tab/>
      </w:r>
      <w:bookmarkStart w:id="1114" w:name="SL32627034"/>
      <w:r>
        <w:t>Pentru o acoperire a fluxurilor de trezorerie împotriva riscurilor în cazul unei poziții nete, valorile determinate în conformitate cu punctul 6.5.11 trebuie să includă modificările valorii elementelor din poziția netă care au un efect similar cu al instrumentului de acoperire în combinație cu modificarea valorii juste asupra instrumentului de acoperire. Totuși, modificările valorii elementelor aferente poziţiei nete care au un efect similar cu al instrumentului de acoperire sunt recunoscute doar odată ce tranzacţiile la care se referă sunt recunoscute, cum ar fi atunci când o vânzare prognozată este recunoscută ca venit. De exemplu, o entitate deține un grup de vânzări prognozate foarte probabile în nouă luni în valoare de 100 MS și un grup de achiziții prognozate foarte probabile în 18 luni în valoare de 120 MS. Entitatea acoperă riscul valutar aferent poziţiei nete de 20 MS folosind un contract forward de schimb valutar pentru 20 MS. Atunci când sunt determinate valorile recunoscute în rezerva aferentă acoperirii fluxurilor de trezorerie împotriva riscurilor în conformitate cu punctul 6.5.11 litera (a)–6.5.11 litera (b), entitatea compară:</w:t>
      </w:r>
      <w:bookmarkEnd w:id="1114"/>
    </w:p>
    <w:p w:rsidR="00AC292A" w:rsidRDefault="00AC292A">
      <w:pPr>
        <w:pStyle w:val="IASBNormalnparaL1"/>
      </w:pPr>
      <w:r>
        <w:t>(a)</w:t>
      </w:r>
      <w:r>
        <w:tab/>
      </w:r>
      <w:bookmarkStart w:id="1115" w:name="SL32627037"/>
      <w:r>
        <w:t>modificarea valorii juste aferente contractului forward de schimb valutar împreună cu modificările în valoarea vânzărilor prognozate foarte probabile, determinate de riscul valutar; cu</w:t>
      </w:r>
      <w:bookmarkEnd w:id="1115"/>
    </w:p>
    <w:p w:rsidR="00AC292A" w:rsidRDefault="00AC292A">
      <w:pPr>
        <w:pStyle w:val="IASBNormalnparaL1"/>
      </w:pPr>
      <w:r>
        <w:t>(b)</w:t>
      </w:r>
      <w:r>
        <w:tab/>
      </w:r>
      <w:bookmarkStart w:id="1116" w:name="SL32627039"/>
      <w:r>
        <w:t>modificările în valoarea achizițiilor prognozate foarte probabile, determinate de riscul valutar.</w:t>
      </w:r>
      <w:bookmarkEnd w:id="1116"/>
    </w:p>
    <w:p w:rsidR="00AC292A" w:rsidRDefault="00AC292A">
      <w:pPr>
        <w:pStyle w:val="IASBNormalnparaP"/>
      </w:pPr>
      <w:bookmarkStart w:id="1117" w:name="SL32627040"/>
      <w:r>
        <w:t>Totuși, entitatea recunoaște doar valorile aferente contractului forward de schimb valutar până când vânzările prognozate foarte probabile sunt recunoscute în situațiile financiare, moment în care sunt recunoscute câştigurile sau pierderile aferente acelor tranzacţii prognozate (adică modificarea valorii atribuibilă modificării cursului de schimb valutar între desemnarea relaţiei de acoperire împotriva riscurilor și recunoașterea veniturilor).</w:t>
      </w:r>
      <w:bookmarkEnd w:id="1117"/>
    </w:p>
    <w:p w:rsidR="00AC292A" w:rsidRDefault="00AC292A">
      <w:pPr>
        <w:pStyle w:val="IASBNormalnpara"/>
      </w:pPr>
      <w:r>
        <w:t>B6.6.10</w:t>
      </w:r>
      <w:r>
        <w:tab/>
      </w:r>
      <w:bookmarkStart w:id="1118" w:name="SL32627041"/>
      <w:r>
        <w:t>În mod similar, dacă, în exemplu, entitatea ar fi avut o poziție netă cu valoarea zero, aceasta ar fi comparat modificările în valoarea vânzărilor prognozate foarte probabile determinate de riscul valutar cu modificările în valoarea achizițiilor prognozate foarte probabile determinate de riscul valutar. Totuși, acele valori sunt recunoscute doar după ce tranzacţiile prognozate aferente sunt recunoscute în situaţiile financiare.</w:t>
      </w:r>
      <w:bookmarkEnd w:id="1118"/>
    </w:p>
    <w:p w:rsidR="00AC292A" w:rsidRDefault="00AC292A">
      <w:pPr>
        <w:pStyle w:val="IASBSectionTitle3Ind"/>
      </w:pPr>
      <w:bookmarkStart w:id="1119" w:name="SL32627043"/>
      <w:r>
        <w:t>Straturile de grupuri de elemente desemnate drept element acoperit împotriva riscurilor</w:t>
      </w:r>
      <w:bookmarkEnd w:id="1119"/>
    </w:p>
    <w:p w:rsidR="00AC292A" w:rsidRDefault="00AC292A">
      <w:pPr>
        <w:pStyle w:val="IASBNormalnpara"/>
      </w:pPr>
      <w:r>
        <w:t>B6.6.11</w:t>
      </w:r>
      <w:r>
        <w:tab/>
      </w:r>
      <w:bookmarkStart w:id="1120" w:name="SL32627044"/>
      <w:r>
        <w:t>Din aceleași considerente ca cele prezentate la punctul B6.3.19, desemnarea unor componente-strat formate din grupuri de elemente existente impune identificarea specifică a valorilor nominale ale grupului de elemente din care este definită componenta-strat acoperită împotriva riscurilor.</w:t>
      </w:r>
      <w:bookmarkEnd w:id="1120"/>
    </w:p>
    <w:p w:rsidR="00AC292A" w:rsidRDefault="00AC292A">
      <w:pPr>
        <w:pStyle w:val="IASBNormalnpara"/>
      </w:pPr>
      <w:r>
        <w:t>B6.6.12</w:t>
      </w:r>
      <w:r>
        <w:tab/>
      </w:r>
      <w:bookmarkStart w:id="1121" w:name="SL32627045"/>
      <w:r>
        <w:t>O relaţie de acoperire împotriva riscurilor poate să includă straturi ce provin din mai multe grupuri diferite de elemente. De exemplu, în cazul unei acoperiri a unei poziţii nete a unui grup de active și a unui grup de datorii, relaţia de acoperire împotriva riscurilor poate să cuprindă, în combinație, o componentă-strat din grupul de active și o componentă-strat din grupul de datorii.</w:t>
      </w:r>
      <w:bookmarkEnd w:id="1121"/>
    </w:p>
    <w:p w:rsidR="00AC292A" w:rsidRDefault="00AC292A">
      <w:pPr>
        <w:pStyle w:val="IASBSectionTitle3Ind"/>
      </w:pPr>
      <w:bookmarkStart w:id="1122" w:name="SL32627047"/>
      <w:r>
        <w:t>Prezentarea câştigurilor sau pierderilor aferente instrumentului de acoperire împotriva riscurilor</w:t>
      </w:r>
      <w:bookmarkEnd w:id="1122"/>
    </w:p>
    <w:p w:rsidR="00AC292A" w:rsidRDefault="00AC292A">
      <w:pPr>
        <w:pStyle w:val="IASBNormalnpara"/>
      </w:pPr>
      <w:r>
        <w:t>B6.6.13</w:t>
      </w:r>
      <w:r>
        <w:tab/>
      </w:r>
      <w:bookmarkStart w:id="1123" w:name="SL32627048"/>
      <w:r>
        <w:t xml:space="preserve">Dacă elementele sunt acoperite împreună ca un grup într-o acoperire a fluxurilor de trezorerie împotriva riscurilor, acestea pot afecta diferite elemente-rând din situația profitului sau pierderii și altor elemente ale rezultatului global. Prezentarea câştigurilor sau pierderilor din acoperire în acea situație depinde de grupul de elemente. </w:t>
      </w:r>
      <w:bookmarkEnd w:id="1123"/>
    </w:p>
    <w:p w:rsidR="00AC292A" w:rsidRDefault="00AC292A">
      <w:pPr>
        <w:pStyle w:val="IASBNormalnpara"/>
      </w:pPr>
      <w:r>
        <w:t>B6.6.14</w:t>
      </w:r>
      <w:r>
        <w:tab/>
      </w:r>
      <w:bookmarkStart w:id="1124" w:name="SL32627049"/>
      <w:r>
        <w:t xml:space="preserve">În cazul în care grupul de elemente nu are nicio poziție de compensare a riscurilor (de exemplu, un grup de cheltuieli în valută care afectează diferite elemente-rând din situația profitului sau pierderii și altor elemente ale rezultatului global care sunt acoperite împotriva riscului valutar), câştigurile sau pierderile aferente instrumentului de acoperire reclasificat trebuie împărțite între elementele-rând afectate de elementele acoperite împotriva riscurilor. Această repartizare va fi realizată pe o bază sistematică și rațională și nu va conduce la majorarea câştigurilor sau pierderilor nete care provin dintr-un singur instrument de acoperire împotriva riscurilor. </w:t>
      </w:r>
      <w:bookmarkEnd w:id="1124"/>
    </w:p>
    <w:p w:rsidR="00AC292A" w:rsidRDefault="00AC292A">
      <w:pPr>
        <w:pStyle w:val="IASBNormalnpara"/>
      </w:pPr>
      <w:r>
        <w:lastRenderedPageBreak/>
        <w:t>B6.6.15</w:t>
      </w:r>
      <w:r>
        <w:tab/>
      </w:r>
      <w:bookmarkStart w:id="1125" w:name="SL32627050"/>
      <w:r>
        <w:t>Dacă grupul de elemente are poziții de compensare a riscurilor (de exemplu, un grup de vânzări și cheltuieli exprimate într-o valută acoperite împreună împotriva riscului valutar), atunci o entitate trebuie să prezinte câştigurile sau pierderile din acoperire într-un element-rând separat din situația profitului sau pierderii și altor elemente ale rezultatului global. Avem, de exemplu, o acoperire a riscului valutar a unei poziţii nete aferente unor vânzări valutare de 100 MS și unor cheltuieli valutare de 80 MS folosind un contract forward de schimb valutar de 20 MS. Câștigul sau pierderea aferent(ă) contractului forward de schimb valutar care este reclasificat(ă) din rezerva aferentă acoperirii fluxurilor de trezorerie împotriva riscurilor în profit sau pierdere (atunci când poziția netă afectează profitul sau pierderea) trebuie prezentat(ă) într-un element-rând separat de vânzările și cheltuielile acoperite împotriva riscurilor. Mai mult, dacă vânzările au loc într-o perioadă anterioară celei în care au loc cheltuielile, veniturile din vânzări sunt evaluate în continuare la cursul de schimb la vedere în conformitate cu IAS 21. Câştigul sau pierderea din acoperire aferent(ă) este prezentat(ă) într-un element-rând separat, astfel încât profitul sau pierderea să reflecte efectul acoperirii poziţiei nete, cu o ajustare corespunzătoare a rezervei aferente acoperirii fluxurilor de trezorerie împotriva riscurilor. Atunci când cheltuielile acoperite împotriva riscurilor afectează profitul sau pierderea într-o perioadă ulterioară, câştigurile sau pierderile din acoperire recunoscute anterior în rezerva aferentă acoperirii fluxurilor de trezorerie pentru vânzări sunt reclasificate în profit sau pierdere și sunt prezentate ca un element-rând separat de cele în care sunt incluse cheltuielile acoperite, care sunt evaluate la cursul de schimb la vedere în conformitate cu IAS 21.</w:t>
      </w:r>
      <w:bookmarkEnd w:id="1125"/>
    </w:p>
    <w:p w:rsidR="00AC292A" w:rsidRDefault="00AC292A">
      <w:pPr>
        <w:pStyle w:val="IASBNormalnpara"/>
      </w:pPr>
      <w:r>
        <w:t>B6.6.16</w:t>
      </w:r>
      <w:r>
        <w:tab/>
      </w:r>
      <w:bookmarkStart w:id="1126" w:name="SL32627051"/>
      <w:r>
        <w:t>Pentru unele tipuri de acoperiri ale valorii juste împotriva riscurilor, obiectivul principal al acoperirii nu este acela de a compensa modificarea valorii juste a elementului acoperit, ci de a transforma fluxurile de trezorerie aferente elementului acoperit. De exemplu, o entitate acoperă riscul ratei dobânzii la valoarea justă aferent unui instrument de datorie cu rată fixă folosind un swap pe rata dobânzii. Obiectivul acoperirii împotriva riscului folosite de entitate este de a transforma fluxurile de trezorerie aferente dobânzii fixe în fluxuri de trezorerie aferente dobânzii fluctuante. Acest obiectiv se reflectă în contabilizarea relaţiei de acoperire împotriva riscurilor prin înregistrarea în profit sau pierdere a dobânzii nete cumulate aferente swapului pe rata dobânzii. În cazul acoperirii unei poziții nete (de exemplu, o poziție netă a unui activ cu rată fixă și a unei datorii cu rată fixă), această dobândă netă cumulată trebuie prezentată într-un element-rând separat în situația profitului sau pierderii și altor elemente ale rezultatului global. Scopul este de a se evita majorarea câştigurilor sau pierderilor nete aferente unui singur instrument în valori brute compensatoare și recunoașterea lor în elemente-rând diferite (astfel se evită, de exemplu, majorarea dobânzii nete primite pentru un singur swap pe rata dobânzii în venituri brute din dobândă și cheltuieli brute din dobândă).</w:t>
      </w:r>
      <w:bookmarkEnd w:id="1126"/>
    </w:p>
    <w:p w:rsidR="00AC292A" w:rsidRDefault="00AC292A">
      <w:pPr>
        <w:pStyle w:val="IASBSectionTitle1NonInd"/>
      </w:pPr>
      <w:bookmarkStart w:id="1127" w:name="F32627053"/>
      <w:r>
        <w:t>Data intrării în vigoare şi tranziţia (capitolul 7)</w:t>
      </w:r>
      <w:bookmarkEnd w:id="1127"/>
    </w:p>
    <w:p w:rsidR="00AC292A" w:rsidRDefault="00AC292A">
      <w:pPr>
        <w:pStyle w:val="IASBSectionTitle2Ind"/>
      </w:pPr>
      <w:bookmarkStart w:id="1128" w:name="F32627055"/>
      <w:r>
        <w:t>Tranziţia (secţiunea 7.2)</w:t>
      </w:r>
      <w:bookmarkEnd w:id="1128"/>
    </w:p>
    <w:p w:rsidR="00AC292A" w:rsidRDefault="00AC292A">
      <w:pPr>
        <w:pStyle w:val="IASBSectionTitle3Ind"/>
      </w:pPr>
      <w:bookmarkStart w:id="1129" w:name="F32627057"/>
      <w:r>
        <w:t>Active financiare deţinute în vederea tranzacţionării</w:t>
      </w:r>
      <w:bookmarkEnd w:id="1129"/>
    </w:p>
    <w:p w:rsidR="00AC292A" w:rsidRDefault="00AC292A">
      <w:pPr>
        <w:pStyle w:val="IASBNormalnpara"/>
      </w:pPr>
      <w:r>
        <w:t>B7.2.1</w:t>
      </w:r>
      <w:r>
        <w:tab/>
      </w:r>
      <w:bookmarkStart w:id="1130" w:name="F32627058"/>
      <w:r>
        <w:t xml:space="preserve">La data aplicării iniţiale a prezentului standard, o entitate trebuie să stabilească dacă obiectivul modelului de afaceri al entităţii pentru gestionarea activelor sale financiare îndeplineşte condiţia de la punctul 4.1.2 litera (a) sau condiţia de la punctul 4.1.2A litera (a) sau dacă activul financiar este eligibil pentru opțiunea de la punctul 5.7.5. În acest scop, o entitate trebuie să determine dacă activele financiare corespund definiţiei pentru „deţinut în vederea tranzacţionării” ca şi când entitatea ar fi cumpărat activele la data aplicării iniţiale. </w:t>
      </w:r>
      <w:bookmarkEnd w:id="1130"/>
    </w:p>
    <w:p w:rsidR="00AC292A" w:rsidRDefault="00AC292A">
      <w:pPr>
        <w:pStyle w:val="IASBSectionTitle3Ind"/>
      </w:pPr>
      <w:bookmarkStart w:id="1131" w:name="F32627060"/>
      <w:r>
        <w:t>Depreciere</w:t>
      </w:r>
      <w:bookmarkEnd w:id="1131"/>
    </w:p>
    <w:p w:rsidR="00AC292A" w:rsidRDefault="00AC292A">
      <w:pPr>
        <w:pStyle w:val="IASBNormalnpara"/>
      </w:pPr>
      <w:r>
        <w:t>B7.2.2</w:t>
      </w:r>
      <w:r>
        <w:tab/>
      </w:r>
      <w:bookmarkStart w:id="1132" w:name="F32627061"/>
      <w:r>
        <w:t>La tranziţie, o entitate trebuie să încerce să aproximeze riscul de credit la recunoaşterea iniţială luând în considerare toate informaţiile rezonabile şi justificabile care sunt disponibile fără cost sau efort nejustificat. Nu este necesar ca o entitate să întreprindă o căutare exhaustivă de informaţii atunci când, la data tranziţiei, stabileşte dacă au existat creşteri semnificative ale riscului de credit de la recunoaşterea iniţială. Dacă o entitate nu poate să stabilească acest aspect fără cost sau efort nejustificat, se aplică punctul 7.2.20.</w:t>
      </w:r>
      <w:bookmarkEnd w:id="1132"/>
    </w:p>
    <w:p w:rsidR="00AC292A" w:rsidRDefault="00AC292A">
      <w:pPr>
        <w:pStyle w:val="IASBNormalnpara"/>
      </w:pPr>
      <w:r>
        <w:t>B7.2.3</w:t>
      </w:r>
      <w:r>
        <w:tab/>
      </w:r>
      <w:bookmarkStart w:id="1133" w:name="F32627063"/>
      <w:r>
        <w:t xml:space="preserve">Pentru a stabili ajustarea pentru pierderi la instrumente financiare recunoscute iniţial (sau angajamente de creditare sau contracte de garanţie financiară la care entitatea a devenit parte contractuală) înainte de data aplicării iniţiale, atât la tranziţie, cât şi până la derecunoaşterea acelor elemente, o entitate trebuie să ia în considerare informaţiile relevante la stabilirea sau aproximarea riscului de credit la recunoaşterea iniţială. </w:t>
      </w:r>
      <w:r>
        <w:lastRenderedPageBreak/>
        <w:t>Pentru a stabili sau aproxima riscul de credit iniţial, o entitate poate lua în considerare informaţii interne şi externe, inclusiv informaţii din portofoliu, în conformitate cu punctele B5.5.1–B5.5.6.</w:t>
      </w:r>
      <w:bookmarkEnd w:id="1133"/>
    </w:p>
    <w:p w:rsidR="00AC292A" w:rsidRDefault="00AC292A">
      <w:pPr>
        <w:pStyle w:val="IASBNormalnpara"/>
      </w:pPr>
      <w:r>
        <w:t>B7.2.4</w:t>
      </w:r>
      <w:r>
        <w:tab/>
      </w:r>
      <w:bookmarkStart w:id="1134" w:name="F32627069"/>
      <w:r>
        <w:t>O entitate cu puţine informaţii istorice poate folosi informaţii din rapoarte interne şi statistici (care este posibil să fi fost generate la momentul deciziei de a lansa un nou proiect), informaţii despre produse similare sau experienţa unui grup similar pentru instrumente financiare comparabile, dacă sunt relevante.</w:t>
      </w:r>
      <w:bookmarkEnd w:id="1134"/>
    </w:p>
    <w:p w:rsidR="00AC292A" w:rsidRDefault="00AC292A">
      <w:pPr>
        <w:pStyle w:val="IASBSectionTitle1NonInd"/>
      </w:pPr>
      <w:bookmarkStart w:id="1135" w:name="F32627073"/>
      <w:r>
        <w:t>Definiţii (Anexa A)</w:t>
      </w:r>
      <w:bookmarkEnd w:id="1135"/>
    </w:p>
    <w:p w:rsidR="00AC292A" w:rsidRDefault="00AC292A">
      <w:pPr>
        <w:pStyle w:val="IASBSectionTitle2Ind"/>
      </w:pPr>
      <w:bookmarkStart w:id="1136" w:name="F32627075"/>
      <w:r>
        <w:t>Instrumente derivate</w:t>
      </w:r>
      <w:bookmarkEnd w:id="1136"/>
    </w:p>
    <w:p w:rsidR="00AC292A" w:rsidRDefault="00AC292A">
      <w:pPr>
        <w:pStyle w:val="IASBNormalnpara"/>
      </w:pPr>
      <w:r>
        <w:t>BA.1</w:t>
      </w:r>
      <w:r>
        <w:tab/>
      </w:r>
      <w:bookmarkStart w:id="1137" w:name="F32627080"/>
      <w:r>
        <w:t>Contractele futures şi forward, swap şi de opţiuni sunt exemple tipice de instrumente derivate. Un instrument derivat are, în general, o valoare de referință, care este o valoare monetară, un număr de acţiuni, un număr de unităţi de greutate sau volum ori alte unităţi specificate în contract. Cu toate acestea, un instrument derivat nu impune deţinătorului sau emitentului să investească sau să primească valoarea de referință la începutul contractului. În schimb, un instrument derivat ar putea impune o plată fixă sau plata unei sume ce se poate modifica (dar nu proporţional cu o modificare a instrumentului de bază) ca urmare a unui eveniment viitor care nu este corelat cu o valoare de referință. De exemplu, un contract poate impune o plată fixă de 1.000 u.m. dacă LIBOR pe şase luni creşte cu 100 de puncte de bază. Un astfel de contract este un instrument derivat chiar dacă nu este specificată o valoare de referință.</w:t>
      </w:r>
      <w:bookmarkEnd w:id="1137"/>
    </w:p>
    <w:p w:rsidR="00AC292A" w:rsidRDefault="00AC292A">
      <w:pPr>
        <w:pStyle w:val="IASBNormalnpara"/>
      </w:pPr>
      <w:r>
        <w:t>BA.2</w:t>
      </w:r>
      <w:r>
        <w:tab/>
      </w:r>
      <w:bookmarkStart w:id="1138" w:name="SL32627081"/>
      <w:r>
        <w:t>Definiţia unui instrument derivat din prezentul standard include contracte care sunt decontate brut prin livrarea elementului-suport (de exemplu, un contract forward de cumpărare a unui instrument de datorie cu rată fixă). O entitate poate avea un contract de vânzare sau de cumpărare a unui element nefinanciar care poate fi decontat net în numerar, într-un alt instrument financiar sau prin schimbul de instrumente financiare (de exemplu, un contract de vânzare sau de cumpărare a unei mărfi la un preţ fix la o dată viitoare). Un astfel de contract intră sub incidenţa prezentului standard, cu excepţia cazului în care el a fost încheiat şi continuă să fie deţinut în scopul livrării unui element nefinanciar în conformitate cu dispoziţiile de cumpărare, vânzare sau utilizare preconizate ale entității. Totuşi, prezentul standard se aplică acestor contracte în cazul dispoziţiilor entității cu privire la cumpărarea, vânzarea sau utilizarea preconizată dacă entitatea face o desemnare în conformitate cu punctul 2.5 (a se vedea punctele 2.4—2.7).</w:t>
      </w:r>
      <w:bookmarkEnd w:id="1138"/>
    </w:p>
    <w:p w:rsidR="00AC292A" w:rsidRDefault="00AC292A">
      <w:pPr>
        <w:pStyle w:val="IASBNormalnpara"/>
      </w:pPr>
      <w:r>
        <w:t>BA.3</w:t>
      </w:r>
      <w:r>
        <w:tab/>
      </w:r>
      <w:bookmarkStart w:id="1139" w:name="F32627082"/>
      <w:r>
        <w:t>Una dintre caracteristicile definitorii ale unui instrument derivat este aceea că are o investiţie iniţială netă care este mai mică decât s-ar impune pentru alte tipuri de contracte estimate să genereze o reacţie similară la modificările factorilor de piaţă. Un contract pe opţiuni corespunde acelei definiţii deoarece prima este mai mică decât investiţia care ar fi necesară pentru obţinerea instrumentului financiar de bază cu care este corelată opţiunea. Un swap valutar care necesită un schimb iniţial de monede diferite cu valori juste egale corespunde definiţiei deoarece are o investiţie iniţială netă egală cu zero.</w:t>
      </w:r>
      <w:bookmarkEnd w:id="1139"/>
    </w:p>
    <w:p w:rsidR="00AC292A" w:rsidRDefault="00AC292A">
      <w:pPr>
        <w:pStyle w:val="IASBNormalnpara"/>
      </w:pPr>
      <w:r>
        <w:t>BA.4</w:t>
      </w:r>
      <w:r>
        <w:tab/>
      </w:r>
      <w:bookmarkStart w:id="1140" w:name="F32627085"/>
      <w:r>
        <w:t>O cumpărare sau o vânzare standard generează un angajament cu preţ fix între data tranzacţionării şi data decontării care corespunde definiţiei unui instrument derivat. Cu toate acestea, din cauza duratei scurte a angajamentului, acesta nu este recunoscut ca instrument financiar derivat. În schimb, prezentul standard tratează contabilizarea specială a acestor contracte standard (a se vedea punctele 3.1.2 şi B3.1.3 – B3.1.6).</w:t>
      </w:r>
      <w:bookmarkEnd w:id="1140"/>
    </w:p>
    <w:p w:rsidR="00AC292A" w:rsidRDefault="00AC292A">
      <w:pPr>
        <w:pStyle w:val="IASBNormalnpara"/>
      </w:pPr>
      <w:r>
        <w:t>BA.5</w:t>
      </w:r>
      <w:r>
        <w:tab/>
      </w:r>
      <w:bookmarkStart w:id="1141" w:name="F32627086"/>
      <w:r>
        <w:t>Definiţia unui instrument derivat se referă la variabilele nefinanciare care nu sunt specifice unei părţi din contract. Acestea includ un indice de pierderi cauzate de seisme dintr-o anumită regiune şi un indice de temperatură dintr-un anumit oraş. Variabilele nefinanciare specifice unei părţi din contract includ producerea sau neproducerea unui incendiu care deteriorează sau distruge un activ al unei părţi la contract. O modificare a valorii juste a unui activ nefinanciar este specifică proprietarului dacă valoarea justă reflectă nu doar modificările preţurilor de pe piață pentru acest tip de active (o variabilă financiară), ci şi starea unui anumit activ nefinanciar deţinut (o variabilă nefinanciară). De exemplu, dacă o garanţie a valorii reziduale a unui anumit autovehicul expune garantul la riscul modificărilor stării fizice a maşinii, modificarea acelei valori reziduale este specifică proprietarului maşinii.</w:t>
      </w:r>
      <w:bookmarkEnd w:id="1141"/>
    </w:p>
    <w:p w:rsidR="00AC292A" w:rsidRDefault="00AC292A">
      <w:pPr>
        <w:pStyle w:val="IASBSectionTitle2Ind"/>
      </w:pPr>
      <w:bookmarkStart w:id="1142" w:name="F32627090"/>
      <w:r>
        <w:t>Active financiare şi datorii financiare deţinute în vederea tranzacţionării</w:t>
      </w:r>
      <w:bookmarkEnd w:id="1142"/>
    </w:p>
    <w:p w:rsidR="00AC292A" w:rsidRDefault="00AC292A">
      <w:pPr>
        <w:pStyle w:val="IASBNormalnpara"/>
      </w:pPr>
      <w:r>
        <w:t>BA.6</w:t>
      </w:r>
      <w:r>
        <w:tab/>
      </w:r>
      <w:bookmarkStart w:id="1143" w:name="F32627091"/>
      <w:r>
        <w:t>Tranzacţionarea reflectă, în general, achiziții şi vânzări active şi frecvente, iar instrumentele financiare deţinute în vederea tranzacţionării sunt utilizate, în general, cu obiectivul de a genera profit din fluctuaţiile pe termen scurt ale preţului sau ale marjei dealerului.</w:t>
      </w:r>
      <w:bookmarkEnd w:id="1143"/>
    </w:p>
    <w:p w:rsidR="00AC292A" w:rsidRDefault="00AC292A">
      <w:pPr>
        <w:pStyle w:val="IASBNormalnpara"/>
      </w:pPr>
      <w:r>
        <w:t>BA.7</w:t>
      </w:r>
      <w:r>
        <w:tab/>
      </w:r>
      <w:bookmarkStart w:id="1144" w:name="F32627092"/>
      <w:r>
        <w:t xml:space="preserve">Datoriile financiare deţinute în vederea tranzacţionării includ: </w:t>
      </w:r>
      <w:bookmarkEnd w:id="1144"/>
    </w:p>
    <w:p w:rsidR="00AC292A" w:rsidRDefault="00AC292A">
      <w:pPr>
        <w:pStyle w:val="IASBNormalnparaL1"/>
      </w:pPr>
      <w:r>
        <w:lastRenderedPageBreak/>
        <w:t>(a)</w:t>
      </w:r>
      <w:r>
        <w:tab/>
      </w:r>
      <w:bookmarkStart w:id="1145" w:name="F32627095"/>
      <w:r>
        <w:t>datoriile derivate care nu sunt contabilizate ca instrumente de acoperire împotriva riscurilor;</w:t>
      </w:r>
      <w:bookmarkEnd w:id="1145"/>
    </w:p>
    <w:p w:rsidR="00AC292A" w:rsidRDefault="00AC292A">
      <w:pPr>
        <w:pStyle w:val="IASBNormalnparaL1"/>
      </w:pPr>
      <w:r>
        <w:t>(b)</w:t>
      </w:r>
      <w:r>
        <w:tab/>
      </w:r>
      <w:bookmarkStart w:id="1146" w:name="F32627097"/>
      <w:r>
        <w:t>obligaţiile de a livra active financiare împrumutate de un vânzător „short” (adică o entitate care vinde active financiare pe care le-a împrumutat şi pe care nu le deţine încă);</w:t>
      </w:r>
      <w:bookmarkEnd w:id="1146"/>
    </w:p>
    <w:p w:rsidR="00AC292A" w:rsidRDefault="00AC292A">
      <w:pPr>
        <w:pStyle w:val="IASBNormalnparaL1"/>
      </w:pPr>
      <w:r>
        <w:t>(c)</w:t>
      </w:r>
      <w:r>
        <w:tab/>
      </w:r>
      <w:bookmarkStart w:id="1147" w:name="F32627099"/>
      <w:r>
        <w:t>datoriile financiare care sunt suportate cu intenţia de a le reachiziţiona în viitorul apropiat (de exemplu, un instrument cotat de datorie pe care emitentul îl poate răscumpăra în viitorul apropiat în funcţie de modificările valorii sale juste); și</w:t>
      </w:r>
      <w:bookmarkEnd w:id="1147"/>
    </w:p>
    <w:p w:rsidR="00AC292A" w:rsidRDefault="00AC292A">
      <w:pPr>
        <w:pStyle w:val="IASBNormalnparaL1"/>
      </w:pPr>
      <w:r>
        <w:t>(d)</w:t>
      </w:r>
      <w:r>
        <w:tab/>
      </w:r>
      <w:bookmarkStart w:id="1148" w:name="F32627103"/>
      <w:r>
        <w:t>datoriile financiare care fac parte dintr-un portofoliu de instrumente financiare identificate care sunt gestionate împreună şi pentru care există dovada unui tipar recent de încasare a profitului pe termen scurt.</w:t>
      </w:r>
      <w:bookmarkEnd w:id="1148"/>
    </w:p>
    <w:p w:rsidR="00AC292A" w:rsidRDefault="00AC292A">
      <w:pPr>
        <w:pStyle w:val="IASBNormalnpara"/>
      </w:pPr>
      <w:r>
        <w:t>BA.8</w:t>
      </w:r>
      <w:r>
        <w:tab/>
      </w:r>
      <w:bookmarkStart w:id="1149" w:name="F32627107"/>
      <w:r>
        <w:t>Faptul că o datorie este utilizată pentru a finanţa activităţi de tranzacţionare nu face, în sine, ca acea datorie să fie una care este deţinută în vederea tranzacţionării.</w:t>
      </w:r>
      <w:bookmarkEnd w:id="1149"/>
    </w:p>
    <w:p w:rsidR="00AC292A" w:rsidRDefault="00AC292A" w:rsidP="005B11FE">
      <w:pPr>
        <w:pStyle w:val="IASBIdentifier"/>
      </w:pPr>
      <w:bookmarkStart w:id="1150" w:name="_GoBack"/>
      <w:bookmarkEnd w:id="1150"/>
    </w:p>
    <w:sectPr w:rsidR="00AC292A">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D26" w:rsidRDefault="00190D26">
      <w:r>
        <w:separator/>
      </w:r>
    </w:p>
  </w:endnote>
  <w:endnote w:type="continuationSeparator" w:id="0">
    <w:p w:rsidR="00190D26" w:rsidRDefault="0019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8C2475">
      <w:rPr>
        <w:noProof/>
        <w:sz w:val="17"/>
      </w:rPr>
      <w:t>2</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8C2475">
      <w:rPr>
        <w:noProof/>
        <w:sz w:val="17"/>
      </w:rPr>
      <w:t>1</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8C2475">
      <w:rPr>
        <w:noProof/>
        <w:sz w:val="17"/>
      </w:rPr>
      <w:t>34</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8C2475">
      <w:rPr>
        <w:noProof/>
        <w:sz w:val="17"/>
      </w:rPr>
      <w:t>35</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8C2475">
      <w:rPr>
        <w:noProof/>
        <w:sz w:val="17"/>
      </w:rPr>
      <w:t>40</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8C2475">
      <w:rPr>
        <w:noProof/>
        <w:sz w:val="17"/>
      </w:rPr>
      <w:t>39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D26" w:rsidRDefault="00190D26">
      <w:r>
        <w:separator/>
      </w:r>
    </w:p>
  </w:footnote>
  <w:footnote w:type="continuationSeparator" w:id="0">
    <w:p w:rsidR="00190D26" w:rsidRDefault="00190D26">
      <w:r>
        <w:continuationSeparator/>
      </w:r>
    </w:p>
  </w:footnote>
  <w:footnote w:id="1">
    <w:p w:rsidR="00190D26" w:rsidRDefault="00190D26" w:rsidP="005B11FE">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În conformitate cu punctul 7.2.21, o entitate poate alege ca politică contabilă să continue aplicarea dispoziţiilor privind contabilitatea de acoperire împotriva riscurilor din IAS 39 în locul dispoziţiilor din capitolul 6 al prezentului standard. Dacă o entitate a făcut această alegere, referinţele din prezentul standard la anumite dispoziţii privind contabilitatea de acoperire împotriva riscurilor din capitolul 6 nu sunt relevante. În schimb, entitatea aplică dispoziţiile relevante privind contabilitatea de acoperire împotriva riscurilor din IAS 39.</w:t>
      </w:r>
    </w:p>
  </w:footnote>
  <w:footnote w:id="2">
    <w:p w:rsidR="00190D26" w:rsidRDefault="00190D26" w:rsidP="007C0B8D">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Acest termen (conform definiţiei din IFRS 7) este utilizat în dispoziţiile de prezentare a efectelor schimbărilor în riscul de credit al datoriilor desemnate drept la valoarea justă prin profit sau pierdere (a se vedea punctul 5.7.7).</w:t>
      </w:r>
    </w:p>
  </w:footnote>
  <w:footnote w:id="3">
    <w:p w:rsidR="00190D26" w:rsidRDefault="00190D26" w:rsidP="005B11FE">
      <w:pPr>
        <w:rPr>
          <w:rStyle w:val="FootnoteReference"/>
          <w:sz w:val="16"/>
          <w:szCs w:val="20"/>
          <w:vertAlign w:val="baseline"/>
          <w:lang w:val="en-US"/>
        </w:rPr>
      </w:pPr>
      <w:r>
        <w:rPr>
          <w:rStyle w:val="FootnoteReference"/>
        </w:rPr>
        <w:footnoteRef/>
      </w:r>
      <w:r>
        <w:tab/>
      </w:r>
      <w:r>
        <w:rPr>
          <w:rStyle w:val="FootnoteReference"/>
          <w:sz w:val="16"/>
          <w:vertAlign w:val="baseline"/>
        </w:rPr>
        <w:t>IFRS 3 tratează achiziţia contractelor cu instrumente derivate încorporate dintr-o combinare de întreprinderi.</w:t>
      </w:r>
    </w:p>
  </w:footnote>
  <w:footnote w:id="4">
    <w:p w:rsidR="00190D26" w:rsidRDefault="00190D26" w:rsidP="005B11FE">
      <w:pPr>
        <w:rPr>
          <w:rStyle w:val="FootnoteReference"/>
          <w:sz w:val="16"/>
          <w:szCs w:val="20"/>
          <w:vertAlign w:val="baseline"/>
          <w:lang w:val="en-US"/>
        </w:rPr>
      </w:pPr>
      <w:r>
        <w:rPr>
          <w:rStyle w:val="FootnoteReference"/>
        </w:rPr>
        <w:footnoteRef/>
      </w:r>
      <w:r>
        <w:tab/>
      </w:r>
      <w:r>
        <w:rPr>
          <w:rStyle w:val="FootnoteReference"/>
          <w:sz w:val="16"/>
          <w:vertAlign w:val="baseline"/>
        </w:rPr>
        <w:t>În prezentul standard, valorile monetare sunt exprimate în „unităţi monetare” (u.m.) și în „monede străine” (MS).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1P"/>
      <w:tabs>
        <w:tab w:val="right" w:pos="9354"/>
      </w:tabs>
      <w:spacing w:before="0"/>
      <w:ind w:left="0"/>
      <w:jc w:val="left"/>
      <w:rPr>
        <w:sz w:val="20"/>
      </w:rPr>
    </w:pPr>
    <w:r>
      <w:rPr>
        <w:sz w:val="20"/>
      </w:rPr>
      <w:t>IFRS 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1P"/>
      <w:tabs>
        <w:tab w:val="right" w:pos="9354"/>
      </w:tabs>
      <w:spacing w:before="0"/>
      <w:ind w:left="0"/>
      <w:jc w:val="left"/>
      <w:rPr>
        <w:sz w:val="20"/>
      </w:rPr>
    </w:pPr>
    <w:r>
      <w:tab/>
    </w:r>
    <w:r>
      <w:rPr>
        <w:sz w:val="20"/>
      </w:rPr>
      <w:t>IFRS 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1P"/>
      <w:tabs>
        <w:tab w:val="right" w:pos="9354"/>
      </w:tabs>
      <w:spacing w:before="0"/>
      <w:ind w:left="0"/>
      <w:jc w:val="left"/>
      <w:rPr>
        <w:sz w:val="20"/>
      </w:rPr>
    </w:pPr>
    <w:r>
      <w:rPr>
        <w:sz w:val="20"/>
      </w:rPr>
      <w:t>IFRS 9</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1P"/>
      <w:tabs>
        <w:tab w:val="right" w:pos="9354"/>
      </w:tabs>
      <w:spacing w:before="0"/>
      <w:ind w:left="0"/>
      <w:jc w:val="left"/>
      <w:rPr>
        <w:sz w:val="20"/>
      </w:rPr>
    </w:pPr>
    <w:r>
      <w:tab/>
    </w:r>
    <w:r>
      <w:rPr>
        <w:sz w:val="20"/>
      </w:rPr>
      <w:t>IFRS 9</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Pr="005B11FE" w:rsidRDefault="00190D26" w:rsidP="005B11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26" w:rsidRDefault="00190D26">
    <w:pPr>
      <w:pStyle w:val="IASBNormalnparaL1P"/>
      <w:tabs>
        <w:tab w:val="right" w:pos="9354"/>
      </w:tabs>
      <w:spacing w:before="0"/>
      <w:ind w:left="0"/>
      <w:jc w:val="left"/>
      <w:rPr>
        <w:sz w:val="20"/>
      </w:rPr>
    </w:pPr>
    <w:r>
      <w:tab/>
    </w:r>
    <w:r>
      <w:rPr>
        <w:sz w:val="20"/>
      </w:rPr>
      <w:t>IFRS 9 IG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72"/>
    <w:rsid w:val="000B4EC8"/>
    <w:rsid w:val="000C594A"/>
    <w:rsid w:val="00190D26"/>
    <w:rsid w:val="0031067B"/>
    <w:rsid w:val="003A31FE"/>
    <w:rsid w:val="00453DEF"/>
    <w:rsid w:val="004A244B"/>
    <w:rsid w:val="0056664C"/>
    <w:rsid w:val="00567D54"/>
    <w:rsid w:val="005B11FE"/>
    <w:rsid w:val="005B553B"/>
    <w:rsid w:val="005F7281"/>
    <w:rsid w:val="00736422"/>
    <w:rsid w:val="007C0B8D"/>
    <w:rsid w:val="008C2475"/>
    <w:rsid w:val="00AC292A"/>
    <w:rsid w:val="00B247B7"/>
    <w:rsid w:val="00E67A72"/>
    <w:rsid w:val="00FC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60F7DA"/>
  <w14:defaultImageDpi w14:val="0"/>
  <w15:docId w15:val="{12B28266-D179-43DA-BC2E-EF0F5602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E67A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109</Pages>
  <Words>75270</Words>
  <Characters>429043</Characters>
  <Application>Microsoft Office Word</Application>
  <DocSecurity>0</DocSecurity>
  <Lines>3575</Lines>
  <Paragraphs>1006</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503307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4</cp:revision>
  <dcterms:created xsi:type="dcterms:W3CDTF">2017-03-13T12:36:00Z</dcterms:created>
  <dcterms:modified xsi:type="dcterms:W3CDTF">2018-01-03T11:45:00Z</dcterms:modified>
</cp:coreProperties>
</file>