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2778" w:rsidRDefault="004F2778">
      <w:pPr>
        <w:pStyle w:val="IASBSectionTitle2NonInd"/>
      </w:pPr>
      <w:bookmarkStart w:id="0" w:name="F3902980"/>
      <w:r>
        <w:t>Standardul Internaţional de Contabilitate 1</w:t>
      </w:r>
      <w:r>
        <w:br/>
      </w:r>
      <w:r>
        <w:rPr>
          <w:i/>
        </w:rPr>
        <w:t>Prezentarea situaţiilor financiare</w:t>
      </w:r>
      <w:bookmarkEnd w:id="0"/>
    </w:p>
    <w:p w:rsidR="004F2778" w:rsidRDefault="004F2778">
      <w:pPr>
        <w:pStyle w:val="IASBSectionTitle1NonInd"/>
      </w:pPr>
      <w:bookmarkStart w:id="1" w:name="F3902983"/>
      <w:r>
        <w:t>Obiectiv</w:t>
      </w:r>
      <w:bookmarkEnd w:id="1"/>
    </w:p>
    <w:p w:rsidR="004F2778" w:rsidRDefault="004F2778">
      <w:pPr>
        <w:pStyle w:val="IASBNormalnpara"/>
      </w:pPr>
      <w:r>
        <w:t>1</w:t>
      </w:r>
      <w:r>
        <w:tab/>
      </w:r>
      <w:bookmarkStart w:id="2" w:name="F3902984"/>
      <w:r>
        <w:t xml:space="preserve">Prezentul standard prescrie baza pentru prezentarea situaţiilor financiare cu scop general pentru a asigura comparabilitatea atât cu situaţiile financiare ale entităţii pentru perioadele precedente, cât şi cu situaţiile financiare ale altor entităţi. El stabileşte dispoziţiile generale de prezentare a situaţiilor financiare, orientările pentru structura acestora şi dispoziţiile minime privind conţinutul lor. </w:t>
      </w:r>
      <w:bookmarkEnd w:id="2"/>
    </w:p>
    <w:p w:rsidR="004F2778" w:rsidRDefault="004F2778">
      <w:pPr>
        <w:pStyle w:val="IASBSectionTitle1NonInd"/>
      </w:pPr>
      <w:bookmarkStart w:id="3" w:name="F3902986"/>
      <w:r>
        <w:t>Domeniu de aplicare</w:t>
      </w:r>
      <w:bookmarkEnd w:id="3"/>
    </w:p>
    <w:p w:rsidR="004F2778" w:rsidRDefault="004F2778">
      <w:pPr>
        <w:pStyle w:val="IASBNormalnpara"/>
        <w:rPr>
          <w:b/>
        </w:rPr>
      </w:pPr>
      <w:r>
        <w:rPr>
          <w:b/>
        </w:rPr>
        <w:t>2</w:t>
      </w:r>
      <w:r>
        <w:tab/>
      </w:r>
      <w:bookmarkStart w:id="4" w:name="F3902987"/>
      <w:r>
        <w:rPr>
          <w:b/>
        </w:rPr>
        <w:t>O entitate trebuie să aplice prezentul standard la întocmirea şi prezentarea situaţiilor financiare cu scop general în conformitate cu Standardele Internaţionale de Raportare Financiară (IFRS-uri).</w:t>
      </w:r>
      <w:bookmarkEnd w:id="4"/>
    </w:p>
    <w:p w:rsidR="004F2778" w:rsidRDefault="004F2778">
      <w:pPr>
        <w:pStyle w:val="IASBNormalnpara"/>
      </w:pPr>
      <w:r>
        <w:t>3</w:t>
      </w:r>
      <w:r>
        <w:tab/>
      </w:r>
      <w:bookmarkStart w:id="5" w:name="F3902988"/>
      <w:r>
        <w:t>Alte IFRS-uri stabilesc dispoziţiile de recunoaştere, evaluare şi prezentare de informaţii privind tranzacţiile specifice şi alte evenimente.</w:t>
      </w:r>
      <w:bookmarkEnd w:id="5"/>
    </w:p>
    <w:p w:rsidR="004F2778" w:rsidRDefault="004F2778">
      <w:pPr>
        <w:pStyle w:val="IASBNormalnpara"/>
      </w:pPr>
      <w:r>
        <w:t>4</w:t>
      </w:r>
      <w:r>
        <w:tab/>
      </w:r>
      <w:bookmarkStart w:id="6" w:name="F3902989"/>
      <w:r>
        <w:t xml:space="preserve">Prezentul standard nu se aplică structurii şi conţinutului situaţiilor financiare interimare simplificate întocmite în conformitate cu IAS 34 </w:t>
      </w:r>
      <w:r>
        <w:rPr>
          <w:i/>
        </w:rPr>
        <w:t>Raportarea financiară interimară</w:t>
      </w:r>
      <w:r>
        <w:t xml:space="preserve">. Totuşi, punctele 15-35 se aplică unor astfel de situaţii financiare. Prezentul standard se aplică în egală măsură tuturor entităţilor, inclusiv celor care prezintă situaţii financiare consolidate în conformitate cu IFRS 10 </w:t>
      </w:r>
      <w:r>
        <w:rPr>
          <w:i/>
        </w:rPr>
        <w:t>Situaţii financiare consolidate</w:t>
      </w:r>
      <w:r>
        <w:t xml:space="preserve"> şi celor care prezintă situaţii financiare individuale în conformitate cu IAS 27 </w:t>
      </w:r>
      <w:r>
        <w:rPr>
          <w:i/>
        </w:rPr>
        <w:t>Situaţii financiare individuale</w:t>
      </w:r>
      <w:r>
        <w:t>.</w:t>
      </w:r>
      <w:bookmarkEnd w:id="6"/>
    </w:p>
    <w:p w:rsidR="004F2778" w:rsidRDefault="004F2778">
      <w:pPr>
        <w:pStyle w:val="IASBNormalnpara"/>
      </w:pPr>
      <w:r>
        <w:t>5</w:t>
      </w:r>
      <w:r>
        <w:tab/>
      </w:r>
      <w:bookmarkStart w:id="7" w:name="F3902991"/>
      <w:r>
        <w:t>Prezentul standard utilizează o terminologie corespunzătoare entităţilor cu scop lucrativ, inclusiv entităţilor din sectorul public. Dacă entităţile cu activităţi non-profit din sectorul privat sau public aplică prezentul standard, acestea ar putea fi nevoite să modifice descrierile utilizate pentru anumite elemente-rând din situaţiile financiare şi pentru situaţiile financiare ca atare.</w:t>
      </w:r>
      <w:bookmarkEnd w:id="7"/>
    </w:p>
    <w:p w:rsidR="004F2778" w:rsidRDefault="004F2778">
      <w:pPr>
        <w:pStyle w:val="IASBNormalnpara"/>
      </w:pPr>
      <w:r>
        <w:t>6</w:t>
      </w:r>
      <w:r>
        <w:tab/>
      </w:r>
      <w:bookmarkStart w:id="8" w:name="F3902992"/>
      <w:r>
        <w:t xml:space="preserve">În mod similar, entităţile care nu au capital propriu, așa cum este acesta definit în IAS 32 </w:t>
      </w:r>
      <w:r>
        <w:rPr>
          <w:i/>
        </w:rPr>
        <w:t>Instrumente financiare: prezentare</w:t>
      </w:r>
      <w:r>
        <w:t xml:space="preserve"> (de exemplu, anumite fonduri mutuale) şi entităţile al căror capital social nu este capital propriu (de exemplu, unele entităţi de tip cooperatist) ar putea fi nevoite să adapteze prezentarea intereselor membrilor sau ale deţinătorilor de unităţi în situaţiile financiare.</w:t>
      </w:r>
      <w:bookmarkEnd w:id="8"/>
    </w:p>
    <w:p w:rsidR="004F2778" w:rsidRDefault="004F2778">
      <w:pPr>
        <w:pStyle w:val="IASBSectionTitle1NonInd"/>
      </w:pPr>
      <w:bookmarkStart w:id="9" w:name="F3902995"/>
      <w:r>
        <w:t>Definiţii</w:t>
      </w:r>
      <w:bookmarkEnd w:id="9"/>
    </w:p>
    <w:p w:rsidR="004F2778" w:rsidRDefault="004F2778">
      <w:pPr>
        <w:pStyle w:val="IASBNormalnpara"/>
        <w:rPr>
          <w:b/>
        </w:rPr>
      </w:pPr>
      <w:r>
        <w:rPr>
          <w:b/>
        </w:rPr>
        <w:t>7</w:t>
      </w:r>
      <w:r>
        <w:tab/>
      </w:r>
      <w:bookmarkStart w:id="10" w:name="F3902996"/>
      <w:r>
        <w:rPr>
          <w:b/>
        </w:rPr>
        <w:t>Următorii termeni sunt utilizaţi în prezentul standard cu înţelesul specificat în continuare:</w:t>
      </w:r>
      <w:bookmarkEnd w:id="10"/>
    </w:p>
    <w:p w:rsidR="004F2778" w:rsidRDefault="004F2778">
      <w:pPr>
        <w:pStyle w:val="IASBNormalnparaP"/>
      </w:pPr>
      <w:bookmarkStart w:id="11" w:name="F3902997"/>
      <w:r>
        <w:rPr>
          <w:b/>
          <w:i/>
        </w:rPr>
        <w:t>Situaţiile financiare cu scop general</w:t>
      </w:r>
      <w:r>
        <w:rPr>
          <w:b/>
        </w:rPr>
        <w:t xml:space="preserve"> (numite „situaţii financiare”) sunt acelea menite să satisfacă nevoile utilizatorilor care nu sunt în situaţia de a impune unei entităţi să întocmească rapoarte adaptate nevoilor lor specifice de informaţii. </w:t>
      </w:r>
      <w:bookmarkEnd w:id="11"/>
    </w:p>
    <w:p w:rsidR="004F2778" w:rsidRDefault="004F2778">
      <w:pPr>
        <w:pStyle w:val="IASBNormalnparaP"/>
      </w:pPr>
      <w:bookmarkStart w:id="12" w:name="F5148372"/>
      <w:r>
        <w:rPr>
          <w:b/>
          <w:i/>
        </w:rPr>
        <w:t>Imposibil</w:t>
      </w:r>
      <w:r>
        <w:t xml:space="preserve"> </w:t>
      </w:r>
      <w:r>
        <w:rPr>
          <w:b/>
        </w:rPr>
        <w:t>Aplicarea unei dispoziţii este imposibilă atunci când entitatea nu o poate aplica după ce a făcut toate eforturile rezonabile în acest sens.</w:t>
      </w:r>
      <w:bookmarkEnd w:id="12"/>
    </w:p>
    <w:p w:rsidR="004F2778" w:rsidRDefault="004F2778">
      <w:pPr>
        <w:pStyle w:val="IASBNormalnparaP"/>
      </w:pPr>
      <w:bookmarkStart w:id="13" w:name="F5148374"/>
      <w:r>
        <w:rPr>
          <w:b/>
          <w:i/>
        </w:rPr>
        <w:t xml:space="preserve">Standardele Internaţionale de Raportare Financiară (IFRS-urile) </w:t>
      </w:r>
      <w:r>
        <w:rPr>
          <w:b/>
        </w:rPr>
        <w:t>sunt standardele şi interpretările emise de Consiliul pentru Standarde Internaţionale de Contabilitate (IASB)</w:t>
      </w:r>
      <w:r>
        <w:t>.</w:t>
      </w:r>
      <w:r>
        <w:rPr>
          <w:b/>
        </w:rPr>
        <w:t xml:space="preserve"> Acestea includ:</w:t>
      </w:r>
      <w:bookmarkEnd w:id="13"/>
    </w:p>
    <w:p w:rsidR="004F2778" w:rsidRDefault="004F2778">
      <w:pPr>
        <w:pStyle w:val="IASBNormalnparaL1"/>
      </w:pPr>
      <w:r>
        <w:rPr>
          <w:b/>
        </w:rPr>
        <w:t>(a)</w:t>
      </w:r>
      <w:r>
        <w:tab/>
      </w:r>
      <w:bookmarkStart w:id="14" w:name="F3903003"/>
      <w:r>
        <w:rPr>
          <w:b/>
        </w:rPr>
        <w:t>Standarde Internaţionale de Raportare Financiară;</w:t>
      </w:r>
      <w:bookmarkEnd w:id="14"/>
    </w:p>
    <w:p w:rsidR="004F2778" w:rsidRDefault="004F2778">
      <w:pPr>
        <w:pStyle w:val="IASBNormalnparaL1"/>
      </w:pPr>
      <w:r>
        <w:rPr>
          <w:b/>
        </w:rPr>
        <w:t>(b)</w:t>
      </w:r>
      <w:r>
        <w:tab/>
      </w:r>
      <w:bookmarkStart w:id="15" w:name="F3903005"/>
      <w:r>
        <w:rPr>
          <w:b/>
        </w:rPr>
        <w:t>Standarde Internaţionale de Contabilitate;</w:t>
      </w:r>
      <w:bookmarkEnd w:id="15"/>
    </w:p>
    <w:p w:rsidR="004F2778" w:rsidRDefault="004F2778">
      <w:pPr>
        <w:pStyle w:val="IASBNormalnparaL1"/>
      </w:pPr>
      <w:r>
        <w:rPr>
          <w:b/>
        </w:rPr>
        <w:t>(c)</w:t>
      </w:r>
      <w:r>
        <w:tab/>
      </w:r>
      <w:bookmarkStart w:id="16" w:name="F3903007"/>
      <w:r>
        <w:rPr>
          <w:b/>
        </w:rPr>
        <w:t>Interpretări IFRIC; și</w:t>
      </w:r>
      <w:bookmarkEnd w:id="16"/>
    </w:p>
    <w:p w:rsidR="004F2778" w:rsidRDefault="004F2778">
      <w:pPr>
        <w:pStyle w:val="IASBNormalnparaL1"/>
      </w:pPr>
      <w:r>
        <w:rPr>
          <w:b/>
        </w:rPr>
        <w:t>(d)</w:t>
      </w:r>
      <w:r>
        <w:tab/>
      </w:r>
      <w:bookmarkStart w:id="17" w:name="F14968334"/>
      <w:r>
        <w:rPr>
          <w:b/>
        </w:rPr>
        <w:t>Interpretări SIC.</w:t>
      </w:r>
      <w:r>
        <w:rPr>
          <w:rStyle w:val="FootnoteReference"/>
        </w:rPr>
        <w:footnoteReference w:id="1"/>
      </w:r>
      <w:bookmarkEnd w:id="17"/>
    </w:p>
    <w:p w:rsidR="004F2778" w:rsidRDefault="004F2778">
      <w:pPr>
        <w:pStyle w:val="IASBNormalnpara"/>
        <w:rPr>
          <w:b/>
        </w:rPr>
      </w:pPr>
      <w:r>
        <w:tab/>
      </w:r>
      <w:bookmarkStart w:id="18" w:name="F3903008"/>
      <w:r>
        <w:rPr>
          <w:b/>
          <w:i/>
        </w:rPr>
        <w:t xml:space="preserve">Semnificativ </w:t>
      </w:r>
      <w:r>
        <w:rPr>
          <w:b/>
        </w:rPr>
        <w:t>Omisiunile sau prezentările eronate ale elementelor sunt semnificative dacă ele pot influența, individual sau împreună, deciziile economice luate de utilizatori pe baza situaţiilor financiare</w:t>
      </w:r>
      <w:r>
        <w:t>.</w:t>
      </w:r>
      <w:r>
        <w:rPr>
          <w:b/>
        </w:rPr>
        <w:t xml:space="preserve"> Pragul de semnificaţie depinde de mărimea şi natura omisiunii sau a prezentării eronate evaluate în anumite circumstanţe. Mărimea sau natura elementului sau combinaţia lor poate fi un factor determinant.</w:t>
      </w:r>
      <w:bookmarkEnd w:id="18"/>
    </w:p>
    <w:p w:rsidR="004F2778" w:rsidRDefault="004F2778">
      <w:pPr>
        <w:pStyle w:val="IASBNormalnpara"/>
      </w:pPr>
      <w:r>
        <w:lastRenderedPageBreak/>
        <w:tab/>
      </w:r>
      <w:bookmarkStart w:id="19" w:name="F3903010"/>
      <w:r>
        <w:t xml:space="preserve">Evaluarea măsurii în care o omisiune sau o prezentare eronată ar putea influenţa deciziile economice ale utilizatorilor, putând astfel să fie semnificativă, necesită, în mod obligatoriu, luarea în considerare a caracteristicilor acelor utilizatori. </w:t>
      </w:r>
      <w:r>
        <w:rPr>
          <w:i/>
        </w:rPr>
        <w:t xml:space="preserve">Cadrul general pentru întocmirea şi prezentarea situaţiilor financiare </w:t>
      </w:r>
      <w:r>
        <w:t>menţionează la punctul 25</w:t>
      </w:r>
      <w:r>
        <w:rPr>
          <w:rStyle w:val="FootnoteReference"/>
        </w:rPr>
        <w:footnoteReference w:id="2"/>
      </w:r>
      <w:r>
        <w:t xml:space="preserve"> faptul că „se presupune că utilizatorii dispun de cunoştinţe suficiente privind activităţile de afaceri şi economice şi de contabilitate, precum şi că doresc să studieze informaţiile cu atenţia cuvenită”. Astfel, evaluarea trebuie să ia în considerare cum ar putea fi influenţaţi în mod rezonabil astfel de utilizatori în luarea deciziilor economice.</w:t>
      </w:r>
      <w:bookmarkEnd w:id="19"/>
    </w:p>
    <w:p w:rsidR="004F2778" w:rsidRDefault="004F2778">
      <w:pPr>
        <w:pStyle w:val="IASBNormalnpara"/>
        <w:rPr>
          <w:b/>
        </w:rPr>
      </w:pPr>
      <w:r>
        <w:tab/>
      </w:r>
      <w:bookmarkStart w:id="20" w:name="F3903012"/>
      <w:r>
        <w:rPr>
          <w:b/>
          <w:i/>
        </w:rPr>
        <w:t xml:space="preserve">Notele </w:t>
      </w:r>
      <w:r>
        <w:rPr>
          <w:b/>
        </w:rPr>
        <w:t>conţin informaţii suplimentare faţă de cele prezentate în situaţia poziţiei financiare, situaţia (situaţiile) profitului sau pierderii şi altor elemente ale rezultatului global, situaţia modificărilor capitalurilor proprii şi situaţia fluxurilor de trezorerie. Notele oferă descrieri narative sau dezagregări ale elementelor prezentate în acele situaţii şi informaţii privind elementele care nu îndeplinesc condiţiile pentru a fi recunoscute în acele situaţii.</w:t>
      </w:r>
      <w:bookmarkEnd w:id="20"/>
    </w:p>
    <w:p w:rsidR="004F2778" w:rsidRDefault="004F2778">
      <w:pPr>
        <w:pStyle w:val="IASBNormalnpara"/>
        <w:rPr>
          <w:b/>
        </w:rPr>
      </w:pPr>
      <w:r>
        <w:tab/>
      </w:r>
      <w:bookmarkStart w:id="21" w:name="F19133757"/>
      <w:r>
        <w:rPr>
          <w:b/>
          <w:i/>
        </w:rPr>
        <w:t>Alte elemente ale rezultatului global</w:t>
      </w:r>
      <w:r>
        <w:rPr>
          <w:b/>
        </w:rPr>
        <w:t xml:space="preserve"> cuprind elemente de venituri şi cheltuieli (inclusiv ajustările din reclasificare) care nu sunt recunoscute în profit sau pierdere aşa cum se impune sau se permite în alte IFRS-uri.</w:t>
      </w:r>
      <w:bookmarkEnd w:id="21"/>
    </w:p>
    <w:p w:rsidR="004F2778" w:rsidRDefault="004F2778">
      <w:pPr>
        <w:pStyle w:val="IASBNormalnpara"/>
      </w:pPr>
      <w:r>
        <w:tab/>
      </w:r>
      <w:bookmarkStart w:id="22" w:name="F19039511"/>
      <w:r>
        <w:t>Componentele altor elemente ale rezultatului global cuprind:</w:t>
      </w:r>
      <w:bookmarkEnd w:id="22"/>
    </w:p>
    <w:p w:rsidR="004F2778" w:rsidRDefault="004F2778">
      <w:pPr>
        <w:pStyle w:val="IASBNormalnparaL1"/>
      </w:pPr>
      <w:r>
        <w:t>(a)</w:t>
      </w:r>
      <w:r>
        <w:tab/>
      </w:r>
      <w:bookmarkStart w:id="23" w:name="F3903047"/>
      <w:r>
        <w:t xml:space="preserve">modificările surplusului din reevaluare (a se vedea IAS 16 </w:t>
      </w:r>
      <w:r>
        <w:rPr>
          <w:i/>
        </w:rPr>
        <w:t>Imobilizări corporale</w:t>
      </w:r>
      <w:r>
        <w:t xml:space="preserve"> şi IAS 38 </w:t>
      </w:r>
      <w:r>
        <w:rPr>
          <w:i/>
        </w:rPr>
        <w:t>Imobilizări necorporale</w:t>
      </w:r>
      <w:r>
        <w:t>);</w:t>
      </w:r>
      <w:bookmarkEnd w:id="23"/>
    </w:p>
    <w:p w:rsidR="004F2778" w:rsidRDefault="004F2778">
      <w:pPr>
        <w:pStyle w:val="IASBNormalnparaL1"/>
      </w:pPr>
      <w:r>
        <w:t>(b)</w:t>
      </w:r>
      <w:r>
        <w:tab/>
      </w:r>
      <w:bookmarkStart w:id="24" w:name="F3903049"/>
      <w:r>
        <w:t xml:space="preserve">reevaluările planurilor de beneficii determinate (a se vedea IAS 19 </w:t>
      </w:r>
      <w:r>
        <w:rPr>
          <w:i/>
        </w:rPr>
        <w:t>Beneficiile angajaţilor</w:t>
      </w:r>
      <w:r>
        <w:t>);</w:t>
      </w:r>
      <w:bookmarkEnd w:id="24"/>
    </w:p>
    <w:p w:rsidR="004F2778" w:rsidRDefault="004F2778">
      <w:pPr>
        <w:pStyle w:val="IASBNormalnparaL1"/>
      </w:pPr>
      <w:r>
        <w:t>(c)</w:t>
      </w:r>
      <w:r>
        <w:tab/>
      </w:r>
      <w:bookmarkStart w:id="25" w:name="F3903051"/>
      <w:r>
        <w:t xml:space="preserve">câştigurile şi pierderile care rezultă din conversia situaţiilor financiare ale unei operaţiuni din străinătate (a se vedea IAS 21 </w:t>
      </w:r>
      <w:r>
        <w:rPr>
          <w:i/>
        </w:rPr>
        <w:t>Efectele variaţiei cursurilor de schimb valutar</w:t>
      </w:r>
      <w:r>
        <w:t>);</w:t>
      </w:r>
      <w:bookmarkEnd w:id="25"/>
    </w:p>
    <w:p w:rsidR="004F2778" w:rsidRDefault="004F2778">
      <w:pPr>
        <w:pStyle w:val="IASBNormalnparaL1"/>
      </w:pPr>
      <w:r>
        <w:t>(d)</w:t>
      </w:r>
      <w:r>
        <w:tab/>
      </w:r>
      <w:bookmarkStart w:id="26" w:name="SL28554833"/>
      <w:r>
        <w:t xml:space="preserve">câştigurile şi pierderile din investiţiile în instrumentele de capitaluri proprii desemnate la valoarea justă prin alte elemente ale rezultatului global, în conformitate cu punctul 5.7.5 din IFRS 9 </w:t>
      </w:r>
      <w:r>
        <w:rPr>
          <w:i/>
        </w:rPr>
        <w:t>Instrumente financiare</w:t>
      </w:r>
      <w:r>
        <w:t>;</w:t>
      </w:r>
      <w:bookmarkEnd w:id="26"/>
    </w:p>
    <w:p w:rsidR="004F2778" w:rsidRDefault="004F2778">
      <w:pPr>
        <w:pStyle w:val="IASBNormalnparaL1"/>
      </w:pPr>
      <w:r>
        <w:t>(da)</w:t>
      </w:r>
      <w:r>
        <w:tab/>
      </w:r>
      <w:bookmarkStart w:id="27" w:name="F36676527"/>
      <w:r>
        <w:t>câştigurile şi pierderile din activele financiare evaluate la valoarea justă prin alte elemente ale rezultatului global, în conformitate cu punctul 4.1.2A din IFRS 9;</w:t>
      </w:r>
      <w:bookmarkEnd w:id="27"/>
    </w:p>
    <w:p w:rsidR="004F2778" w:rsidRDefault="004F2778">
      <w:pPr>
        <w:pStyle w:val="IASBNormalnparaL1"/>
      </w:pPr>
      <w:r>
        <w:t>(e)</w:t>
      </w:r>
      <w:r>
        <w:tab/>
      </w:r>
      <w:bookmarkStart w:id="28" w:name="SL28554836"/>
      <w:r>
        <w:t>partea eficientă din câştiguri sau pierderi pentru instrumentele de acoperire împotriva riscurilor într-o acoperire a fluxurilor de trezorerie împotriva riscurilor, precum şi câştigurile şi pierderile aferente instrumentelor de acoperire împotriva riscurilor care acoperă investiții în capitaluri proprii evaluate la valoarea justă prin alte elemente ale rezultatului global, în conformitate cu punctul 5.7.5 din IFRS 9 (a se vedea Capitolul 6 din IFRS 9);</w:t>
      </w:r>
      <w:bookmarkEnd w:id="28"/>
    </w:p>
    <w:p w:rsidR="004F2778" w:rsidRDefault="004F2778">
      <w:pPr>
        <w:pStyle w:val="IASBNormalnparaL1"/>
      </w:pPr>
      <w:r>
        <w:t>(f)</w:t>
      </w:r>
      <w:r>
        <w:tab/>
      </w:r>
      <w:bookmarkStart w:id="29" w:name="SL28554838"/>
      <w:r>
        <w:t>pentru anumite datorii desemnate la valoarea justă prin profit sau pierdere, valoarea modificării în valoarea justă care se poate atribui modificărilor riscului de credit al datoriei (a se vedea punctul 5.7.7 din IFRS 9);</w:t>
      </w:r>
      <w:bookmarkEnd w:id="29"/>
    </w:p>
    <w:p w:rsidR="004F2778" w:rsidRDefault="004F2778">
      <w:pPr>
        <w:pStyle w:val="IASBNormalnparaL1"/>
      </w:pPr>
      <w:r>
        <w:t>(g)</w:t>
      </w:r>
      <w:r>
        <w:tab/>
      </w:r>
      <w:bookmarkStart w:id="30" w:name="SL28554840"/>
      <w:r>
        <w:t>modificări ale valorii-timp a opţiunilor atunci când se separă valoarea intrinsecă şi valoarea-timp a unui contract pe opţiuni şi când se desemnează ca instrument de acoperire împotriva riscurilor doar modificările în valoarea intrinsecă (a se vedea Capitolul 6 din IFRS 9); și</w:t>
      </w:r>
      <w:bookmarkEnd w:id="30"/>
    </w:p>
    <w:p w:rsidR="004F2778" w:rsidRDefault="004F2778">
      <w:pPr>
        <w:pStyle w:val="IASBNormalnparaL1"/>
      </w:pPr>
      <w:r>
        <w:t>(h)</w:t>
      </w:r>
      <w:r>
        <w:tab/>
      </w:r>
      <w:bookmarkStart w:id="31" w:name="SL28554842"/>
      <w:r>
        <w:t>modificări ale valorii elementelor forward din contractele forward atunci când se separă elementul forward şi elementul la vedere dintr-un contract forward şi când se desemnează ca instrument de acoperire împotriva riscurilor doar modificările elementului la vedere şi modificările valorii marjei cu bază valutară a unui instrument financiar atunci când acesta este exclus din desemnarea acelui instrument financiar ca instrument de acoperire împotriva riscurilor (a se vedea Capitolul 6 din IFRS 9).</w:t>
      </w:r>
      <w:bookmarkEnd w:id="31"/>
    </w:p>
    <w:p w:rsidR="004F2778" w:rsidRDefault="004F2778">
      <w:pPr>
        <w:pStyle w:val="IASBNormalnparaP"/>
      </w:pPr>
      <w:bookmarkStart w:id="32" w:name="F3903061"/>
      <w:r>
        <w:rPr>
          <w:b/>
          <w:i/>
        </w:rPr>
        <w:t xml:space="preserve">Proprietarii </w:t>
      </w:r>
      <w:r>
        <w:rPr>
          <w:b/>
        </w:rPr>
        <w:t>sunt deţinătorii instrumentelor clasificate drept capitaluri proprii.</w:t>
      </w:r>
      <w:bookmarkEnd w:id="32"/>
    </w:p>
    <w:p w:rsidR="004F2778" w:rsidRDefault="004F2778">
      <w:pPr>
        <w:pStyle w:val="IASBNormalnparaP"/>
      </w:pPr>
      <w:bookmarkStart w:id="33" w:name="F3903064"/>
      <w:r>
        <w:rPr>
          <w:b/>
          <w:i/>
        </w:rPr>
        <w:t>Profitul sau pierderea</w:t>
      </w:r>
      <w:r>
        <w:t xml:space="preserve"> </w:t>
      </w:r>
      <w:r>
        <w:rPr>
          <w:b/>
        </w:rPr>
        <w:t>reprezintă veniturile totale minus cheltuielile, exclusiv componentele altor elemente ale rezultatului global.</w:t>
      </w:r>
      <w:bookmarkEnd w:id="33"/>
    </w:p>
    <w:p w:rsidR="004F2778" w:rsidRDefault="004F2778">
      <w:pPr>
        <w:pStyle w:val="IASBNormalnparaP"/>
      </w:pPr>
      <w:bookmarkStart w:id="34" w:name="F3903067"/>
      <w:r>
        <w:rPr>
          <w:b/>
          <w:i/>
        </w:rPr>
        <w:t>Ajustările din reclasificare</w:t>
      </w:r>
      <w:r>
        <w:t xml:space="preserve"> </w:t>
      </w:r>
      <w:r>
        <w:rPr>
          <w:b/>
        </w:rPr>
        <w:t>sunt sumele reclasificate în profit sau pierdere în decursul perioadei curente, care au fost recunoscute în alte elemente ale rezultatului global în perioada curentă sau în perioadele anterioare.</w:t>
      </w:r>
      <w:bookmarkEnd w:id="34"/>
    </w:p>
    <w:p w:rsidR="004F2778" w:rsidRDefault="004F2778">
      <w:pPr>
        <w:pStyle w:val="IASBNormalnparaP"/>
      </w:pPr>
      <w:bookmarkStart w:id="35" w:name="F3903070"/>
      <w:r>
        <w:rPr>
          <w:b/>
          <w:i/>
        </w:rPr>
        <w:t>Rezultatul global total</w:t>
      </w:r>
      <w:r>
        <w:t xml:space="preserve"> </w:t>
      </w:r>
      <w:r>
        <w:rPr>
          <w:b/>
        </w:rPr>
        <w:t>este modificarea din capitalurile proprii în timpul perioadei care rezultă din tranzacţii şi din alte evenimente, altele decât acele modificări care rezultă din tranzacţiile cu proprietarii în calitatea lor de proprietari.</w:t>
      </w:r>
      <w:bookmarkEnd w:id="35"/>
    </w:p>
    <w:p w:rsidR="004F2778" w:rsidRDefault="004F2778">
      <w:pPr>
        <w:pStyle w:val="IASBNormalnparaP"/>
      </w:pPr>
      <w:bookmarkStart w:id="36" w:name="F3903073"/>
      <w:r>
        <w:lastRenderedPageBreak/>
        <w:t>Rezultatul global total cuprinde toate componentele „profitului sau pierderii” şi ale „altor elemente ale rezultatului global”.</w:t>
      </w:r>
      <w:bookmarkEnd w:id="36"/>
    </w:p>
    <w:p w:rsidR="004F2778" w:rsidRDefault="004F2778">
      <w:pPr>
        <w:pStyle w:val="IASBNormalnpara"/>
      </w:pPr>
      <w:r>
        <w:t>8</w:t>
      </w:r>
      <w:r>
        <w:tab/>
      </w:r>
      <w:bookmarkStart w:id="37" w:name="F3903074"/>
      <w:r>
        <w:t xml:space="preserve">Deşi prezentul standard utilizează termenii „alte elemente ale rezultatului global”, „profit sau pierdere” şi „rezultat global total”, o entitate poate utiliza alţi termeni pentru a descrie totalurile atât timp cât înţelesul este clar. De exemplu, o entitate poate utiliza termenul „venit net” pentru a descrie profitul sau pierderea. </w:t>
      </w:r>
      <w:bookmarkEnd w:id="37"/>
    </w:p>
    <w:p w:rsidR="004F2778" w:rsidRDefault="004F2778">
      <w:pPr>
        <w:pStyle w:val="IASBNormalnpara"/>
      </w:pPr>
      <w:r>
        <w:t>8A</w:t>
      </w:r>
      <w:r>
        <w:tab/>
      </w:r>
      <w:bookmarkStart w:id="38" w:name="F5588965"/>
      <w:r>
        <w:t xml:space="preserve">Următorii termeni sunt definiţi în IAS 32 </w:t>
      </w:r>
      <w:r>
        <w:rPr>
          <w:i/>
        </w:rPr>
        <w:t>Instrumente financiare: prezentare</w:t>
      </w:r>
      <w:r>
        <w:t xml:space="preserve"> şi sunt utilizaţi în prezentul standard cu înţelesul specificat în IAS 32:</w:t>
      </w:r>
      <w:bookmarkEnd w:id="38"/>
    </w:p>
    <w:p w:rsidR="004F2778" w:rsidRDefault="004F2778">
      <w:pPr>
        <w:pStyle w:val="IASBNormalnparaL1"/>
      </w:pPr>
      <w:r>
        <w:t>(a)</w:t>
      </w:r>
      <w:r>
        <w:tab/>
      </w:r>
      <w:bookmarkStart w:id="39" w:name="F5588993"/>
      <w:r>
        <w:t>instrument financiar care poate fi lichidat de deținător înainte de scadenţă clasificat drept un instrument de capitaluri proprii (descris la punctele 16A şi 16B din IAS 32)</w:t>
      </w:r>
      <w:bookmarkEnd w:id="39"/>
    </w:p>
    <w:p w:rsidR="004F2778" w:rsidRDefault="004F2778">
      <w:pPr>
        <w:pStyle w:val="IASBNormalnparaL1"/>
      </w:pPr>
      <w:r>
        <w:t>(b)</w:t>
      </w:r>
      <w:r>
        <w:tab/>
      </w:r>
      <w:bookmarkStart w:id="40" w:name="F5588995"/>
      <w:r>
        <w:t>un instrument financiar care impune entităţii obligaţia de a livra unei alte entităţi o parte proporţională din activele nete ale entităţii numai la lichidare şi este clasificat drept un instrument de capitaluri proprii (descris la punctele 16C şi 16D din IAS 32).</w:t>
      </w:r>
      <w:bookmarkEnd w:id="40"/>
    </w:p>
    <w:p w:rsidR="004F2778" w:rsidRDefault="004F2778">
      <w:pPr>
        <w:pStyle w:val="IASBSectionTitle1NonInd"/>
      </w:pPr>
      <w:bookmarkStart w:id="41" w:name="F3903076"/>
      <w:r>
        <w:t>Situaţii financiare</w:t>
      </w:r>
      <w:bookmarkEnd w:id="41"/>
    </w:p>
    <w:p w:rsidR="004F2778" w:rsidRDefault="004F2778">
      <w:pPr>
        <w:pStyle w:val="IASBSectionTitle2Ind"/>
      </w:pPr>
      <w:bookmarkStart w:id="42" w:name="F3903077"/>
      <w:r>
        <w:t>Scopul situaţiilor financiare</w:t>
      </w:r>
      <w:bookmarkEnd w:id="42"/>
    </w:p>
    <w:p w:rsidR="004F2778" w:rsidRDefault="004F2778">
      <w:pPr>
        <w:pStyle w:val="IASBNormalnpara"/>
      </w:pPr>
      <w:r>
        <w:t>9</w:t>
      </w:r>
      <w:r>
        <w:tab/>
      </w:r>
      <w:bookmarkStart w:id="43" w:name="F3903079"/>
      <w:r>
        <w:t>Situaţiile financiare sunt o reprezentare structurată a poziţiei financiare şi a performanţei financiare ale unei entităţi. Obiectivul situaţiilor financiare este de a oferi informaţii despre poziţia financiară, performanţa financiară şi fluxurile de trezorerie ale unei entităţi, utile pentru o gamă largă de utilizatori în luarea deciziilor economice. Situaţiile financiare prezintă, de asemenea, rezultatele gestiunii resurselor, sarcină încredinţată conducerii entităţilor. Pentru a atinge acest obiectiv, situaţiile financiare oferă informaţii despre:</w:t>
      </w:r>
      <w:bookmarkEnd w:id="43"/>
    </w:p>
    <w:p w:rsidR="004F2778" w:rsidRDefault="004F2778">
      <w:pPr>
        <w:pStyle w:val="IASBNormalnparaL1"/>
      </w:pPr>
      <w:r>
        <w:t>(a)</w:t>
      </w:r>
      <w:r>
        <w:tab/>
      </w:r>
      <w:bookmarkStart w:id="44" w:name="F3903082"/>
      <w:r>
        <w:t>active;</w:t>
      </w:r>
      <w:bookmarkEnd w:id="44"/>
    </w:p>
    <w:p w:rsidR="004F2778" w:rsidRDefault="004F2778">
      <w:pPr>
        <w:pStyle w:val="IASBNormalnparaL1"/>
      </w:pPr>
      <w:r>
        <w:t>(b)</w:t>
      </w:r>
      <w:r>
        <w:tab/>
      </w:r>
      <w:bookmarkStart w:id="45" w:name="F3903084"/>
      <w:r>
        <w:t>datorii;</w:t>
      </w:r>
      <w:bookmarkEnd w:id="45"/>
    </w:p>
    <w:p w:rsidR="004F2778" w:rsidRDefault="004F2778">
      <w:pPr>
        <w:pStyle w:val="IASBNormalnparaL1"/>
      </w:pPr>
      <w:r>
        <w:t>(c)</w:t>
      </w:r>
      <w:r>
        <w:tab/>
      </w:r>
      <w:bookmarkStart w:id="46" w:name="F3903086"/>
      <w:r>
        <w:t>capitaluri proprii;</w:t>
      </w:r>
      <w:bookmarkEnd w:id="46"/>
    </w:p>
    <w:p w:rsidR="004F2778" w:rsidRDefault="004F2778">
      <w:pPr>
        <w:pStyle w:val="IASBNormalnparaL1"/>
      </w:pPr>
      <w:r>
        <w:t>(d)</w:t>
      </w:r>
      <w:r>
        <w:tab/>
      </w:r>
      <w:bookmarkStart w:id="47" w:name="F3903088"/>
      <w:r>
        <w:t>venituri şi cheltuieli, inclusiv câştiguri şi pierderi;</w:t>
      </w:r>
      <w:bookmarkEnd w:id="47"/>
    </w:p>
    <w:p w:rsidR="004F2778" w:rsidRDefault="004F2778">
      <w:pPr>
        <w:pStyle w:val="IASBNormalnparaL1"/>
      </w:pPr>
      <w:r>
        <w:t>(e)</w:t>
      </w:r>
      <w:r>
        <w:tab/>
      </w:r>
      <w:bookmarkStart w:id="48" w:name="F3903090"/>
      <w:r>
        <w:t>distribuirile către proprietari şi contribuţiile acestora în calitatea lor de proprietari; și</w:t>
      </w:r>
      <w:bookmarkEnd w:id="48"/>
    </w:p>
    <w:p w:rsidR="004F2778" w:rsidRDefault="004F2778">
      <w:pPr>
        <w:pStyle w:val="IASBNormalnparaL1"/>
      </w:pPr>
      <w:r>
        <w:t>(f)</w:t>
      </w:r>
      <w:r>
        <w:tab/>
      </w:r>
      <w:bookmarkStart w:id="49" w:name="F3903092"/>
      <w:r>
        <w:t>fluxurile de trezorerie ale unei entităţi.</w:t>
      </w:r>
      <w:bookmarkEnd w:id="49"/>
    </w:p>
    <w:p w:rsidR="004F2778" w:rsidRDefault="004F2778">
      <w:pPr>
        <w:pStyle w:val="IASBNormalnparaP"/>
      </w:pPr>
      <w:bookmarkStart w:id="50" w:name="F3903093"/>
      <w:r>
        <w:t>Aceste informaţii, împreună cu alte informaţii din notele la situaţiile financiare, ajută utilizatorii situaţiilor financiare la estimarea fluxurilor de trezorerie viitoare ale entităţii şi în special a plasării în timp şi a gradului de certitudine ale acestora.</w:t>
      </w:r>
      <w:bookmarkEnd w:id="50"/>
    </w:p>
    <w:p w:rsidR="004F2778" w:rsidRDefault="004F2778">
      <w:pPr>
        <w:pStyle w:val="IASBSectionTitle2Ind"/>
      </w:pPr>
      <w:bookmarkStart w:id="51" w:name="F3903094"/>
      <w:r>
        <w:t>Setul complet de situaţii financiare</w:t>
      </w:r>
      <w:bookmarkEnd w:id="51"/>
    </w:p>
    <w:p w:rsidR="004F2778" w:rsidRDefault="004F2778">
      <w:pPr>
        <w:pStyle w:val="IASBNormalnpara"/>
        <w:rPr>
          <w:b/>
        </w:rPr>
      </w:pPr>
      <w:r>
        <w:rPr>
          <w:b/>
        </w:rPr>
        <w:t>10</w:t>
      </w:r>
      <w:r>
        <w:tab/>
      </w:r>
      <w:bookmarkStart w:id="52" w:name="F38869129"/>
      <w:r>
        <w:rPr>
          <w:b/>
        </w:rPr>
        <w:t>Un set complet de situaţii financiare cuprinde:</w:t>
      </w:r>
      <w:bookmarkEnd w:id="52"/>
    </w:p>
    <w:p w:rsidR="004F2778" w:rsidRDefault="004F2778">
      <w:pPr>
        <w:pStyle w:val="IASBNormalnparaL1"/>
      </w:pPr>
      <w:r>
        <w:rPr>
          <w:b/>
        </w:rPr>
        <w:t>(a)</w:t>
      </w:r>
      <w:r>
        <w:tab/>
      </w:r>
      <w:bookmarkStart w:id="53" w:name="F38869133"/>
      <w:r>
        <w:rPr>
          <w:b/>
        </w:rPr>
        <w:t>situaţia poziţiei financiare la finalul perioadei;</w:t>
      </w:r>
      <w:bookmarkEnd w:id="53"/>
    </w:p>
    <w:p w:rsidR="004F2778" w:rsidRDefault="004F2778">
      <w:pPr>
        <w:pStyle w:val="IASBNormalnparaL1"/>
      </w:pPr>
      <w:r>
        <w:rPr>
          <w:b/>
        </w:rPr>
        <w:t>(b)</w:t>
      </w:r>
      <w:r>
        <w:tab/>
      </w:r>
      <w:bookmarkStart w:id="54" w:name="F38869138"/>
      <w:r>
        <w:rPr>
          <w:b/>
        </w:rPr>
        <w:t>situația profitului sau pierderii și altor elemente ale rezultatului global pe perioadă;</w:t>
      </w:r>
      <w:bookmarkEnd w:id="54"/>
    </w:p>
    <w:p w:rsidR="004F2778" w:rsidRDefault="004F2778">
      <w:pPr>
        <w:pStyle w:val="IASBNormalnparaL1"/>
      </w:pPr>
      <w:r>
        <w:rPr>
          <w:b/>
        </w:rPr>
        <w:t>(c)</w:t>
      </w:r>
      <w:r>
        <w:tab/>
      </w:r>
      <w:bookmarkStart w:id="55" w:name="F38869143"/>
      <w:r>
        <w:rPr>
          <w:b/>
        </w:rPr>
        <w:t>situaţia modificărilor capitalurilor proprii pe perioadă;</w:t>
      </w:r>
      <w:bookmarkEnd w:id="55"/>
    </w:p>
    <w:p w:rsidR="004F2778" w:rsidRDefault="004F2778">
      <w:pPr>
        <w:pStyle w:val="IASBNormalnparaL1"/>
      </w:pPr>
      <w:r>
        <w:rPr>
          <w:b/>
        </w:rPr>
        <w:t>(d)</w:t>
      </w:r>
      <w:r>
        <w:tab/>
      </w:r>
      <w:bookmarkStart w:id="56" w:name="F38869148"/>
      <w:r>
        <w:rPr>
          <w:b/>
        </w:rPr>
        <w:t>situaţia fluxurilor de trezorerie pe perioadă;</w:t>
      </w:r>
      <w:bookmarkEnd w:id="56"/>
    </w:p>
    <w:p w:rsidR="004F2778" w:rsidRDefault="004F2778">
      <w:pPr>
        <w:pStyle w:val="IASBNormalnparaL1"/>
      </w:pPr>
      <w:r>
        <w:rPr>
          <w:b/>
        </w:rPr>
        <w:t>(e)</w:t>
      </w:r>
      <w:r>
        <w:tab/>
      </w:r>
      <w:bookmarkStart w:id="57" w:name="F38869154"/>
      <w:r>
        <w:rPr>
          <w:b/>
        </w:rPr>
        <w:t>note cuprinzând politicile contabile semnificative şi alte informaţii explicative;</w:t>
      </w:r>
      <w:bookmarkEnd w:id="57"/>
    </w:p>
    <w:p w:rsidR="004F2778" w:rsidRDefault="004F2778">
      <w:pPr>
        <w:pStyle w:val="IASBNormalnparaL1"/>
      </w:pPr>
      <w:r>
        <w:rPr>
          <w:b/>
        </w:rPr>
        <w:t>(ea)</w:t>
      </w:r>
      <w:r>
        <w:tab/>
      </w:r>
      <w:bookmarkStart w:id="58" w:name="F38869163"/>
      <w:r>
        <w:rPr>
          <w:b/>
        </w:rPr>
        <w:t>informații comparative pentru perioada precedentă așa cum este specificat la punctele 38 și 38A; și</w:t>
      </w:r>
      <w:bookmarkEnd w:id="58"/>
    </w:p>
    <w:p w:rsidR="004F2778" w:rsidRDefault="004F2778">
      <w:pPr>
        <w:pStyle w:val="IASBNormalnparaL1"/>
      </w:pPr>
      <w:r>
        <w:rPr>
          <w:b/>
        </w:rPr>
        <w:t>(f)</w:t>
      </w:r>
      <w:r>
        <w:tab/>
      </w:r>
      <w:bookmarkStart w:id="59" w:name="F38869168"/>
      <w:r>
        <w:rPr>
          <w:b/>
        </w:rPr>
        <w:t>situaţia poziţiei financiare la începutul perioadei precedente în care entitatea aplică retroactiv o politică contabilă sau realizează o retratare retroactivă a elementelor din situaţiile sale financiare, ori atunci când reclasifică elementele din situaţiile sale financiare în conformitate cu punctele 40A-40D.</w:t>
      </w:r>
      <w:bookmarkEnd w:id="59"/>
    </w:p>
    <w:p w:rsidR="004F2778" w:rsidRDefault="004F2778">
      <w:pPr>
        <w:pStyle w:val="IASBNormalnparaP"/>
      </w:pPr>
      <w:bookmarkStart w:id="60" w:name="F38869183"/>
      <w:r>
        <w:rPr>
          <w:b/>
        </w:rPr>
        <w:t>O entitate poate utiliza şi alte denumiri pentru situaţiile financiare în afara celor utilizate în prezentul standard. De exemplu, o entitate poate utiliza denumirea „situația rezultatului global” în loc de „situația profitului sau pierderii și altor elemente ale rezultatului global”.</w:t>
      </w:r>
      <w:bookmarkEnd w:id="60"/>
    </w:p>
    <w:p w:rsidR="004F2778" w:rsidRDefault="004F2778">
      <w:pPr>
        <w:pStyle w:val="IASBNormalnpara"/>
        <w:rPr>
          <w:b/>
        </w:rPr>
      </w:pPr>
      <w:r>
        <w:rPr>
          <w:b/>
        </w:rPr>
        <w:t>10A</w:t>
      </w:r>
      <w:r>
        <w:tab/>
      </w:r>
      <w:bookmarkStart w:id="61" w:name="F16155995"/>
      <w:r>
        <w:rPr>
          <w:b/>
        </w:rPr>
        <w:t xml:space="preserve">O entitate poate prezenta o singură situaţie a profitului sau pierderii şi altor elemente ale rezultatului global, cu profitul sau pierderea şi alte elemente ale rezultatului global prezentate în două secţiuni. </w:t>
      </w:r>
      <w:r>
        <w:rPr>
          <w:b/>
        </w:rPr>
        <w:lastRenderedPageBreak/>
        <w:t>Secţiunile vor fi prezentate împreună, secţiunea profit sau pierdere fiind prezentată prima, urmată direct de secţiunea alte elemente ale rezultatului global. O entitate poate prezenta secţiunea de profit sau pierdere într-o situaţie individuală a profitului sau pierderii. Dacă acesta este cazul, atunci situaţia individuală a profitului sau pierderii va preceda imediat situaţia ce prezintă rezultatul global, care va începe cu profit sau pierdere.</w:t>
      </w:r>
      <w:bookmarkEnd w:id="61"/>
    </w:p>
    <w:p w:rsidR="004F2778" w:rsidRDefault="004F2778">
      <w:pPr>
        <w:pStyle w:val="IASBNormalnpara"/>
        <w:rPr>
          <w:b/>
        </w:rPr>
      </w:pPr>
      <w:r>
        <w:rPr>
          <w:b/>
        </w:rPr>
        <w:t>11</w:t>
      </w:r>
      <w:r>
        <w:tab/>
      </w:r>
      <w:bookmarkStart w:id="62" w:name="F3903114"/>
      <w:r>
        <w:rPr>
          <w:b/>
        </w:rPr>
        <w:t>O entitate trebuie să prezinte în egală măsură toate situaţiile financiare într-un set complet de situaţii financiare.</w:t>
      </w:r>
      <w:bookmarkEnd w:id="62"/>
    </w:p>
    <w:p w:rsidR="004F2778" w:rsidRDefault="004F2778">
      <w:pPr>
        <w:pStyle w:val="IASBNormalnpara"/>
      </w:pPr>
      <w:r>
        <w:t>12</w:t>
      </w:r>
      <w:r>
        <w:tab/>
      </w:r>
      <w:bookmarkStart w:id="63" w:name="F3903115"/>
      <w:r>
        <w:t>[Eliminat]</w:t>
      </w:r>
      <w:bookmarkEnd w:id="63"/>
    </w:p>
    <w:p w:rsidR="004F2778" w:rsidRDefault="004F2778">
      <w:pPr>
        <w:pStyle w:val="IASBNormalnpara"/>
      </w:pPr>
      <w:r>
        <w:t>13</w:t>
      </w:r>
      <w:r>
        <w:tab/>
      </w:r>
      <w:bookmarkStart w:id="64" w:name="F3903116"/>
      <w:r>
        <w:t>Multe entităţi prezintă, în afara situaţiilor financiare, o analiză financiară efectuată de conducere care descrie şi explică principalele caracteristici ale performanţei financiare şi ale poziţiei financiare ale entităţii, precum şi principalele incertitudini cu care se confruntă. Un astfel de raport poate include o analiză a:</w:t>
      </w:r>
      <w:bookmarkEnd w:id="64"/>
    </w:p>
    <w:p w:rsidR="004F2778" w:rsidRDefault="004F2778">
      <w:pPr>
        <w:pStyle w:val="IASBNormalnparaL1"/>
      </w:pPr>
      <w:r>
        <w:t>(a)</w:t>
      </w:r>
      <w:r>
        <w:tab/>
      </w:r>
      <w:bookmarkStart w:id="65" w:name="F3903119"/>
      <w:r>
        <w:t>principalilor factori şi principalelor influenţe care determină performanţa financiară, inclusiv a modificărilor mediului în care entitatea îşi desfăşoară activitatea, a reacţiei entităţii la modificările respective şi a efectului acestora, precum şi a politicii de investiţii pentru a-şi menţine şi îmbunătăţi performanţa financiară, inclusiv politica referitoare la dividende;</w:t>
      </w:r>
      <w:bookmarkEnd w:id="65"/>
    </w:p>
    <w:p w:rsidR="004F2778" w:rsidRDefault="004F2778">
      <w:pPr>
        <w:pStyle w:val="IASBNormalnparaL1"/>
      </w:pPr>
      <w:r>
        <w:t>(b)</w:t>
      </w:r>
      <w:r>
        <w:tab/>
      </w:r>
      <w:bookmarkStart w:id="66" w:name="F3903121"/>
      <w:r>
        <w:t>surselor de finanţare ale entităţii şi a ratei vizate de îndatorare a capitalului; și</w:t>
      </w:r>
      <w:bookmarkEnd w:id="66"/>
    </w:p>
    <w:p w:rsidR="004F2778" w:rsidRDefault="004F2778">
      <w:pPr>
        <w:pStyle w:val="IASBNormalnparaL1"/>
      </w:pPr>
      <w:r>
        <w:t>(c)</w:t>
      </w:r>
      <w:r>
        <w:tab/>
      </w:r>
      <w:bookmarkStart w:id="67" w:name="F3903124"/>
      <w:r>
        <w:t>resurselor entităţii care nu sunt recunoscute în situaţia poziţiei financiare conform IFRS-urilor.</w:t>
      </w:r>
      <w:bookmarkEnd w:id="67"/>
    </w:p>
    <w:p w:rsidR="004F2778" w:rsidRDefault="004F2778">
      <w:pPr>
        <w:pStyle w:val="IASBNormalnpara"/>
      </w:pPr>
      <w:r>
        <w:t>14</w:t>
      </w:r>
      <w:r>
        <w:tab/>
      </w:r>
      <w:bookmarkStart w:id="68" w:name="F3903125"/>
      <w:r>
        <w:t>Multe entităţi prezintă, de asemenea, în afara situaţiilor financiare, rapoarte şi situaţii cum ar fi rapoartele de mediu şi declaraţii privind valoarea adăugată, în special în sectoarele în care factorii de mediu sunt semnificativi şi atunci când angajaţii sunt consideraţi a fi un grup important de utilizatori. Rapoartele şi situaţiile prezentate în afara situaţiilor financiare nu intră sub incidenţa IFRS-urilor.</w:t>
      </w:r>
      <w:bookmarkEnd w:id="68"/>
    </w:p>
    <w:p w:rsidR="004F2778" w:rsidRDefault="004F2778">
      <w:pPr>
        <w:pStyle w:val="IASBSectionTitle2Ind"/>
      </w:pPr>
      <w:bookmarkStart w:id="69" w:name="F3903126"/>
      <w:r>
        <w:t>Caracteristici generale</w:t>
      </w:r>
      <w:bookmarkEnd w:id="69"/>
    </w:p>
    <w:p w:rsidR="004F2778" w:rsidRDefault="004F2778">
      <w:pPr>
        <w:pStyle w:val="IASBSectionTitle3Ind"/>
      </w:pPr>
      <w:bookmarkStart w:id="70" w:name="F3903128"/>
      <w:r>
        <w:t>Prezentarea fidelă şi conformitatea cu IFRS-urile</w:t>
      </w:r>
      <w:bookmarkEnd w:id="70"/>
    </w:p>
    <w:p w:rsidR="004F2778" w:rsidRDefault="004F2778">
      <w:pPr>
        <w:pStyle w:val="IASBNormalnpara"/>
        <w:rPr>
          <w:b/>
        </w:rPr>
      </w:pPr>
      <w:r>
        <w:rPr>
          <w:b/>
        </w:rPr>
        <w:t>15</w:t>
      </w:r>
      <w:r>
        <w:tab/>
      </w:r>
      <w:bookmarkStart w:id="71" w:name="F3903130"/>
      <w:r>
        <w:rPr>
          <w:b/>
        </w:rPr>
        <w:t xml:space="preserve">Situaţiile financiare trebuie să prezinte fidel poziţia financiară, performanţa financiară şi fluxurile de trezorerie ale unei entităţi. Prezentarea fidelă prevede reprezentarea exactă a efectelor tranzacţiilor, a altor evenimente şi condiţii, în conformitate cu definiţiile şi criteriile de recunoaştere pentru active, datorii, venituri şi cheltuieli stabilite în </w:t>
      </w:r>
      <w:r>
        <w:rPr>
          <w:b/>
          <w:i/>
        </w:rPr>
        <w:t>Cadrul general</w:t>
      </w:r>
      <w:r>
        <w:rPr>
          <w:b/>
        </w:rPr>
        <w:t>.</w:t>
      </w:r>
      <w:r>
        <w:rPr>
          <w:rStyle w:val="FootnoteReference"/>
        </w:rPr>
        <w:footnoteReference w:id="3"/>
      </w:r>
      <w:r>
        <w:rPr>
          <w:b/>
        </w:rPr>
        <w:t xml:space="preserve"> Se presupune că aplicarea IFRS-urilor, cu informaţii suplimentare prezentate atunci când este necesar, are drept rezultat situaţii financiare care realizează o prezentare fidelă.</w:t>
      </w:r>
      <w:bookmarkEnd w:id="71"/>
    </w:p>
    <w:p w:rsidR="004F2778" w:rsidRDefault="004F2778">
      <w:pPr>
        <w:pStyle w:val="IASBNormalnpara"/>
        <w:rPr>
          <w:b/>
        </w:rPr>
      </w:pPr>
      <w:r>
        <w:rPr>
          <w:b/>
        </w:rPr>
        <w:t>16</w:t>
      </w:r>
      <w:r>
        <w:tab/>
      </w:r>
      <w:bookmarkStart w:id="72" w:name="F3903132"/>
      <w:r>
        <w:rPr>
          <w:b/>
        </w:rPr>
        <w:t>O entitate ale cărei situaţii financiare sunt conforme cu IFRS-urile trebuie să prezinte în note o declaraţie explicită şi fără rezerve privind această conformitate. O entitate nu trebuie să descrie situaţiile financiare drept conforme cu IFRS-urile decât dacă ele satisfac toate dispoziţiile IFRS-urilor.</w:t>
      </w:r>
      <w:bookmarkEnd w:id="72"/>
    </w:p>
    <w:p w:rsidR="004F2778" w:rsidRDefault="004F2778">
      <w:pPr>
        <w:pStyle w:val="IASBNormalnpara"/>
      </w:pPr>
      <w:r>
        <w:t>17</w:t>
      </w:r>
      <w:r>
        <w:tab/>
      </w:r>
      <w:bookmarkStart w:id="73" w:name="F3903133"/>
      <w:r>
        <w:t>În aproape toate situaţiile, o entitate realizează o prezentare fidelă prin respectarea IFRS-urilor aplicabile. De asemenea, o prezentare fidelă impune unei entităţi:</w:t>
      </w:r>
      <w:bookmarkEnd w:id="73"/>
    </w:p>
    <w:p w:rsidR="004F2778" w:rsidRDefault="004F2778">
      <w:pPr>
        <w:pStyle w:val="IASBNormalnparaL1"/>
      </w:pPr>
      <w:r>
        <w:t>(a)</w:t>
      </w:r>
      <w:r>
        <w:tab/>
      </w:r>
      <w:bookmarkStart w:id="74" w:name="F3903136"/>
      <w:r>
        <w:t xml:space="preserve">să selecteze şi să aplice politicile contabile în conformitate cu IAS 8 </w:t>
      </w:r>
      <w:r>
        <w:rPr>
          <w:i/>
        </w:rPr>
        <w:t>Politici contabile, modificări ale estimărilor contabile şi erori</w:t>
      </w:r>
      <w:r>
        <w:t>. IAS 8 stabileşte o ierarhie de îndrumări cu valoare de normă pe care conducerea le ia în considerare în absenţa unui IFRS care se aplică în mod specific unui element.</w:t>
      </w:r>
      <w:bookmarkEnd w:id="74"/>
    </w:p>
    <w:p w:rsidR="004F2778" w:rsidRDefault="004F2778">
      <w:pPr>
        <w:pStyle w:val="IASBNormalnparaL1"/>
      </w:pPr>
      <w:r>
        <w:t>(b)</w:t>
      </w:r>
      <w:r>
        <w:tab/>
      </w:r>
      <w:bookmarkStart w:id="75" w:name="F3903138"/>
      <w:r>
        <w:t>să prezinte informaţii, inclusiv politicile contabile, într-o manieră care să ofere informaţii relevante, fiabile, comparabile şi inteligibile.</w:t>
      </w:r>
      <w:bookmarkEnd w:id="75"/>
    </w:p>
    <w:p w:rsidR="004F2778" w:rsidRDefault="004F2778">
      <w:pPr>
        <w:pStyle w:val="IASBNormalnparaL1"/>
      </w:pPr>
      <w:r>
        <w:t>(c)</w:t>
      </w:r>
      <w:r>
        <w:tab/>
      </w:r>
      <w:bookmarkStart w:id="76" w:name="F3903140"/>
      <w:r>
        <w:t>să ofere prezentări suplimentare de informaţii atunci când respectarea dispoziţiilor specifice din IFRS-uri este insuficientă pentru a le permite utilizatorilor să înţeleagă impactul anumitor tranzacţii, altor evenimente şi condiţii asupra poziţiei financiare şi performanţei financiare ale entităţii.</w:t>
      </w:r>
      <w:bookmarkEnd w:id="76"/>
    </w:p>
    <w:p w:rsidR="004F2778" w:rsidRDefault="004F2778">
      <w:pPr>
        <w:pStyle w:val="IASBNormalnpara"/>
        <w:rPr>
          <w:b/>
        </w:rPr>
      </w:pPr>
      <w:r>
        <w:rPr>
          <w:b/>
        </w:rPr>
        <w:t>18</w:t>
      </w:r>
      <w:r>
        <w:tab/>
      </w:r>
      <w:bookmarkStart w:id="77" w:name="F3903142"/>
      <w:r>
        <w:rPr>
          <w:b/>
        </w:rPr>
        <w:t>O entitate nu poate rectifica politicile contabile neadecvate nici prin prezentarea politicilor contabile utilizate, nici prin note sau materiale explicative.</w:t>
      </w:r>
      <w:bookmarkEnd w:id="77"/>
    </w:p>
    <w:p w:rsidR="004F2778" w:rsidRDefault="004F2778">
      <w:pPr>
        <w:pStyle w:val="IASBNormalnpara"/>
        <w:rPr>
          <w:b/>
        </w:rPr>
      </w:pPr>
      <w:r>
        <w:rPr>
          <w:b/>
        </w:rPr>
        <w:lastRenderedPageBreak/>
        <w:t>19</w:t>
      </w:r>
      <w:r>
        <w:tab/>
      </w:r>
      <w:bookmarkStart w:id="78" w:name="F3903143"/>
      <w:r>
        <w:rPr>
          <w:b/>
        </w:rPr>
        <w:t xml:space="preserve">În cazurile extrem de rare în care conducerea ajunge la concluzia că respectarea unei dispoziţii dintr-un IFRS ar induce atât de mult în eroare încât ar fi în contradicţie cu obiectivul situaţiilor financiare stabilit în </w:t>
      </w:r>
      <w:r>
        <w:rPr>
          <w:b/>
          <w:i/>
        </w:rPr>
        <w:t>Cadrul general</w:t>
      </w:r>
      <w:r>
        <w:rPr>
          <w:b/>
        </w:rPr>
        <w:t>, entitatea trebuie să se abată de la acea dispoziţie în maniera prezentată la punctul 20, în situația în care cadrul de reglementare relevant prevede o astfel de abatere sau nu o interzice în alt mod.</w:t>
      </w:r>
      <w:bookmarkEnd w:id="78"/>
    </w:p>
    <w:p w:rsidR="004F2778" w:rsidRDefault="004F2778">
      <w:pPr>
        <w:pStyle w:val="IASBNormalnpara"/>
        <w:rPr>
          <w:b/>
        </w:rPr>
      </w:pPr>
      <w:r>
        <w:rPr>
          <w:b/>
        </w:rPr>
        <w:t>20</w:t>
      </w:r>
      <w:r>
        <w:tab/>
      </w:r>
      <w:bookmarkStart w:id="79" w:name="F3903145"/>
      <w:r>
        <w:rPr>
          <w:b/>
        </w:rPr>
        <w:t>Atunci când o entitate se abate de la o dispoziţie a unui IFRS în conformitate cu punctul 19, ea trebuie să prezinte:</w:t>
      </w:r>
      <w:bookmarkEnd w:id="79"/>
    </w:p>
    <w:p w:rsidR="004F2778" w:rsidRDefault="004F2778">
      <w:pPr>
        <w:pStyle w:val="IASBNormalnparaL1"/>
      </w:pPr>
      <w:r>
        <w:rPr>
          <w:b/>
        </w:rPr>
        <w:t>(a)</w:t>
      </w:r>
      <w:r>
        <w:tab/>
      </w:r>
      <w:bookmarkStart w:id="80" w:name="F3903148"/>
      <w:r>
        <w:rPr>
          <w:b/>
        </w:rPr>
        <w:t>concluzia conducerii potrivit căreia situaţiile financiare prezintă fidel poziţia financiară, performanţa financiară şi fluxurile de trezorerie ale entităţii;</w:t>
      </w:r>
      <w:bookmarkEnd w:id="80"/>
    </w:p>
    <w:p w:rsidR="004F2778" w:rsidRDefault="004F2778">
      <w:pPr>
        <w:pStyle w:val="IASBNormalnparaL1"/>
      </w:pPr>
      <w:r>
        <w:rPr>
          <w:b/>
        </w:rPr>
        <w:t>(b)</w:t>
      </w:r>
      <w:r>
        <w:tab/>
      </w:r>
      <w:bookmarkStart w:id="81" w:name="F3903150"/>
      <w:r>
        <w:rPr>
          <w:b/>
        </w:rPr>
        <w:t>conformitatea cu IFRS-urile aplicabile, cu excepţia abaterii de la o anumită dispoziţie pentru realizarea unei prezentări fidele;</w:t>
      </w:r>
      <w:bookmarkEnd w:id="81"/>
    </w:p>
    <w:p w:rsidR="004F2778" w:rsidRDefault="004F2778">
      <w:pPr>
        <w:pStyle w:val="IASBNormalnparaL1"/>
      </w:pPr>
      <w:r>
        <w:rPr>
          <w:b/>
        </w:rPr>
        <w:t>(c)</w:t>
      </w:r>
      <w:r>
        <w:tab/>
      </w:r>
      <w:bookmarkStart w:id="82" w:name="F3903152"/>
      <w:r>
        <w:rPr>
          <w:b/>
        </w:rPr>
        <w:t xml:space="preserve">titlul IFRS-ului de la care s-a abătut entitatea, natura abaterii, inclusiv tratamentul pe care l-ar impune IFRS-ul, motivul pentru care tratamentul ar induce atât de mult în eroare în circumstanţele respective încât ar intra în conflict cu obiectivul situaţiilor financiare prevăzut în </w:t>
      </w:r>
      <w:r>
        <w:rPr>
          <w:b/>
          <w:i/>
        </w:rPr>
        <w:t>Cadrul general</w:t>
      </w:r>
      <w:r>
        <w:rPr>
          <w:b/>
        </w:rPr>
        <w:t xml:space="preserve"> şi tratamentul adoptat; și</w:t>
      </w:r>
      <w:bookmarkEnd w:id="82"/>
    </w:p>
    <w:p w:rsidR="004F2778" w:rsidRDefault="004F2778">
      <w:pPr>
        <w:pStyle w:val="IASBNormalnparaL1"/>
      </w:pPr>
      <w:r>
        <w:rPr>
          <w:b/>
        </w:rPr>
        <w:t>(d)</w:t>
      </w:r>
      <w:r>
        <w:tab/>
      </w:r>
      <w:bookmarkStart w:id="83" w:name="F3903155"/>
      <w:r>
        <w:rPr>
          <w:b/>
        </w:rPr>
        <w:t>pentru fiecare perioadă prezentată, impactul financiar al abaterii asupra fiecărui element din situaţiile financiare care ar fi fost raportat dacă s-ar fi respectat dispoziţia.</w:t>
      </w:r>
      <w:bookmarkEnd w:id="83"/>
    </w:p>
    <w:p w:rsidR="004F2778" w:rsidRDefault="004F2778">
      <w:pPr>
        <w:pStyle w:val="IASBNormalnpara"/>
        <w:rPr>
          <w:b/>
        </w:rPr>
      </w:pPr>
      <w:r>
        <w:rPr>
          <w:b/>
        </w:rPr>
        <w:t>21</w:t>
      </w:r>
      <w:r>
        <w:tab/>
      </w:r>
      <w:bookmarkStart w:id="84" w:name="F3903156"/>
      <w:r>
        <w:rPr>
          <w:b/>
        </w:rPr>
        <w:t>Atunci când o entitate s-a abătut de la o dispoziţie a unui IFRS într-o perioadă anterioară, iar acea abatere afectează sumele recunoscute în situaţiile financiare pentru perioada curentă, entitatea trebuie să prezinte informațiile prevăzute la punctul 20 literele (c) şi (d).</w:t>
      </w:r>
      <w:bookmarkEnd w:id="84"/>
    </w:p>
    <w:p w:rsidR="004F2778" w:rsidRDefault="004F2778">
      <w:pPr>
        <w:pStyle w:val="IASBNormalnpara"/>
      </w:pPr>
      <w:r>
        <w:t>22</w:t>
      </w:r>
      <w:r>
        <w:tab/>
      </w:r>
      <w:bookmarkStart w:id="85" w:name="F3903157"/>
      <w:r>
        <w:t>Punctul 21 se aplică, de exemplu, atunci când o entitate s-a abătut într-o perioadă anterioară de la o dispoziţie dintr-un IFRS pentru evaluarea activelor sau datoriilor, iar acea abatere afectează evaluarea modificărilor activelor şi datoriilor recunoscute în situaţiile financiare ale perioadei actuale.</w:t>
      </w:r>
      <w:bookmarkEnd w:id="85"/>
    </w:p>
    <w:p w:rsidR="004F2778" w:rsidRDefault="004F2778">
      <w:pPr>
        <w:pStyle w:val="IASBNormalnpara"/>
        <w:rPr>
          <w:b/>
        </w:rPr>
      </w:pPr>
      <w:r>
        <w:rPr>
          <w:b/>
        </w:rPr>
        <w:t>23</w:t>
      </w:r>
      <w:r>
        <w:tab/>
      </w:r>
      <w:bookmarkStart w:id="86" w:name="F3903158"/>
      <w:r>
        <w:rPr>
          <w:b/>
        </w:rPr>
        <w:t xml:space="preserve">În situaţiile extrem de rare în care conducerea ajunge la concluzia că respectarea unei dispoziţii dintr-un IFRS ar induce atât de mult în eroare încât ar fi în contradicţie cu obiectivul situaţiilor financiare stabilit în </w:t>
      </w:r>
      <w:r>
        <w:rPr>
          <w:b/>
          <w:i/>
        </w:rPr>
        <w:t>Cadrul general</w:t>
      </w:r>
      <w:r>
        <w:rPr>
          <w:b/>
        </w:rPr>
        <w:t>, dar cadrul de reglementare relevant interzice abaterea de la acea dispoziţie, entitatea trebuie să încerce pe cât posibil să reducă aspectele conformităţii care sunt percepute ca inducând în eroare, prezentând:</w:t>
      </w:r>
      <w:bookmarkEnd w:id="86"/>
    </w:p>
    <w:p w:rsidR="004F2778" w:rsidRDefault="004F2778">
      <w:pPr>
        <w:pStyle w:val="IASBNormalnparaL1"/>
      </w:pPr>
      <w:r>
        <w:rPr>
          <w:b/>
        </w:rPr>
        <w:t>(a)</w:t>
      </w:r>
      <w:r>
        <w:tab/>
      </w:r>
      <w:bookmarkStart w:id="87" w:name="F3903162"/>
      <w:r>
        <w:rPr>
          <w:b/>
        </w:rPr>
        <w:t xml:space="preserve">titlul IFRS-ului respectiv, natura dispoziţiei şi motivul pentru care conducerea a concluzionat că respectarea acelei dispoziţii induce atât de mult în eroare în circumstanţele respective încât intră în conflict cu obiectivul situaţiilor financiare prevăzut în </w:t>
      </w:r>
      <w:r>
        <w:rPr>
          <w:b/>
          <w:i/>
        </w:rPr>
        <w:t>Cadrul general</w:t>
      </w:r>
      <w:r>
        <w:rPr>
          <w:b/>
        </w:rPr>
        <w:t>; și</w:t>
      </w:r>
      <w:bookmarkEnd w:id="87"/>
    </w:p>
    <w:p w:rsidR="004F2778" w:rsidRDefault="004F2778">
      <w:pPr>
        <w:pStyle w:val="IASBNormalnparaL1"/>
      </w:pPr>
      <w:r>
        <w:rPr>
          <w:b/>
        </w:rPr>
        <w:t>(b)</w:t>
      </w:r>
      <w:r>
        <w:tab/>
      </w:r>
      <w:bookmarkStart w:id="88" w:name="F3903165"/>
      <w:r>
        <w:rPr>
          <w:b/>
        </w:rPr>
        <w:t>pentru fiecare perioadă prezentată, ajustările fiecărui element din situaţiile financiare pe care conducerea le-a considerat ca fiind necesare pentru obţinerea unei prezentări fidele.</w:t>
      </w:r>
      <w:bookmarkEnd w:id="88"/>
    </w:p>
    <w:p w:rsidR="004F2778" w:rsidRDefault="004F2778">
      <w:pPr>
        <w:pStyle w:val="IASBNormalnpara"/>
      </w:pPr>
      <w:r>
        <w:t>24</w:t>
      </w:r>
      <w:r>
        <w:tab/>
      </w:r>
      <w:bookmarkStart w:id="89" w:name="F3903175"/>
      <w:r>
        <w:t xml:space="preserve">În sensul punctelor 19-23, un element al informaţiilor este în contradicţie cu obiectivul situaţiilor financiare atunci când nu reprezintă exact tranzacţiile, alte evenimente şi condiţii pe care fie doreşte să le reprezinte, fie se aşteaptă în mod normal să le reprezinte şi, în consecinţă, ar putea să influenţeze deciziile economice adoptate de către utilizatorii situaţiilor financiare. Atunci când se evaluează măsura în care respectarea unei dispoziţii specifice dintr-un IFRS ar induce în eroare într-atât încât ar fi în contradicţie cu obiectivul situaţiilor financiare stabilit în </w:t>
      </w:r>
      <w:r>
        <w:rPr>
          <w:i/>
        </w:rPr>
        <w:t>Cadrul general</w:t>
      </w:r>
      <w:r>
        <w:t>, conducerea ia în considerare:</w:t>
      </w:r>
      <w:bookmarkEnd w:id="89"/>
    </w:p>
    <w:p w:rsidR="004F2778" w:rsidRDefault="004F2778">
      <w:pPr>
        <w:pStyle w:val="IASBNormalnparaL1"/>
      </w:pPr>
      <w:r>
        <w:t>(a)</w:t>
      </w:r>
      <w:r>
        <w:tab/>
      </w:r>
      <w:bookmarkStart w:id="90" w:name="F3903179"/>
      <w:r>
        <w:t>motivul pentru care obiectivul situaţiilor financiare nu este îndeplinit în acele circumstanţe specifice; și</w:t>
      </w:r>
      <w:bookmarkEnd w:id="90"/>
    </w:p>
    <w:p w:rsidR="004F2778" w:rsidRDefault="004F2778">
      <w:pPr>
        <w:pStyle w:val="IASBNormalnparaL1"/>
      </w:pPr>
      <w:r>
        <w:t>(b)</w:t>
      </w:r>
      <w:r>
        <w:tab/>
      </w:r>
      <w:bookmarkStart w:id="91" w:name="F3903181"/>
      <w:r>
        <w:t xml:space="preserve">modul în care circumstanţele dintr-o entitate se pot deosebi de cele din alte entităţi care respectă dispoziţia. Dacă alte entităţi respectă dispoziţia în circumstanţe similare, există o prezumţie relativă potrivit căreia respectarea dispoziţiei de către entitate nu ar induce în eroare într-atât încât să fie în contradicţie cu obiectivul situaţiilor financiare stabilit în </w:t>
      </w:r>
      <w:r>
        <w:rPr>
          <w:i/>
        </w:rPr>
        <w:t>Cadrul general.</w:t>
      </w:r>
      <w:bookmarkEnd w:id="91"/>
    </w:p>
    <w:p w:rsidR="004F2778" w:rsidRDefault="004F2778">
      <w:pPr>
        <w:pStyle w:val="IASBSectionTitle3Ind"/>
      </w:pPr>
      <w:bookmarkStart w:id="92" w:name="F4165884"/>
      <w:r>
        <w:t>Continuitatea activităţii</w:t>
      </w:r>
      <w:bookmarkEnd w:id="92"/>
    </w:p>
    <w:p w:rsidR="004F2778" w:rsidRDefault="004F2778">
      <w:pPr>
        <w:pStyle w:val="IASBNormalnpara"/>
        <w:rPr>
          <w:b/>
        </w:rPr>
      </w:pPr>
      <w:r>
        <w:rPr>
          <w:b/>
        </w:rPr>
        <w:t>25</w:t>
      </w:r>
      <w:r>
        <w:tab/>
      </w:r>
      <w:bookmarkStart w:id="93" w:name="F3903188"/>
      <w:r>
        <w:rPr>
          <w:b/>
        </w:rPr>
        <w:t xml:space="preserve">La întocmirea situaţiilor financiare, conducerea trebuie să evalueze capacitatea entităţii de a-şi continua activitatea. O entitate va întocmi situaţiile financiare pe baza continuităţii activităţii, cu excepţia cazului în care conducerea fie intenţionează să lichideze entitatea sau să înceteze activitatea, fie nu are o alternativă realistă decât să procedeze astfel. Atunci când, la efectuarea evaluării, conducerea este conştientă de incertitudini semnificative legate de evenimente sau condiţii care pot cauza îndoieli importante cu privire la capacitatea entităţii de a-şi continua activitatea, incertitudinile respective trebuie prezentate. Atunci când o entitate nu întocmeşte situaţiile financiare pe baza continuităţii activităţii, ea va prezenta acest fapt, împreună cu baza de întocmire a situaţiilor </w:t>
      </w:r>
      <w:r>
        <w:rPr>
          <w:b/>
        </w:rPr>
        <w:lastRenderedPageBreak/>
        <w:t>financiare şi motivul pentru care entitatea nu este considerată a fi în situaţia de a-şi continua activitatea.</w:t>
      </w:r>
      <w:bookmarkEnd w:id="93"/>
    </w:p>
    <w:p w:rsidR="004F2778" w:rsidRDefault="004F2778">
      <w:pPr>
        <w:pStyle w:val="IASBNormalnpara"/>
      </w:pPr>
      <w:r>
        <w:t>26</w:t>
      </w:r>
      <w:r>
        <w:tab/>
      </w:r>
      <w:bookmarkStart w:id="94" w:name="F3903189"/>
      <w:r>
        <w:t>Atunci când evaluează măsura în care este adecvată prezumţia continuităţii activităţii, conducerea ia în considerare toate informaţiile disponibile despre viitor, care reprezintă cel puţin o perioadă de douăsprezece luni de la finalul perioadei de raportare, dar fără a se limita la aceasta. Importanţa acordată depinde de fiecare caz în parte. Atunci când entitatea a avut o activitate profitabilă în trecut şi acces fără dificultăţi la resurse financiare, entitatea poate ajunge la concluzia că prezumţia continuităţii activităţii este adecvată, fără o analiză detaliată. În alte cazuri, conducerea poate fi nevoită să ia în considerare o gamă largă de factori care afectează profitabilitatea curentă şi anticipată, graficele de rambursare a datoriilor şi sursele potenţiale de înlocuire a finanţării existente înainte de a fi sigură că prezumţia continuităţii activităţii este adecvată.</w:t>
      </w:r>
      <w:bookmarkEnd w:id="94"/>
    </w:p>
    <w:p w:rsidR="004F2778" w:rsidRDefault="004F2778">
      <w:pPr>
        <w:pStyle w:val="IASBSectionTitle3Ind"/>
      </w:pPr>
      <w:bookmarkStart w:id="95" w:name="F3903190"/>
      <w:r>
        <w:t>Contabilitatea de angajamente</w:t>
      </w:r>
      <w:bookmarkEnd w:id="95"/>
    </w:p>
    <w:p w:rsidR="004F2778" w:rsidRDefault="004F2778">
      <w:pPr>
        <w:pStyle w:val="IASBNormalnpara"/>
        <w:rPr>
          <w:b/>
        </w:rPr>
      </w:pPr>
      <w:r>
        <w:rPr>
          <w:b/>
        </w:rPr>
        <w:t>27</w:t>
      </w:r>
      <w:r>
        <w:tab/>
      </w:r>
      <w:bookmarkStart w:id="96" w:name="F3903192"/>
      <w:r>
        <w:rPr>
          <w:b/>
        </w:rPr>
        <w:t>O entitate trebuie să îşi întocmească situaţiile financiare, cu excepţia informaţiilor privind fluxurile de trezorerie, folosind contabilitatea de angajamente.</w:t>
      </w:r>
      <w:bookmarkEnd w:id="96"/>
    </w:p>
    <w:p w:rsidR="004F2778" w:rsidRDefault="004F2778">
      <w:pPr>
        <w:pStyle w:val="IASBNormalnpara"/>
      </w:pPr>
      <w:r>
        <w:t>28</w:t>
      </w:r>
      <w:r>
        <w:tab/>
      </w:r>
      <w:bookmarkStart w:id="97" w:name="F3903193"/>
      <w:r>
        <w:t xml:space="preserve">Atunci când se foloseşte contabilitatea de angajamente, o entitate recunoaşte elementele drept active, datorii, capitaluri proprii, venituri şi cheltuieli (elementele situaţiilor financiare), atunci când acestea respectă definiţiile şi criteriile de recunoaştere pentru acele elemente din </w:t>
      </w:r>
      <w:r>
        <w:rPr>
          <w:i/>
        </w:rPr>
        <w:t>Cadrul general</w:t>
      </w:r>
      <w:r>
        <w:t>.</w:t>
      </w:r>
      <w:r>
        <w:rPr>
          <w:rStyle w:val="FootnoteReference"/>
        </w:rPr>
        <w:footnoteReference w:id="4"/>
      </w:r>
      <w:bookmarkEnd w:id="97"/>
    </w:p>
    <w:p w:rsidR="004F2778" w:rsidRDefault="004F2778">
      <w:pPr>
        <w:pStyle w:val="IASBSectionTitle3Ind"/>
      </w:pPr>
      <w:bookmarkStart w:id="98" w:name="F3903195"/>
      <w:r>
        <w:t>Pragul de semnificaţie şi agregarea</w:t>
      </w:r>
      <w:bookmarkEnd w:id="98"/>
    </w:p>
    <w:p w:rsidR="004F2778" w:rsidRDefault="004F2778">
      <w:pPr>
        <w:pStyle w:val="IASBNormalnpara"/>
        <w:rPr>
          <w:b/>
        </w:rPr>
      </w:pPr>
      <w:r>
        <w:rPr>
          <w:b/>
        </w:rPr>
        <w:t>29</w:t>
      </w:r>
      <w:r>
        <w:tab/>
      </w:r>
      <w:bookmarkStart w:id="99" w:name="F3903197"/>
      <w:r>
        <w:rPr>
          <w:b/>
        </w:rPr>
        <w:t>O entitate trebuie să prezinte separat fiecare clasă semnificativă de elemente similare. O entitate trebuie să prezinte separat elementele care au naturi sau funcţii diferite, cu excepţia cazului în care acestea sunt nesemnificative.</w:t>
      </w:r>
      <w:bookmarkEnd w:id="99"/>
    </w:p>
    <w:p w:rsidR="004F2778" w:rsidRDefault="004F2778">
      <w:pPr>
        <w:pStyle w:val="IASBNormalnpara"/>
      </w:pPr>
      <w:r>
        <w:t>30</w:t>
      </w:r>
      <w:r>
        <w:tab/>
      </w:r>
      <w:bookmarkStart w:id="100" w:name="F3903198"/>
      <w:r>
        <w:t>Situaţiile financiare rezultă din procesarea unui volum mare de tranzacţii sau alte evenimente care sunt agregate pe grupe conform naturii sau funcţiei lor. Etapa finală a procesului de agregare şi clasificare este prezentarea de date simplificate şi clasificate care formează elemente-rând în situaţiile financiare. Dacă un element-rând nu este semnificativ în mod individual, atunci el este agregat cu alte elemente fie în acele situaţii, fie în note. Un element care nu este suficient de semnificativ pentru a fi prezentat distinct în acele situaţii financiare poate fi totuşi prezentat distinct în note.</w:t>
      </w:r>
      <w:bookmarkEnd w:id="100"/>
    </w:p>
    <w:p w:rsidR="004F2778" w:rsidRDefault="004F2778">
      <w:pPr>
        <w:pStyle w:val="IASBNormalnpara"/>
      </w:pPr>
      <w:r>
        <w:t>30A</w:t>
      </w:r>
      <w:r>
        <w:tab/>
      </w:r>
      <w:bookmarkStart w:id="101" w:name="F38870967"/>
      <w:r>
        <w:t>Atunci când aplică prezentul IFRS și alte IFRS-uri, o entitate trebuie să decidă, pe baza tuturor faptelor și circumstanțelor relevante, cum va agrega informațiile în situațiile financiare, care includ notele. O entitate nu va reduce inteligibilitatea situațiilor sale financiare prin mascarea informațiilor semnificative cu ajutorul unor informații nesemnificative sau prin agregarea unor elemente semnificative care au naturi sau funcții diferite.</w:t>
      </w:r>
      <w:bookmarkEnd w:id="101"/>
    </w:p>
    <w:p w:rsidR="004F2778" w:rsidRDefault="004F2778">
      <w:pPr>
        <w:pStyle w:val="IASBNormalnpara"/>
      </w:pPr>
      <w:r>
        <w:t>31</w:t>
      </w:r>
      <w:r>
        <w:tab/>
      </w:r>
      <w:bookmarkStart w:id="102" w:name="F38869325"/>
      <w:r>
        <w:t>Unele IFRS-uri specifică informațiile care trebuie incluse în situaţiile financiare, care includ notele. O entitate nu trebuie să realizeze o prezentare specifică de informaţii prevăzută de un IFRS dacă informaţiile care rezultă din prezentarea respectivă sunt nesemnificative. Acest lucru este valabil chiar dacă IFRS-ul cuprinde o listă a dispoziţiilor specifice sau dacă le descrie ca fiind dispoziţii minime. O entitate trebuie să aibă în vedere și dacă să furnizeze informaţii suplimentare atunci când conformitatea cu dispoziţiile specifice din IFRS este insuficientă pentru a le permite utilizatorilor situațiilor financiare să înţeleagă impactul anumitor tranzacţii, al altor evenimente şi condiţii asupra poziţiei financiare şi performanţei financiare ale entităţii.</w:t>
      </w:r>
      <w:bookmarkEnd w:id="102"/>
    </w:p>
    <w:p w:rsidR="004F2778" w:rsidRDefault="004F2778">
      <w:pPr>
        <w:pStyle w:val="IASBSectionTitle3Ind"/>
      </w:pPr>
      <w:bookmarkStart w:id="103" w:name="F3903200"/>
      <w:r>
        <w:t>Compensare</w:t>
      </w:r>
      <w:bookmarkEnd w:id="103"/>
    </w:p>
    <w:p w:rsidR="004F2778" w:rsidRDefault="004F2778">
      <w:pPr>
        <w:pStyle w:val="IASBNormalnpara"/>
        <w:rPr>
          <w:b/>
        </w:rPr>
      </w:pPr>
      <w:r>
        <w:rPr>
          <w:b/>
        </w:rPr>
        <w:t>32</w:t>
      </w:r>
      <w:r>
        <w:tab/>
      </w:r>
      <w:bookmarkStart w:id="104" w:name="F3903202"/>
      <w:r>
        <w:rPr>
          <w:b/>
        </w:rPr>
        <w:t>O entitate nu trebuie să compenseze activele şi datoriile sau veniturile şi cheltuielile, cu excepţia cazului în care compensarea este prevăzută sau permisă de un IFRS.</w:t>
      </w:r>
      <w:bookmarkEnd w:id="104"/>
    </w:p>
    <w:p w:rsidR="004F2778" w:rsidRDefault="004F2778">
      <w:pPr>
        <w:pStyle w:val="IASBNormalnpara"/>
      </w:pPr>
      <w:r>
        <w:t>33</w:t>
      </w:r>
      <w:r>
        <w:tab/>
      </w:r>
      <w:bookmarkStart w:id="105" w:name="F3903203"/>
      <w:r>
        <w:t>O entitate va raporta distinct atât activele şi datoriile, cât şi veniturile şi cheltuielile. Compensarea în situaţia (situațiile) profitului sau pierderii și altor elemente ale rezultatului global sau în cea a poziţiei financiare, cu excepţia cazului în care compensarea reflectă fondul economic al tranzacţiei sau un alt eveniment, micşorează capacitatea utilizatorilor atât de a înţelege tranzacţiile, alte evenimente şi condiţii care au apărut, cât şi de a evalua fluxurile de trezorerie viitoare ale entităţii. Evaluarea activelor după deducerea ajustărilor pentru depreciere aferente – de exemplu, ajustările pentru uzura morală a stocurilor şi provizioanele pentru creanţe îndoielnice – nu reprezintă o compensare.</w:t>
      </w:r>
      <w:bookmarkEnd w:id="105"/>
    </w:p>
    <w:p w:rsidR="004F2778" w:rsidRDefault="004F2778">
      <w:pPr>
        <w:pStyle w:val="IASBNormalnpara"/>
      </w:pPr>
      <w:r>
        <w:lastRenderedPageBreak/>
        <w:t>34</w:t>
      </w:r>
      <w:r>
        <w:tab/>
      </w:r>
      <w:bookmarkStart w:id="106" w:name="F32652390"/>
      <w:r>
        <w:t xml:space="preserve">IFRS 15 </w:t>
      </w:r>
      <w:r>
        <w:rPr>
          <w:i/>
        </w:rPr>
        <w:t>Venituri din contractele cu clienții</w:t>
      </w:r>
      <w:r>
        <w:t xml:space="preserve"> prevede ca o entitate să evalueze veniturile din contractele cu clienții la valoarea contraprestaţiei la care entitatea estimează că va avea dreptul în schimbul transferării bunurilor sau serviciilor promise. De exemplu, valoarea veniturilor recunoscute reflectă orice reduceri comerciale şi rabaturi de cantitate acordate de entitate. O entitate efectuează, în cursul activităţilor sale curente, alte tranzacţii care nu generează venituri, dar care sunt ocazionate de principalele activităţi generatoare de venituri. O entitate prezintă rezultatele unor astfel de tranzacţii atunci când această prezentare reflectă fondul economic al tranzacţiei sau al evenimentului, prin compensarea oricăror venituri cu cheltuielile asociate care apar din aceeaşi tranzacţie. De exemplu:</w:t>
      </w:r>
      <w:bookmarkEnd w:id="106"/>
    </w:p>
    <w:p w:rsidR="004F2778" w:rsidRDefault="004F2778">
      <w:pPr>
        <w:pStyle w:val="IASBNormalnparaL1"/>
      </w:pPr>
      <w:r>
        <w:t>(a)</w:t>
      </w:r>
      <w:r>
        <w:tab/>
      </w:r>
      <w:bookmarkStart w:id="107" w:name="F32652406"/>
      <w:r>
        <w:t>o entitate prezintă câştigurile şi pierderile din cedarea activelor imobilizate, inclusiv investiţiile şi activele de exploatare, prin deducerea din valoarea contraprestaţiei din cedare a valorii contabile a activului şi a cheltuielilor de vânzare aferente; și</w:t>
      </w:r>
      <w:bookmarkEnd w:id="107"/>
    </w:p>
    <w:p w:rsidR="004F2778" w:rsidRDefault="004F2778">
      <w:pPr>
        <w:pStyle w:val="IASBNormalnparaL1"/>
      </w:pPr>
      <w:r>
        <w:t>(b)</w:t>
      </w:r>
      <w:r>
        <w:tab/>
      </w:r>
      <w:bookmarkStart w:id="108" w:name="F32652408"/>
      <w:r>
        <w:t xml:space="preserve">o entitate poate compensa cheltuielile legate de un provizion care este recunoscut în conformitate cu IAS 37 </w:t>
      </w:r>
      <w:r>
        <w:rPr>
          <w:i/>
        </w:rPr>
        <w:t>Provizioane, datorii contingente şi active contingente</w:t>
      </w:r>
      <w:r>
        <w:t xml:space="preserve"> şi rambursat în baza unui angajament contractual cu o parte terţă (de exemplu, angajamentul unui furnizor de a oferi garanţie) cu rambursările aferente.</w:t>
      </w:r>
      <w:bookmarkEnd w:id="108"/>
    </w:p>
    <w:p w:rsidR="004F2778" w:rsidRDefault="004F2778">
      <w:pPr>
        <w:pStyle w:val="IASBNormalnpara"/>
      </w:pPr>
      <w:r>
        <w:t>35</w:t>
      </w:r>
      <w:r>
        <w:tab/>
      </w:r>
      <w:bookmarkStart w:id="109" w:name="F3903212"/>
      <w:r>
        <w:t>În plus, o entitate prezintă pe o bază netă câştigurile şi pierderile care apar dintr-un grup de tranzacţii similare, de exemplu, câştigurile şi pierderile din diferenţele de curs valutar sau câştigurile şi pierderile aferente instrumentelor financiare deţinute în vederea tranzacţionării. Cu toate acestea, o entitate prezintă distinct astfel de câştiguri şi pierderi dacă sunt semnificative.</w:t>
      </w:r>
      <w:bookmarkEnd w:id="109"/>
    </w:p>
    <w:p w:rsidR="004F2778" w:rsidRDefault="004F2778">
      <w:pPr>
        <w:pStyle w:val="IASBSectionTitle3Ind"/>
      </w:pPr>
      <w:bookmarkStart w:id="110" w:name="F3903213"/>
      <w:r>
        <w:t>Frecvenţa raportării</w:t>
      </w:r>
      <w:bookmarkEnd w:id="110"/>
    </w:p>
    <w:p w:rsidR="004F2778" w:rsidRDefault="004F2778">
      <w:pPr>
        <w:pStyle w:val="IASBNormalnpara"/>
        <w:rPr>
          <w:b/>
        </w:rPr>
      </w:pPr>
      <w:r>
        <w:rPr>
          <w:b/>
        </w:rPr>
        <w:t>36</w:t>
      </w:r>
      <w:r>
        <w:tab/>
      </w:r>
      <w:bookmarkStart w:id="111" w:name="F3903215"/>
      <w:r>
        <w:rPr>
          <w:b/>
        </w:rPr>
        <w:t>O entitate trebuie să prezinte un set complet de situaţii financiare (inclusiv informaţiile comparative) cel puţin anual. Atunci când o entitate modifică finalul perioadei sale de raportare şi prezintă situaţii financiare pentru o perioadă mai lungă sau mai scurtă de un an, entitatea trebuie să prezinte, în plus faţă de perioada acoperită de situaţiile financiare:</w:t>
      </w:r>
      <w:bookmarkEnd w:id="111"/>
    </w:p>
    <w:p w:rsidR="004F2778" w:rsidRDefault="004F2778">
      <w:pPr>
        <w:pStyle w:val="IASBNormalnparaL1"/>
      </w:pPr>
      <w:r>
        <w:rPr>
          <w:b/>
        </w:rPr>
        <w:t>(a)</w:t>
      </w:r>
      <w:r>
        <w:tab/>
      </w:r>
      <w:bookmarkStart w:id="112" w:name="F3903218"/>
      <w:r>
        <w:rPr>
          <w:b/>
        </w:rPr>
        <w:t>motivul folosirii unei perioade mai lungi sau mai scurte şi</w:t>
      </w:r>
      <w:bookmarkEnd w:id="112"/>
    </w:p>
    <w:p w:rsidR="004F2778" w:rsidRDefault="004F2778">
      <w:pPr>
        <w:pStyle w:val="IASBNormalnparaL1"/>
      </w:pPr>
      <w:r>
        <w:rPr>
          <w:b/>
        </w:rPr>
        <w:t>(b)</w:t>
      </w:r>
      <w:r>
        <w:tab/>
      </w:r>
      <w:bookmarkStart w:id="113" w:name="F3903220"/>
      <w:r>
        <w:rPr>
          <w:b/>
        </w:rPr>
        <w:t>faptul că valorile prezentate în situaţiile financiare nu sunt pe deplin comparabile.</w:t>
      </w:r>
      <w:bookmarkEnd w:id="113"/>
    </w:p>
    <w:p w:rsidR="004F2778" w:rsidRDefault="004F2778">
      <w:pPr>
        <w:pStyle w:val="IASBNormalnpara"/>
      </w:pPr>
      <w:r>
        <w:t>37</w:t>
      </w:r>
      <w:r>
        <w:tab/>
      </w:r>
      <w:bookmarkStart w:id="114" w:name="F3903221"/>
      <w:r>
        <w:t>În mod normal, o entitate întocmeşte în mod consecvent situaţii financiare pentru o perioadă de un an. Totuşi, din motive practice, anumite entităţi preferă să raporteze, de exemplu, pentru o perioadă de 52 de săptămâni. Prezentul standard nu exclude această practică.</w:t>
      </w:r>
      <w:bookmarkEnd w:id="114"/>
    </w:p>
    <w:p w:rsidR="004F2778" w:rsidRDefault="004F2778">
      <w:pPr>
        <w:pStyle w:val="IASBSectionTitle3Ind"/>
      </w:pPr>
      <w:bookmarkStart w:id="115" w:name="F3903222"/>
      <w:r>
        <w:t>Informaţii comparative</w:t>
      </w:r>
      <w:bookmarkEnd w:id="115"/>
    </w:p>
    <w:p w:rsidR="004F2778" w:rsidRDefault="004F2778">
      <w:pPr>
        <w:pStyle w:val="IASBSectionTitle4Ind"/>
      </w:pPr>
      <w:bookmarkStart w:id="116" w:name="F18632222"/>
      <w:r>
        <w:t>Informaţii comparative minime</w:t>
      </w:r>
      <w:bookmarkEnd w:id="116"/>
    </w:p>
    <w:p w:rsidR="004F2778" w:rsidRDefault="004F2778">
      <w:pPr>
        <w:pStyle w:val="IASBNormalnpara"/>
        <w:rPr>
          <w:b/>
        </w:rPr>
      </w:pPr>
      <w:r>
        <w:rPr>
          <w:b/>
        </w:rPr>
        <w:t>38</w:t>
      </w:r>
      <w:r>
        <w:tab/>
      </w:r>
      <w:bookmarkStart w:id="117" w:name="F3903224"/>
      <w:r>
        <w:rPr>
          <w:b/>
        </w:rPr>
        <w:t>Cu excepţia cazului în care IFRS-urile permit sau prevăd altfel, o entitate trebuie să prezinte informaţiile comparative aferente perioadei precedente pentru toate valorile raportate în situaţiile financiare ale perioadei curente. O entitate trebuie să includă informaţii comparative pentru informaţiile narative şi descriptive dacă acestea sunt relevante pentru înţelegerea situaţiilor financiare ale perioadei curente.</w:t>
      </w:r>
      <w:bookmarkEnd w:id="117"/>
    </w:p>
    <w:p w:rsidR="004F2778" w:rsidRDefault="004F2778">
      <w:pPr>
        <w:pStyle w:val="IASBNormalnpara"/>
        <w:rPr>
          <w:b/>
        </w:rPr>
      </w:pPr>
      <w:r>
        <w:rPr>
          <w:b/>
        </w:rPr>
        <w:t>38A</w:t>
      </w:r>
      <w:r>
        <w:tab/>
      </w:r>
      <w:bookmarkStart w:id="118" w:name="F18632224"/>
      <w:r>
        <w:rPr>
          <w:b/>
        </w:rPr>
        <w:t>O entitate va prezenta cel puţin două situaţii ale poziţiei financiare, două situaţii ale profitului sau pierderii şi altor elemente ale rezultatului global, două situaţii individuale ale profitului sau pierderii (dacă se prezintă), două situaţii ale fluxurilor de trezorerie şi două situaţii ale modificărilor capitalurilor proprii, precum şi notele aferente.</w:t>
      </w:r>
      <w:bookmarkEnd w:id="118"/>
    </w:p>
    <w:p w:rsidR="004F2778" w:rsidRDefault="004F2778">
      <w:pPr>
        <w:pStyle w:val="IASBNormalnpara"/>
      </w:pPr>
      <w:r>
        <w:t>38B</w:t>
      </w:r>
      <w:r>
        <w:tab/>
      </w:r>
      <w:bookmarkStart w:id="119" w:name="F18632225"/>
      <w:r>
        <w:t>În unele cazuri, informaţiile narative furnizate de situaţiile financiare pentru perioada precedentă (perioadele precedente) continuă să fie relevante în perioada curentă. De exemplu, o entitate prezintă în perioada curentă detaliile privind un litigiu al cărui rezultat era nesigur la finalul perioadei precedente şi este încă nerezolvat. Utilizatorii pot beneficia de prezentări de informaţii care indică existenţa acelei incertitudini la finalul perioadei precedente şi de prezentări de informații privind măsurile care au fost luate pe parcursul perioadei pentru rezolvarea incertitudinii.</w:t>
      </w:r>
      <w:bookmarkEnd w:id="119"/>
    </w:p>
    <w:p w:rsidR="004F2778" w:rsidRDefault="004F2778">
      <w:pPr>
        <w:pStyle w:val="IASBSectionTitle4Ind"/>
      </w:pPr>
      <w:bookmarkStart w:id="120" w:name="F18632226"/>
      <w:r>
        <w:t>Informaţii comparative suplimentare</w:t>
      </w:r>
      <w:bookmarkEnd w:id="120"/>
    </w:p>
    <w:p w:rsidR="004F2778" w:rsidRDefault="004F2778">
      <w:pPr>
        <w:pStyle w:val="IASBNormalnpara"/>
      </w:pPr>
      <w:r>
        <w:t>38C</w:t>
      </w:r>
      <w:r>
        <w:tab/>
      </w:r>
      <w:bookmarkStart w:id="121" w:name="F18632231"/>
      <w:r>
        <w:t xml:space="preserve">O entitate poate prezenta informații comparative în plus față de situațiile financiare comparative minime impuse de IFRS-uri, atât timp cât informația este întocmită în conformitate cu IFRS-urile. Aceste informații comparative pot consta în una sau mai multe situații la care se face referire la punctul 10, dar nu este </w:t>
      </w:r>
      <w:r>
        <w:lastRenderedPageBreak/>
        <w:t>necesar să cuprindă un set complet de situații financiare. În acest caz, entitatea va prezenta informații în notele aferente privind acele situații suplimentare.</w:t>
      </w:r>
      <w:bookmarkEnd w:id="121"/>
    </w:p>
    <w:p w:rsidR="004F2778" w:rsidRDefault="004F2778">
      <w:pPr>
        <w:pStyle w:val="IASBNormalnpara"/>
      </w:pPr>
      <w:r>
        <w:t>38D</w:t>
      </w:r>
      <w:r>
        <w:tab/>
      </w:r>
      <w:bookmarkStart w:id="122" w:name="F18632232"/>
      <w:r>
        <w:t>De exemplu, o entitate poate prezenta o a treia situație a profitului sau pierderii și altor elemente ale rezultatului global (prezentând, prin urmare, perioada curentă, perioada precedentă și o perioadă comparativă suplimentară). Totuși, unei entități nu i se impune să prezinte o a treia situație a poziției financiare, o a treia situație a fluxurilor de trezorerie sau o a treia situație a modificărilor capitalurilor proprii (adică o situație financiară comparativă suplimentară). Unei entități i se impune să prezinte, în cadrul notelor la situațiile financiare, informații comparative aferente respectivei situații suplimentare a profitului sau pierderii și altor elemente ale rezultatului global.</w:t>
      </w:r>
      <w:bookmarkEnd w:id="122"/>
    </w:p>
    <w:p w:rsidR="004F2778" w:rsidRDefault="004F2778">
      <w:pPr>
        <w:pStyle w:val="IASBNormalnpara"/>
      </w:pPr>
      <w:r>
        <w:t>39–</w:t>
      </w:r>
    </w:p>
    <w:p w:rsidR="004F2778" w:rsidRDefault="004F2778">
      <w:pPr>
        <w:pStyle w:val="IASBNormalnparaC"/>
      </w:pPr>
      <w:r>
        <w:t>40</w:t>
      </w:r>
      <w:r>
        <w:tab/>
      </w:r>
      <w:bookmarkStart w:id="123" w:name="F3903225"/>
      <w:r>
        <w:t>[Eliminate]</w:t>
      </w:r>
      <w:bookmarkEnd w:id="123"/>
    </w:p>
    <w:p w:rsidR="004F2778" w:rsidRDefault="004F2778">
      <w:pPr>
        <w:pStyle w:val="IASBSectionTitle4Ind"/>
      </w:pPr>
      <w:bookmarkStart w:id="124" w:name="F18632233"/>
      <w:r>
        <w:t>Modificare în politica contabilă, retratare retroactivă sau reclasificare</w:t>
      </w:r>
      <w:bookmarkEnd w:id="124"/>
    </w:p>
    <w:p w:rsidR="004F2778" w:rsidRDefault="004F2778">
      <w:pPr>
        <w:pStyle w:val="IASBNormalnpara"/>
        <w:rPr>
          <w:b/>
        </w:rPr>
      </w:pPr>
      <w:r>
        <w:rPr>
          <w:b/>
        </w:rPr>
        <w:t>40A</w:t>
      </w:r>
      <w:r>
        <w:tab/>
      </w:r>
      <w:bookmarkStart w:id="125" w:name="F18632235"/>
      <w:r>
        <w:rPr>
          <w:b/>
        </w:rPr>
        <w:t>O entitate va prezenta o a treia situație a poziției financiare la începutul perioadei precedente în plus față de situațiile financiare comparative minime impuse la punctul 38A dacă:</w:t>
      </w:r>
      <w:bookmarkEnd w:id="125"/>
    </w:p>
    <w:p w:rsidR="004F2778" w:rsidRDefault="004F2778">
      <w:pPr>
        <w:pStyle w:val="IASBNormalnparaL1"/>
      </w:pPr>
      <w:r>
        <w:rPr>
          <w:b/>
        </w:rPr>
        <w:t>(a)</w:t>
      </w:r>
      <w:r>
        <w:tab/>
      </w:r>
      <w:bookmarkStart w:id="126" w:name="F18632238"/>
      <w:r>
        <w:rPr>
          <w:b/>
        </w:rPr>
        <w:t>aceasta aplică retroactiv o politică contabilă, realizează o retratare retroactivă a elementelor din situațiile sale financiare sau reclasifică elementele din situațiile sale financiare; și</w:t>
      </w:r>
      <w:bookmarkEnd w:id="126"/>
    </w:p>
    <w:p w:rsidR="004F2778" w:rsidRDefault="004F2778">
      <w:pPr>
        <w:pStyle w:val="IASBNormalnparaL1"/>
      </w:pPr>
      <w:r>
        <w:rPr>
          <w:b/>
        </w:rPr>
        <w:t>(b)</w:t>
      </w:r>
      <w:r>
        <w:tab/>
      </w:r>
      <w:bookmarkStart w:id="127" w:name="F18632241"/>
      <w:r>
        <w:rPr>
          <w:b/>
        </w:rPr>
        <w:t>aplicarea retroactivă, retratarea retroactivă sau reclasificarea are un efect semnificativ asupra informațiilor din situația poziției financiare la începutul perioadei precedente.</w:t>
      </w:r>
      <w:bookmarkEnd w:id="127"/>
    </w:p>
    <w:p w:rsidR="004F2778" w:rsidRDefault="004F2778">
      <w:pPr>
        <w:pStyle w:val="IASBNormalnpara"/>
      </w:pPr>
      <w:r>
        <w:t>40B</w:t>
      </w:r>
      <w:r>
        <w:tab/>
      </w:r>
      <w:bookmarkStart w:id="128" w:name="F18632243"/>
      <w:r>
        <w:t>În situațiile descrise la punctul 40A, o entitate va prezenta trei situații ale poziţiei financiare de la:</w:t>
      </w:r>
      <w:bookmarkEnd w:id="128"/>
    </w:p>
    <w:p w:rsidR="004F2778" w:rsidRDefault="004F2778">
      <w:pPr>
        <w:pStyle w:val="IASBNormalnparaL1"/>
      </w:pPr>
      <w:r>
        <w:t>(a)</w:t>
      </w:r>
      <w:r>
        <w:tab/>
      </w:r>
      <w:bookmarkStart w:id="129" w:name="F18632246"/>
      <w:r>
        <w:t>finalul perioadei curente;</w:t>
      </w:r>
      <w:bookmarkEnd w:id="129"/>
    </w:p>
    <w:p w:rsidR="004F2778" w:rsidRDefault="004F2778">
      <w:pPr>
        <w:pStyle w:val="IASBNormalnparaL1"/>
      </w:pPr>
      <w:r>
        <w:t>(b)</w:t>
      </w:r>
      <w:r>
        <w:tab/>
      </w:r>
      <w:bookmarkStart w:id="130" w:name="F18632248"/>
      <w:r>
        <w:t>finalul perioadei precedente; și</w:t>
      </w:r>
      <w:bookmarkEnd w:id="130"/>
    </w:p>
    <w:p w:rsidR="004F2778" w:rsidRDefault="004F2778">
      <w:pPr>
        <w:pStyle w:val="IASBNormalnparaL1"/>
      </w:pPr>
      <w:r>
        <w:t>(c)</w:t>
      </w:r>
      <w:r>
        <w:tab/>
      </w:r>
      <w:bookmarkStart w:id="131" w:name="F18632250"/>
      <w:r>
        <w:t>începutul perioadei precedente.</w:t>
      </w:r>
      <w:bookmarkEnd w:id="131"/>
    </w:p>
    <w:p w:rsidR="004F2778" w:rsidRDefault="004F2778">
      <w:pPr>
        <w:pStyle w:val="IASBNormalnpara"/>
      </w:pPr>
      <w:r>
        <w:t>40C</w:t>
      </w:r>
      <w:r>
        <w:tab/>
      </w:r>
      <w:bookmarkStart w:id="132" w:name="F18632251"/>
      <w:r>
        <w:t>Atunci când unei entități i se impune să prezinte o situație suplimentară a poziției financiare în conformitate cu punctul 40A, aceasta trebuie să prezinte informațiile prevăzute la punctele 41-44 și în IAS 8. Totuși, nu trebuie să prezinte notele aferente situației de deschidere a poziției financiare de la începutul perioadei precedente.</w:t>
      </w:r>
      <w:bookmarkEnd w:id="132"/>
    </w:p>
    <w:p w:rsidR="004F2778" w:rsidRDefault="004F2778">
      <w:pPr>
        <w:pStyle w:val="IASBNormalnpara"/>
      </w:pPr>
      <w:r>
        <w:t>40D</w:t>
      </w:r>
      <w:r>
        <w:tab/>
      </w:r>
      <w:bookmarkStart w:id="133" w:name="F18632252"/>
      <w:r>
        <w:t>Data situației de deschidere a poziției financiare va fi la începutul perioadei precedente indiferent dacă situațiile financiare ale unei entități prezintă informații comparative pentru perioade anterioare (așa cum se permite la punctul 38C).</w:t>
      </w:r>
      <w:bookmarkEnd w:id="133"/>
    </w:p>
    <w:p w:rsidR="004F2778" w:rsidRDefault="004F2778">
      <w:pPr>
        <w:pStyle w:val="IASBNormalnpara"/>
        <w:rPr>
          <w:b/>
        </w:rPr>
      </w:pPr>
      <w:r>
        <w:rPr>
          <w:b/>
        </w:rPr>
        <w:t>41</w:t>
      </w:r>
      <w:r>
        <w:tab/>
      </w:r>
      <w:bookmarkStart w:id="134" w:name="F3903234"/>
      <w:r>
        <w:rPr>
          <w:b/>
        </w:rPr>
        <w:t>Dacă o entitate modifică prezentarea sau clasificarea elementelor din situaţiile sale financiare, entitatea trebuie să reclasifice valorile comparative, dacă acest lucru nu este imposibil. Atunci când entitatea reclasifică valorile comparative, ea trebuie să prezinte (inclusiv la începutul perioadei precedente):</w:t>
      </w:r>
      <w:bookmarkEnd w:id="134"/>
    </w:p>
    <w:p w:rsidR="004F2778" w:rsidRDefault="004F2778">
      <w:pPr>
        <w:pStyle w:val="IASBNormalnparaL1"/>
      </w:pPr>
      <w:r>
        <w:rPr>
          <w:b/>
        </w:rPr>
        <w:t>(a)</w:t>
      </w:r>
      <w:r>
        <w:tab/>
      </w:r>
      <w:bookmarkStart w:id="135" w:name="F3903237"/>
      <w:r>
        <w:rPr>
          <w:b/>
        </w:rPr>
        <w:t>natura reclasificării;</w:t>
      </w:r>
      <w:bookmarkEnd w:id="135"/>
    </w:p>
    <w:p w:rsidR="004F2778" w:rsidRDefault="004F2778">
      <w:pPr>
        <w:pStyle w:val="IASBNormalnparaL1"/>
      </w:pPr>
      <w:r>
        <w:rPr>
          <w:b/>
        </w:rPr>
        <w:t>(b)</w:t>
      </w:r>
      <w:r>
        <w:tab/>
      </w:r>
      <w:bookmarkStart w:id="136" w:name="F3903239"/>
      <w:r>
        <w:rPr>
          <w:b/>
        </w:rPr>
        <w:t>valoarea fiecărui element sau a fiecărei clase de elemente care este reclasificat(ă); și</w:t>
      </w:r>
      <w:bookmarkEnd w:id="136"/>
    </w:p>
    <w:p w:rsidR="004F2778" w:rsidRDefault="004F2778">
      <w:pPr>
        <w:pStyle w:val="IASBNormalnparaL1"/>
      </w:pPr>
      <w:r>
        <w:rPr>
          <w:b/>
        </w:rPr>
        <w:t>(c)</w:t>
      </w:r>
      <w:r>
        <w:tab/>
      </w:r>
      <w:bookmarkStart w:id="137" w:name="F3903241"/>
      <w:r>
        <w:rPr>
          <w:b/>
        </w:rPr>
        <w:t>motivul reclasificării.</w:t>
      </w:r>
      <w:bookmarkEnd w:id="137"/>
    </w:p>
    <w:p w:rsidR="004F2778" w:rsidRDefault="004F2778">
      <w:pPr>
        <w:pStyle w:val="IASBNormalnpara"/>
        <w:rPr>
          <w:b/>
        </w:rPr>
      </w:pPr>
      <w:r>
        <w:rPr>
          <w:b/>
        </w:rPr>
        <w:t>42</w:t>
      </w:r>
      <w:r>
        <w:tab/>
      </w:r>
      <w:bookmarkStart w:id="138" w:name="F3903242"/>
      <w:r>
        <w:rPr>
          <w:b/>
        </w:rPr>
        <w:t>În situaţia în care reclasificarea valorilor comparative este imposibilă, o entitate trebuie să prezinte:</w:t>
      </w:r>
      <w:bookmarkEnd w:id="138"/>
    </w:p>
    <w:p w:rsidR="004F2778" w:rsidRDefault="004F2778">
      <w:pPr>
        <w:pStyle w:val="IASBNormalnparaL1"/>
      </w:pPr>
      <w:r>
        <w:rPr>
          <w:b/>
        </w:rPr>
        <w:t>(a)</w:t>
      </w:r>
      <w:r>
        <w:tab/>
      </w:r>
      <w:bookmarkStart w:id="139" w:name="F3903245"/>
      <w:r>
        <w:rPr>
          <w:b/>
        </w:rPr>
        <w:t>motivul pentru care sumele nu au fost reclasificate şi</w:t>
      </w:r>
      <w:bookmarkEnd w:id="139"/>
    </w:p>
    <w:p w:rsidR="004F2778" w:rsidRDefault="004F2778">
      <w:pPr>
        <w:pStyle w:val="IASBNormalnparaL1"/>
      </w:pPr>
      <w:r>
        <w:rPr>
          <w:b/>
        </w:rPr>
        <w:t>(b)</w:t>
      </w:r>
      <w:r>
        <w:tab/>
      </w:r>
      <w:bookmarkStart w:id="140" w:name="F3903247"/>
      <w:r>
        <w:rPr>
          <w:b/>
        </w:rPr>
        <w:t>natura ajustărilor care ar fi fost făcute dacă valorile ar fi fost reclasificate.</w:t>
      </w:r>
      <w:bookmarkEnd w:id="140"/>
    </w:p>
    <w:p w:rsidR="004F2778" w:rsidRDefault="004F2778">
      <w:pPr>
        <w:pStyle w:val="IASBNormalnpara"/>
      </w:pPr>
      <w:r>
        <w:t>43</w:t>
      </w:r>
      <w:r>
        <w:tab/>
      </w:r>
      <w:bookmarkStart w:id="141" w:name="F3903248"/>
      <w:r>
        <w:t>Creşterea comparabilităţii informaţiei între perioade ajută utilizatorii să ia decizii economice, în special prin faptul că permite evaluarea tendinţelor în informaţia financiară cu scopul de a face prognoze. În anumite circumstanţe, reclasificarea informaţiei comparative este imposibilă pentru o anumită perioadă anterioară pentru a obține comparabilitatea cu perioada curentă. De exemplu, s-ar putea ca în perioada anterioară (perioadele anterioare) entitatea să nu fi colectat datele într-o manieră care să permită reclasificarea şi s-ar putea ca reconstituirea informaţiilor să nu fie posibilă.</w:t>
      </w:r>
      <w:bookmarkEnd w:id="141"/>
    </w:p>
    <w:p w:rsidR="004F2778" w:rsidRDefault="004F2778">
      <w:pPr>
        <w:pStyle w:val="IASBNormalnpara"/>
      </w:pPr>
      <w:r>
        <w:t>44</w:t>
      </w:r>
      <w:r>
        <w:tab/>
      </w:r>
      <w:bookmarkStart w:id="142" w:name="F3903249"/>
      <w:r>
        <w:t>IAS 8 tratează ajustările informaţiilor comparative care sunt necesare în cazul în care o entitate modifică o politică contabilă sau corectează o eroare.</w:t>
      </w:r>
      <w:bookmarkEnd w:id="142"/>
    </w:p>
    <w:p w:rsidR="004F2778" w:rsidRDefault="004F2778">
      <w:pPr>
        <w:pStyle w:val="IASBSectionTitle3Ind"/>
      </w:pPr>
      <w:bookmarkStart w:id="143" w:name="F3903250"/>
      <w:r>
        <w:lastRenderedPageBreak/>
        <w:t>Consecvenţa prezentării</w:t>
      </w:r>
      <w:bookmarkEnd w:id="143"/>
    </w:p>
    <w:p w:rsidR="004F2778" w:rsidRDefault="004F2778">
      <w:pPr>
        <w:pStyle w:val="IASBNormalnpara"/>
        <w:rPr>
          <w:b/>
        </w:rPr>
      </w:pPr>
      <w:r>
        <w:rPr>
          <w:b/>
        </w:rPr>
        <w:t>45</w:t>
      </w:r>
      <w:r>
        <w:tab/>
      </w:r>
      <w:bookmarkStart w:id="144" w:name="F3903252"/>
      <w:r>
        <w:rPr>
          <w:b/>
        </w:rPr>
        <w:t>O entitate trebuie să menţină modul de prezentare şi clasificare a elementelor în situaţiile financiare de la o perioadă la alta, cu excepţia cazului când:</w:t>
      </w:r>
      <w:bookmarkEnd w:id="144"/>
    </w:p>
    <w:p w:rsidR="004F2778" w:rsidRDefault="004F2778">
      <w:pPr>
        <w:pStyle w:val="IASBNormalnparaL1"/>
      </w:pPr>
      <w:r>
        <w:rPr>
          <w:b/>
        </w:rPr>
        <w:t>(a)</w:t>
      </w:r>
      <w:r>
        <w:tab/>
      </w:r>
      <w:bookmarkStart w:id="145" w:name="F3903255"/>
      <w:r>
        <w:rPr>
          <w:b/>
        </w:rPr>
        <w:t>în urma unei modificări semnificative a naturii activităţilor entităţii sau în urma unei analize a situaţiilor sale financiare, este evident că ar fi mai potrivită o altă prezentare sau clasificare având în vedere criteriile de selecţie şi aplicare a politicilor contabile din IAS 8;</w:t>
      </w:r>
      <w:r>
        <w:t xml:space="preserve"> </w:t>
      </w:r>
      <w:r>
        <w:rPr>
          <w:b/>
        </w:rPr>
        <w:t>sau</w:t>
      </w:r>
      <w:bookmarkEnd w:id="145"/>
    </w:p>
    <w:p w:rsidR="004F2778" w:rsidRDefault="004F2778">
      <w:pPr>
        <w:pStyle w:val="IASBNormalnparaL1"/>
      </w:pPr>
      <w:r>
        <w:rPr>
          <w:b/>
        </w:rPr>
        <w:t>(b)</w:t>
      </w:r>
      <w:r>
        <w:tab/>
      </w:r>
      <w:bookmarkStart w:id="146" w:name="F3903260"/>
      <w:r>
        <w:rPr>
          <w:b/>
        </w:rPr>
        <w:t>un IFRS prevede o modificare a prezentării.</w:t>
      </w:r>
      <w:bookmarkEnd w:id="146"/>
    </w:p>
    <w:p w:rsidR="004F2778" w:rsidRDefault="004F2778">
      <w:pPr>
        <w:pStyle w:val="IASBNormalnpara"/>
      </w:pPr>
      <w:r>
        <w:t>46</w:t>
      </w:r>
      <w:r>
        <w:tab/>
      </w:r>
      <w:bookmarkStart w:id="147" w:name="F3903261"/>
      <w:r>
        <w:t>De exemplu, o achiziţie sau o cedare semnificativă ori o analiză a prezentării situaţiilor financiare poate sugera că situaţiile financiare trebuie prezentate diferit. O entitate modifică prezentarea situaţiilor sale financiare doar dacă noua prezentare oferă informaţii fiabile şi mai relevante pentru utilizatorii situaţiilor financiare şi dacă este probabilă utilizarea în continuare a acestei structuri revizuite astfel încât să nu fie afectată comparabilitatea. Atunci când se fac astfel de modificări ale prezentării, o entitate îşi reclasifică informaţiile comparative în conformitate cu punctele 41 şi 42.</w:t>
      </w:r>
      <w:bookmarkEnd w:id="147"/>
    </w:p>
    <w:p w:rsidR="004F2778" w:rsidRDefault="004F2778">
      <w:pPr>
        <w:pStyle w:val="IASBSectionTitle1NonInd"/>
      </w:pPr>
      <w:bookmarkStart w:id="148" w:name="F3903263"/>
      <w:r>
        <w:t>Structură şi conţinut</w:t>
      </w:r>
      <w:bookmarkEnd w:id="148"/>
    </w:p>
    <w:p w:rsidR="004F2778" w:rsidRDefault="004F2778">
      <w:pPr>
        <w:pStyle w:val="IASBSectionTitle2Ind"/>
      </w:pPr>
      <w:bookmarkStart w:id="149" w:name="F3903264"/>
      <w:r>
        <w:t>Introducere</w:t>
      </w:r>
      <w:bookmarkEnd w:id="149"/>
    </w:p>
    <w:p w:rsidR="004F2778" w:rsidRDefault="004F2778">
      <w:pPr>
        <w:pStyle w:val="IASBNormalnpara"/>
      </w:pPr>
      <w:r>
        <w:t>47</w:t>
      </w:r>
      <w:r>
        <w:tab/>
      </w:r>
      <w:bookmarkStart w:id="150" w:name="F3903266"/>
      <w:r>
        <w:t xml:space="preserve">Prezentul standard prevede ca anumite informaţii să fie prezentate în situaţia poziţiei financiare sau în situația (situațiile) profitului sau pierderii și altor elemente ale rezultatului global ori în situaţia modificărilor capitalurilor proprii şi prevede prezentarea altor elemente-rând fie în acele situaţii, fie în note. IAS 7 </w:t>
      </w:r>
      <w:r>
        <w:rPr>
          <w:i/>
        </w:rPr>
        <w:t>Situaţia fluxurilor de trezorerie</w:t>
      </w:r>
      <w:r>
        <w:t xml:space="preserve"> stabileşte dispoziţii pentru prezentarea informaţiilor privind fluxurile de trezorerie. </w:t>
      </w:r>
      <w:bookmarkEnd w:id="150"/>
    </w:p>
    <w:p w:rsidR="004F2778" w:rsidRDefault="004F2778">
      <w:pPr>
        <w:pStyle w:val="IASBNormalnpara"/>
      </w:pPr>
      <w:r>
        <w:t>48</w:t>
      </w:r>
      <w:r>
        <w:tab/>
      </w:r>
      <w:bookmarkStart w:id="151" w:name="F3903268"/>
      <w:r>
        <w:t>Prezentul standard utilizează uneori termenul „prezentare a informaţiilor” într-un sens larg, cuprinzând elementele prezentate în situaţiile financiare. Prezentările de informaţii sunt prevăzute şi de alte IFRS-uri. În cazul în care prezentul standard sau alt IFRS nu specifică contrariul, astfel de prezentări pot fi făcute în situaţiile financiare.</w:t>
      </w:r>
      <w:bookmarkEnd w:id="151"/>
    </w:p>
    <w:p w:rsidR="004F2778" w:rsidRDefault="004F2778">
      <w:pPr>
        <w:pStyle w:val="IASBSectionTitle2Ind"/>
      </w:pPr>
      <w:bookmarkStart w:id="152" w:name="F3903269"/>
      <w:r>
        <w:t>Identificarea situaţiilor financiare</w:t>
      </w:r>
      <w:bookmarkEnd w:id="152"/>
    </w:p>
    <w:p w:rsidR="004F2778" w:rsidRDefault="004F2778">
      <w:pPr>
        <w:pStyle w:val="IASBNormalnpara"/>
        <w:rPr>
          <w:b/>
        </w:rPr>
      </w:pPr>
      <w:r>
        <w:rPr>
          <w:b/>
        </w:rPr>
        <w:t>49</w:t>
      </w:r>
      <w:r>
        <w:tab/>
      </w:r>
      <w:bookmarkStart w:id="153" w:name="F3903271"/>
      <w:r>
        <w:rPr>
          <w:b/>
        </w:rPr>
        <w:t>O entitate trebuie să identifice clar situaţiile financiare, separându-le de alte informaţii din acelaşi document publicat.</w:t>
      </w:r>
      <w:bookmarkEnd w:id="153"/>
    </w:p>
    <w:p w:rsidR="004F2778" w:rsidRDefault="004F2778">
      <w:pPr>
        <w:pStyle w:val="IASBNormalnpara"/>
      </w:pPr>
      <w:r>
        <w:t>50</w:t>
      </w:r>
      <w:r>
        <w:tab/>
      </w:r>
      <w:bookmarkStart w:id="154" w:name="F3903272"/>
      <w:r>
        <w:t>IFRS-urile se aplică numai situaţiilor financiare, şi nu neapărat altor informaţii prezentate în raportul anual, într-un formular de reglementare sau în alt document. Prin urmare, este important ca utilizatorii să poată distinge informaţiile întocmite prin utilizarea IFRS-urilor de alte informaţii care le pot fi folositoare, dar nu fac obiectul acelor dispoziţii.</w:t>
      </w:r>
      <w:bookmarkEnd w:id="154"/>
    </w:p>
    <w:p w:rsidR="004F2778" w:rsidRDefault="004F2778">
      <w:pPr>
        <w:pStyle w:val="IASBNormalnpara"/>
        <w:rPr>
          <w:b/>
        </w:rPr>
      </w:pPr>
      <w:r>
        <w:rPr>
          <w:b/>
        </w:rPr>
        <w:t>51</w:t>
      </w:r>
      <w:r>
        <w:tab/>
      </w:r>
      <w:bookmarkStart w:id="155" w:name="F3903273"/>
      <w:r>
        <w:rPr>
          <w:b/>
        </w:rPr>
        <w:t>O entitate trebuie să identifice în mod clar fiecare situaţie financiară şi notele. În plus, o entitate trebuie să evidenţieze în mod special următoarele informaţii, pe care le va repeta atunci când sunt necesare înţelegerii corespunzătoare a informaţiilor prezentate:</w:t>
      </w:r>
      <w:bookmarkEnd w:id="155"/>
    </w:p>
    <w:p w:rsidR="004F2778" w:rsidRDefault="004F2778">
      <w:pPr>
        <w:pStyle w:val="IASBNormalnparaL1"/>
      </w:pPr>
      <w:r>
        <w:rPr>
          <w:b/>
        </w:rPr>
        <w:t>(a)</w:t>
      </w:r>
      <w:r>
        <w:tab/>
      </w:r>
      <w:bookmarkStart w:id="156" w:name="F3903276"/>
      <w:r>
        <w:rPr>
          <w:b/>
        </w:rPr>
        <w:t>denumirea entităţii raportoare sau alte mijloace de identificare şi orice modificare a acestor informaţii care a intervenit de la finalul perioadei precedente de raportare;</w:t>
      </w:r>
      <w:bookmarkEnd w:id="156"/>
    </w:p>
    <w:p w:rsidR="004F2778" w:rsidRDefault="004F2778">
      <w:pPr>
        <w:pStyle w:val="IASBNormalnparaL1"/>
      </w:pPr>
      <w:r>
        <w:rPr>
          <w:b/>
        </w:rPr>
        <w:t>(b)</w:t>
      </w:r>
      <w:r>
        <w:tab/>
      </w:r>
      <w:bookmarkStart w:id="157" w:name="F3903278"/>
      <w:r>
        <w:rPr>
          <w:b/>
        </w:rPr>
        <w:t>dacă situaţiile financiare se referă la entitatea individuală sau la un grup de entităţi;</w:t>
      </w:r>
      <w:bookmarkEnd w:id="157"/>
    </w:p>
    <w:p w:rsidR="004F2778" w:rsidRDefault="004F2778">
      <w:pPr>
        <w:pStyle w:val="IASBNormalnparaL1"/>
      </w:pPr>
      <w:r>
        <w:rPr>
          <w:b/>
        </w:rPr>
        <w:t>(c)</w:t>
      </w:r>
      <w:r>
        <w:tab/>
      </w:r>
      <w:bookmarkStart w:id="158" w:name="F3903292"/>
      <w:r>
        <w:rPr>
          <w:b/>
        </w:rPr>
        <w:t>data finalului perioadei de raportare sau perioada acoperită de setul de situaţii financiare sau de note;</w:t>
      </w:r>
      <w:bookmarkEnd w:id="158"/>
    </w:p>
    <w:p w:rsidR="004F2778" w:rsidRDefault="004F2778">
      <w:pPr>
        <w:pStyle w:val="IASBNormalnparaL1"/>
      </w:pPr>
      <w:r>
        <w:rPr>
          <w:b/>
        </w:rPr>
        <w:t>(d)</w:t>
      </w:r>
      <w:r>
        <w:tab/>
      </w:r>
      <w:bookmarkStart w:id="159" w:name="F3903294"/>
      <w:r>
        <w:rPr>
          <w:b/>
        </w:rPr>
        <w:t>moneda de prezentare, conform definiţiei din IAS 21; și</w:t>
      </w:r>
      <w:bookmarkEnd w:id="159"/>
    </w:p>
    <w:p w:rsidR="004F2778" w:rsidRDefault="004F2778">
      <w:pPr>
        <w:pStyle w:val="IASBNormalnparaL1"/>
      </w:pPr>
      <w:r>
        <w:rPr>
          <w:b/>
        </w:rPr>
        <w:t>(e)</w:t>
      </w:r>
      <w:r>
        <w:tab/>
      </w:r>
      <w:bookmarkStart w:id="160" w:name="F3903296"/>
      <w:r>
        <w:rPr>
          <w:b/>
        </w:rPr>
        <w:t>nivelul de rotunjire utilizat în prezentarea valorilor din situaţiile financiare.</w:t>
      </w:r>
      <w:bookmarkEnd w:id="160"/>
    </w:p>
    <w:p w:rsidR="004F2778" w:rsidRDefault="004F2778">
      <w:pPr>
        <w:pStyle w:val="IASBNormalnpara"/>
      </w:pPr>
      <w:r>
        <w:t>52</w:t>
      </w:r>
      <w:r>
        <w:tab/>
      </w:r>
      <w:bookmarkStart w:id="161" w:name="F3903297"/>
      <w:r>
        <w:t>O entitate îndeplineşte dispoziţiile de la punctul 51 prin prezentarea titlurilor adecvate ale paginilor, situaţiilor, notelor, coloanelor şi ale elementelor similare. La determinarea celei mai bune modalităţi de prezentare a acestor informaţii este nevoie de raţionament profesional. De exemplu, atunci când situaţiile financiare sunt prezentate electronic, nu sunt utilizate întotdeauna pagini distincte; o entitate prezintă elementele de mai sus astfel încât să asigure o înţelegere corespunzătoare a informaţiilor incluse în situaţiile financiare.</w:t>
      </w:r>
      <w:bookmarkEnd w:id="161"/>
    </w:p>
    <w:p w:rsidR="004F2778" w:rsidRDefault="004F2778">
      <w:pPr>
        <w:pStyle w:val="IASBNormalnpara"/>
      </w:pPr>
      <w:r>
        <w:lastRenderedPageBreak/>
        <w:t>53</w:t>
      </w:r>
      <w:r>
        <w:tab/>
      </w:r>
      <w:bookmarkStart w:id="162" w:name="F3903298"/>
      <w:r>
        <w:t>O entitate deseori facilitează înțelegerea situaţiilor financiare prin prezentarea informaţiilor în unităţi ale monedei de prezentare de ordinul miilor sau milioanelor. Acest fapt este acceptabil cât timp entitatea prezintă nivelul de rotunjire şi nu omite informaţiile semnificative.</w:t>
      </w:r>
      <w:bookmarkEnd w:id="162"/>
    </w:p>
    <w:p w:rsidR="004F2778" w:rsidRDefault="004F2778">
      <w:pPr>
        <w:pStyle w:val="IASBSectionTitle2Ind"/>
      </w:pPr>
      <w:bookmarkStart w:id="163" w:name="F3903299"/>
      <w:r>
        <w:t>Situaţia poziţiei financiare</w:t>
      </w:r>
      <w:bookmarkEnd w:id="163"/>
    </w:p>
    <w:p w:rsidR="004F2778" w:rsidRDefault="004F2778">
      <w:pPr>
        <w:pStyle w:val="IASBSectionTitle3Ind"/>
      </w:pPr>
      <w:bookmarkStart w:id="164" w:name="F3903301"/>
      <w:r>
        <w:t>Informaţii care trebuie prezentate în situaţia poziţiei financiare</w:t>
      </w:r>
      <w:bookmarkEnd w:id="164"/>
    </w:p>
    <w:p w:rsidR="004F2778" w:rsidRDefault="004F2778">
      <w:pPr>
        <w:pStyle w:val="IASBNormalnpara"/>
        <w:rPr>
          <w:b/>
        </w:rPr>
      </w:pPr>
      <w:r>
        <w:rPr>
          <w:b/>
        </w:rPr>
        <w:t>54</w:t>
      </w:r>
      <w:r>
        <w:tab/>
      </w:r>
      <w:bookmarkStart w:id="165" w:name="F32828585"/>
      <w:r>
        <w:rPr>
          <w:b/>
        </w:rPr>
        <w:t>Situaţia poziţiei financiare trebuie să cuprindă elementele-rând care prezintă următoarele valori:</w:t>
      </w:r>
      <w:bookmarkEnd w:id="165"/>
    </w:p>
    <w:p w:rsidR="004F2778" w:rsidRDefault="004F2778">
      <w:pPr>
        <w:pStyle w:val="IASBNormalnparaL1"/>
      </w:pPr>
      <w:r>
        <w:rPr>
          <w:b/>
        </w:rPr>
        <w:t>(a)</w:t>
      </w:r>
      <w:r>
        <w:tab/>
      </w:r>
      <w:bookmarkStart w:id="166" w:name="F32828588"/>
      <w:r>
        <w:rPr>
          <w:b/>
        </w:rPr>
        <w:t>imobilizări corporale;</w:t>
      </w:r>
      <w:bookmarkEnd w:id="166"/>
    </w:p>
    <w:p w:rsidR="004F2778" w:rsidRDefault="004F2778">
      <w:pPr>
        <w:pStyle w:val="IASBNormalnparaL1"/>
      </w:pPr>
      <w:r>
        <w:rPr>
          <w:b/>
        </w:rPr>
        <w:t>(b)</w:t>
      </w:r>
      <w:r>
        <w:tab/>
      </w:r>
      <w:bookmarkStart w:id="167" w:name="F32828593"/>
      <w:r>
        <w:rPr>
          <w:b/>
        </w:rPr>
        <w:t>investiţii imobiliare;</w:t>
      </w:r>
      <w:bookmarkEnd w:id="167"/>
    </w:p>
    <w:p w:rsidR="004F2778" w:rsidRDefault="004F2778">
      <w:pPr>
        <w:pStyle w:val="IASBNormalnparaL1"/>
      </w:pPr>
      <w:r>
        <w:rPr>
          <w:b/>
        </w:rPr>
        <w:t>(c)</w:t>
      </w:r>
      <w:r>
        <w:tab/>
      </w:r>
      <w:bookmarkStart w:id="168" w:name="F32828598"/>
      <w:r>
        <w:rPr>
          <w:b/>
        </w:rPr>
        <w:t>imobilizări necorporale;</w:t>
      </w:r>
      <w:bookmarkEnd w:id="168"/>
    </w:p>
    <w:p w:rsidR="004F2778" w:rsidRDefault="004F2778">
      <w:pPr>
        <w:pStyle w:val="IASBNormalnparaL1"/>
      </w:pPr>
      <w:r>
        <w:rPr>
          <w:b/>
        </w:rPr>
        <w:t>(d)</w:t>
      </w:r>
      <w:r>
        <w:tab/>
      </w:r>
      <w:bookmarkStart w:id="169" w:name="F32828603"/>
      <w:r>
        <w:rPr>
          <w:b/>
        </w:rPr>
        <w:t>active financiare (excluzând valorile de la literele (e), (h) şi (i));</w:t>
      </w:r>
      <w:bookmarkEnd w:id="169"/>
    </w:p>
    <w:p w:rsidR="004F2778" w:rsidRDefault="004F2778">
      <w:pPr>
        <w:pStyle w:val="IASBNormalnparaL1"/>
      </w:pPr>
      <w:r>
        <w:rPr>
          <w:b/>
        </w:rPr>
        <w:t>(e)</w:t>
      </w:r>
      <w:r>
        <w:tab/>
      </w:r>
      <w:bookmarkStart w:id="170" w:name="F32828609"/>
      <w:r>
        <w:rPr>
          <w:b/>
        </w:rPr>
        <w:t>investiţii contabilizate prin metoda punerii în echivalenţă;</w:t>
      </w:r>
      <w:bookmarkEnd w:id="170"/>
    </w:p>
    <w:p w:rsidR="004F2778" w:rsidRDefault="004F2778">
      <w:pPr>
        <w:pStyle w:val="IASBNormalnparaL1"/>
      </w:pPr>
      <w:r>
        <w:rPr>
          <w:b/>
        </w:rPr>
        <w:t>(f)</w:t>
      </w:r>
      <w:r>
        <w:tab/>
      </w:r>
      <w:bookmarkStart w:id="171" w:name="F32828615"/>
      <w:r>
        <w:rPr>
          <w:b/>
        </w:rPr>
        <w:t xml:space="preserve">activele biologice care intră sub incidenţa IAS 41 </w:t>
      </w:r>
      <w:r>
        <w:rPr>
          <w:b/>
          <w:i/>
        </w:rPr>
        <w:t>Agricultura</w:t>
      </w:r>
      <w:r>
        <w:rPr>
          <w:b/>
        </w:rPr>
        <w:t>;</w:t>
      </w:r>
      <w:bookmarkEnd w:id="171"/>
    </w:p>
    <w:p w:rsidR="004F2778" w:rsidRDefault="004F2778">
      <w:pPr>
        <w:pStyle w:val="IASBNormalnparaL1"/>
      </w:pPr>
      <w:r>
        <w:rPr>
          <w:b/>
        </w:rPr>
        <w:t>(g)</w:t>
      </w:r>
      <w:r>
        <w:tab/>
      </w:r>
      <w:bookmarkStart w:id="172" w:name="F32828621"/>
      <w:r>
        <w:rPr>
          <w:b/>
        </w:rPr>
        <w:t>stocuri;</w:t>
      </w:r>
      <w:bookmarkEnd w:id="172"/>
    </w:p>
    <w:p w:rsidR="004F2778" w:rsidRDefault="004F2778">
      <w:pPr>
        <w:pStyle w:val="IASBNormalnparaL1"/>
      </w:pPr>
      <w:r>
        <w:rPr>
          <w:b/>
        </w:rPr>
        <w:t>(h)</w:t>
      </w:r>
      <w:r>
        <w:tab/>
      </w:r>
      <w:bookmarkStart w:id="173" w:name="F32828627"/>
      <w:r>
        <w:rPr>
          <w:b/>
        </w:rPr>
        <w:t>creanţe comerciale şi similare;</w:t>
      </w:r>
      <w:bookmarkEnd w:id="173"/>
    </w:p>
    <w:p w:rsidR="004F2778" w:rsidRDefault="004F2778">
      <w:pPr>
        <w:pStyle w:val="IASBNormalnparaL1"/>
      </w:pPr>
      <w:r>
        <w:rPr>
          <w:b/>
        </w:rPr>
        <w:t>(i)</w:t>
      </w:r>
      <w:r>
        <w:tab/>
      </w:r>
      <w:bookmarkStart w:id="174" w:name="F32828630"/>
      <w:r>
        <w:rPr>
          <w:b/>
        </w:rPr>
        <w:t>numerar şi echivalente de numerar;</w:t>
      </w:r>
      <w:bookmarkEnd w:id="174"/>
    </w:p>
    <w:p w:rsidR="004F2778" w:rsidRDefault="004F2778">
      <w:pPr>
        <w:pStyle w:val="IASBNormalnparaL1"/>
      </w:pPr>
      <w:r>
        <w:rPr>
          <w:b/>
        </w:rPr>
        <w:t>(j)</w:t>
      </w:r>
      <w:r>
        <w:tab/>
      </w:r>
      <w:bookmarkStart w:id="175" w:name="F32828639"/>
      <w:r>
        <w:rPr>
          <w:b/>
        </w:rPr>
        <w:t xml:space="preserve">totalul activelor clasificate drept deţinute în vederea vânzării şi al activelor incluse în grupurile destinate cedării clasificate drept deţinute în vederea vânzării în conformitate cu IFRS 5 </w:t>
      </w:r>
      <w:r>
        <w:rPr>
          <w:b/>
          <w:i/>
        </w:rPr>
        <w:t>Active imobilizate deţinute în vederea vânzării şi activităţi întrerupte</w:t>
      </w:r>
      <w:r>
        <w:rPr>
          <w:b/>
        </w:rPr>
        <w:t>;</w:t>
      </w:r>
      <w:bookmarkEnd w:id="175"/>
    </w:p>
    <w:p w:rsidR="004F2778" w:rsidRDefault="004F2778">
      <w:pPr>
        <w:pStyle w:val="IASBNormalnparaL1"/>
      </w:pPr>
      <w:r>
        <w:rPr>
          <w:b/>
        </w:rPr>
        <w:t>(k)</w:t>
      </w:r>
      <w:r>
        <w:tab/>
      </w:r>
      <w:bookmarkStart w:id="176" w:name="F32828653"/>
      <w:r>
        <w:rPr>
          <w:b/>
        </w:rPr>
        <w:t>datorii comerciale şi similare;</w:t>
      </w:r>
      <w:bookmarkEnd w:id="176"/>
    </w:p>
    <w:p w:rsidR="004F2778" w:rsidRDefault="004F2778">
      <w:pPr>
        <w:pStyle w:val="IASBNormalnparaL1"/>
      </w:pPr>
      <w:r>
        <w:rPr>
          <w:b/>
        </w:rPr>
        <w:t>(l)</w:t>
      </w:r>
      <w:r>
        <w:tab/>
      </w:r>
      <w:bookmarkStart w:id="177" w:name="F32828656"/>
      <w:r>
        <w:rPr>
          <w:b/>
        </w:rPr>
        <w:t>provizioane;</w:t>
      </w:r>
      <w:bookmarkEnd w:id="177"/>
    </w:p>
    <w:p w:rsidR="004F2778" w:rsidRDefault="004F2778">
      <w:pPr>
        <w:pStyle w:val="IASBNormalnparaL1"/>
      </w:pPr>
      <w:r>
        <w:rPr>
          <w:b/>
        </w:rPr>
        <w:t>(m)</w:t>
      </w:r>
      <w:r>
        <w:tab/>
      </w:r>
      <w:bookmarkStart w:id="178" w:name="F32828662"/>
      <w:r>
        <w:rPr>
          <w:b/>
        </w:rPr>
        <w:t>datorii financiare (excluzând valorile de la literele (k) şi (l));</w:t>
      </w:r>
      <w:bookmarkEnd w:id="178"/>
    </w:p>
    <w:p w:rsidR="004F2778" w:rsidRDefault="004F2778">
      <w:pPr>
        <w:pStyle w:val="IASBNormalnparaL1"/>
      </w:pPr>
      <w:r>
        <w:rPr>
          <w:b/>
        </w:rPr>
        <w:t>(n)</w:t>
      </w:r>
      <w:r>
        <w:tab/>
      </w:r>
      <w:bookmarkStart w:id="179" w:name="F32828668"/>
      <w:r>
        <w:rPr>
          <w:b/>
        </w:rPr>
        <w:t xml:space="preserve">datorii şi creanţe privind impozitul curent, așa cum sunt definite în IAS 12 </w:t>
      </w:r>
      <w:r>
        <w:rPr>
          <w:b/>
          <w:i/>
        </w:rPr>
        <w:t>Impozitul pe profit</w:t>
      </w:r>
      <w:r>
        <w:rPr>
          <w:b/>
        </w:rPr>
        <w:t>;</w:t>
      </w:r>
      <w:bookmarkEnd w:id="179"/>
    </w:p>
    <w:p w:rsidR="004F2778" w:rsidRDefault="004F2778">
      <w:pPr>
        <w:pStyle w:val="IASBNormalnparaL1"/>
      </w:pPr>
      <w:r>
        <w:rPr>
          <w:b/>
        </w:rPr>
        <w:t>(o)</w:t>
      </w:r>
      <w:r>
        <w:tab/>
      </w:r>
      <w:bookmarkStart w:id="180" w:name="F32828676"/>
      <w:r>
        <w:rPr>
          <w:b/>
        </w:rPr>
        <w:t>datorii privind impozitul amânat şi creanţe privind impozitul amânat, așa cum sunt definite în IAS 12;</w:t>
      </w:r>
      <w:bookmarkEnd w:id="180"/>
    </w:p>
    <w:p w:rsidR="004F2778" w:rsidRDefault="004F2778">
      <w:pPr>
        <w:pStyle w:val="IASBNormalnparaL1"/>
      </w:pPr>
      <w:r>
        <w:rPr>
          <w:b/>
        </w:rPr>
        <w:t>(p)</w:t>
      </w:r>
      <w:r>
        <w:tab/>
      </w:r>
      <w:bookmarkStart w:id="181" w:name="F32828686"/>
      <w:r>
        <w:rPr>
          <w:b/>
        </w:rPr>
        <w:t>datorii incluse în grupurile destinate cedării clasificate drept deţinute în vederea vânzării în conformitate cu IFRS 5;</w:t>
      </w:r>
      <w:bookmarkEnd w:id="181"/>
    </w:p>
    <w:p w:rsidR="004F2778" w:rsidRDefault="004F2778">
      <w:pPr>
        <w:pStyle w:val="IASBNormalnparaL1"/>
      </w:pPr>
      <w:r>
        <w:rPr>
          <w:b/>
        </w:rPr>
        <w:t>(q)</w:t>
      </w:r>
      <w:r>
        <w:tab/>
      </w:r>
      <w:bookmarkStart w:id="182" w:name="F32828696"/>
      <w:r>
        <w:rPr>
          <w:b/>
        </w:rPr>
        <w:t>interese care nu controlează, prezentate în cadrul capitalurilor proprii; și</w:t>
      </w:r>
      <w:bookmarkEnd w:id="182"/>
    </w:p>
    <w:p w:rsidR="004F2778" w:rsidRDefault="004F2778">
      <w:pPr>
        <w:pStyle w:val="IASBNormalnparaL1"/>
      </w:pPr>
      <w:r>
        <w:rPr>
          <w:b/>
        </w:rPr>
        <w:t>(r)</w:t>
      </w:r>
      <w:r>
        <w:tab/>
      </w:r>
      <w:bookmarkStart w:id="183" w:name="F32828702"/>
      <w:r>
        <w:rPr>
          <w:b/>
        </w:rPr>
        <w:t>capital emis şi rezerve atribuibile proprietarilor societăţii-mamă.</w:t>
      </w:r>
      <w:bookmarkEnd w:id="183"/>
    </w:p>
    <w:p w:rsidR="004F2778" w:rsidRDefault="004F2778">
      <w:pPr>
        <w:pStyle w:val="IASBNormalnpara"/>
        <w:rPr>
          <w:b/>
        </w:rPr>
      </w:pPr>
      <w:r>
        <w:rPr>
          <w:b/>
        </w:rPr>
        <w:t>55</w:t>
      </w:r>
      <w:r>
        <w:tab/>
      </w:r>
      <w:bookmarkStart w:id="184" w:name="F38869436"/>
      <w:r>
        <w:rPr>
          <w:b/>
        </w:rPr>
        <w:t>O entitate trebuie să prezinte elemente-rând suplimentare (inclusiv prin dezagregarea elementelor-rând prezentate la punctul 54), titluri şi subtotaluri în situaţia poziţiei financiare atunci când o astfel de prezentare este relevantă pentru înţelegerea poziţiei financiare a entităţii.</w:t>
      </w:r>
      <w:bookmarkEnd w:id="184"/>
    </w:p>
    <w:p w:rsidR="004F2778" w:rsidRDefault="004F2778">
      <w:pPr>
        <w:pStyle w:val="IASBNormalnpara"/>
      </w:pPr>
      <w:r>
        <w:t>55A</w:t>
      </w:r>
      <w:r>
        <w:tab/>
      </w:r>
      <w:bookmarkStart w:id="185" w:name="F38870968"/>
      <w:r>
        <w:t>Atunci când o entitate prezintă subtotaluri în conformitate cu punctul 55, aceste subtotaluri trebuie:</w:t>
      </w:r>
      <w:bookmarkEnd w:id="185"/>
    </w:p>
    <w:p w:rsidR="004F2778" w:rsidRDefault="004F2778">
      <w:pPr>
        <w:pStyle w:val="IASBNormalnparaL1"/>
      </w:pPr>
      <w:r>
        <w:t>(a)</w:t>
      </w:r>
      <w:r>
        <w:tab/>
      </w:r>
      <w:bookmarkStart w:id="186" w:name="F38870971"/>
      <w:r>
        <w:t>să fie compuse din elemente-rând formate din valori recunoscute și evaluate în conformitate cu IFRS;</w:t>
      </w:r>
      <w:bookmarkEnd w:id="186"/>
    </w:p>
    <w:p w:rsidR="004F2778" w:rsidRDefault="004F2778">
      <w:pPr>
        <w:pStyle w:val="IASBNormalnparaL1"/>
      </w:pPr>
      <w:r>
        <w:t>(b)</w:t>
      </w:r>
      <w:r>
        <w:tab/>
      </w:r>
      <w:bookmarkStart w:id="187" w:name="F38870973"/>
      <w:r>
        <w:t>să fie prezentate și etichetate într-o manieră care face ca elementele-rând ce formează subtotalul să fie clare și inteligibile;</w:t>
      </w:r>
      <w:bookmarkEnd w:id="187"/>
    </w:p>
    <w:p w:rsidR="004F2778" w:rsidRDefault="004F2778">
      <w:pPr>
        <w:pStyle w:val="IASBNormalnparaL1"/>
      </w:pPr>
      <w:r>
        <w:t>(c)</w:t>
      </w:r>
      <w:r>
        <w:tab/>
      </w:r>
      <w:bookmarkStart w:id="188" w:name="F38870975"/>
      <w:r>
        <w:t>să fie consecvente de la o perioadă la alta, în conformitate cu punctul 45; și</w:t>
      </w:r>
      <w:bookmarkEnd w:id="188"/>
    </w:p>
    <w:p w:rsidR="004F2778" w:rsidRDefault="004F2778">
      <w:pPr>
        <w:pStyle w:val="IASBNormalnparaL1"/>
      </w:pPr>
      <w:r>
        <w:t>(d)</w:t>
      </w:r>
      <w:r>
        <w:tab/>
      </w:r>
      <w:bookmarkStart w:id="189" w:name="F38870977"/>
      <w:r>
        <w:t>să nu fie prezentate mai proeminent decât subtotalurile și totalurile impuse de IFRS pentru situaţia poziţiei financiare.</w:t>
      </w:r>
      <w:bookmarkEnd w:id="189"/>
    </w:p>
    <w:p w:rsidR="004F2778" w:rsidRDefault="004F2778">
      <w:pPr>
        <w:pStyle w:val="IASBNormalnpara"/>
        <w:rPr>
          <w:b/>
        </w:rPr>
      </w:pPr>
      <w:r>
        <w:rPr>
          <w:b/>
        </w:rPr>
        <w:t>56</w:t>
      </w:r>
      <w:r>
        <w:tab/>
      </w:r>
      <w:bookmarkStart w:id="190" w:name="F3903350"/>
      <w:r>
        <w:rPr>
          <w:b/>
        </w:rPr>
        <w:t>Atunci când o entitate prezintă active circulante şi imobilizate şi datorii curente şi pe termen lung clasificate distinct în situaţia poziţiei sale financiare, aceasta nu trebuie să clasifice creanţele (datoriile) privind impozitul amânat drept active circulante (datorii curente).</w:t>
      </w:r>
      <w:bookmarkEnd w:id="190"/>
    </w:p>
    <w:p w:rsidR="004F2778" w:rsidRDefault="004F2778">
      <w:pPr>
        <w:pStyle w:val="IASBNormalnpara"/>
      </w:pPr>
      <w:r>
        <w:t>57</w:t>
      </w:r>
      <w:r>
        <w:tab/>
      </w:r>
      <w:bookmarkStart w:id="191" w:name="F3903351"/>
      <w:r>
        <w:t>Prezentul standard nu prescrie ordinea sau formatul în care o entitate prezintă elementele. Punctul 54 prezintă doar o listă a elementelor care sunt suficient de diferite ca natură sau funcţie încât merită o prezentare distinctă în situaţia poziţiei financiare. În plus:</w:t>
      </w:r>
      <w:bookmarkEnd w:id="191"/>
    </w:p>
    <w:p w:rsidR="004F2778" w:rsidRDefault="004F2778">
      <w:pPr>
        <w:pStyle w:val="IASBNormalnparaL1"/>
      </w:pPr>
      <w:r>
        <w:lastRenderedPageBreak/>
        <w:t>(a)</w:t>
      </w:r>
      <w:r>
        <w:tab/>
      </w:r>
      <w:bookmarkStart w:id="192" w:name="F3903354"/>
      <w:r>
        <w:t>elementele-rând sunt incluse atunci când dimensiunea, natura sau funcţia unui element sau a unei agregări de elemente similare este astfel încât prezentarea separată este relevantă pentru înţelegerea poziţiei financiare a entităţii; și</w:t>
      </w:r>
      <w:bookmarkEnd w:id="192"/>
    </w:p>
    <w:p w:rsidR="004F2778" w:rsidRDefault="004F2778">
      <w:pPr>
        <w:pStyle w:val="IASBNormalnparaL1"/>
      </w:pPr>
      <w:r>
        <w:t>(b)</w:t>
      </w:r>
      <w:r>
        <w:tab/>
      </w:r>
      <w:bookmarkStart w:id="193" w:name="F3903356"/>
      <w:r>
        <w:t>descrierile utilizate şi ordonarea elementelor sau agregarea de elemente similare pot fi modificate conform naturii entităţii şi tranzacţiilor acesteia, pentru a oferi informaţii relevante pentru înţelegerea poziţiei financiare a entităţii. De exemplu, o instituţie financiară poate modifica descrierile de mai sus pentru a oferi informaţii relevante pentru operaţiunile unei instituţii financiare.</w:t>
      </w:r>
      <w:bookmarkEnd w:id="193"/>
    </w:p>
    <w:p w:rsidR="004F2778" w:rsidRDefault="004F2778">
      <w:pPr>
        <w:pStyle w:val="IASBNormalnpara"/>
      </w:pPr>
      <w:r>
        <w:t>58</w:t>
      </w:r>
      <w:r>
        <w:tab/>
      </w:r>
      <w:bookmarkStart w:id="194" w:name="F3903357"/>
      <w:r>
        <w:t>O entitate va elabora raţionamentul cu privire la prezentarea elementelor în mod distinct pe baza evaluării:</w:t>
      </w:r>
      <w:bookmarkEnd w:id="194"/>
    </w:p>
    <w:p w:rsidR="004F2778" w:rsidRDefault="004F2778">
      <w:pPr>
        <w:pStyle w:val="IASBNormalnparaL1"/>
      </w:pPr>
      <w:r>
        <w:t>(a)</w:t>
      </w:r>
      <w:r>
        <w:tab/>
      </w:r>
      <w:bookmarkStart w:id="195" w:name="F3903360"/>
      <w:r>
        <w:t>naturii şi lichidităţii activelor;</w:t>
      </w:r>
      <w:bookmarkEnd w:id="195"/>
    </w:p>
    <w:p w:rsidR="004F2778" w:rsidRDefault="004F2778">
      <w:pPr>
        <w:pStyle w:val="IASBNormalnparaL1"/>
      </w:pPr>
      <w:r>
        <w:t>(b)</w:t>
      </w:r>
      <w:r>
        <w:tab/>
      </w:r>
      <w:bookmarkStart w:id="196" w:name="F3903362"/>
      <w:r>
        <w:t>funcţiei activelor în cadrul entităţii; și</w:t>
      </w:r>
      <w:bookmarkEnd w:id="196"/>
    </w:p>
    <w:p w:rsidR="004F2778" w:rsidRDefault="004F2778">
      <w:pPr>
        <w:pStyle w:val="IASBNormalnparaL1"/>
      </w:pPr>
      <w:r>
        <w:t>(c)</w:t>
      </w:r>
      <w:r>
        <w:tab/>
      </w:r>
      <w:bookmarkStart w:id="197" w:name="F3903364"/>
      <w:r>
        <w:t>valorilor, naturii şi scadenţei datoriilor.</w:t>
      </w:r>
      <w:bookmarkEnd w:id="197"/>
    </w:p>
    <w:p w:rsidR="004F2778" w:rsidRDefault="004F2778">
      <w:pPr>
        <w:pStyle w:val="IASBNormalnpara"/>
      </w:pPr>
      <w:r>
        <w:t>59</w:t>
      </w:r>
      <w:r>
        <w:tab/>
      </w:r>
      <w:bookmarkStart w:id="198" w:name="F3903365"/>
      <w:r>
        <w:t>Utilizarea diferitelor baze de evaluare pentru diferitele clase de active sugerează faptul că natura sau funcţia acestora diferă şi, prin urmare, că o entitate le prezintă drept elemente-rând distincte. De exemplu, clasele diferite de imobilizări corporale pot fi înregistrate la cost sau la valorile reevaluate în conformitate cu IAS 16.</w:t>
      </w:r>
      <w:bookmarkEnd w:id="198"/>
    </w:p>
    <w:p w:rsidR="004F2778" w:rsidRDefault="004F2778">
      <w:pPr>
        <w:pStyle w:val="IASBSectionTitle3Ind"/>
      </w:pPr>
      <w:bookmarkStart w:id="199" w:name="F3903366"/>
      <w:r>
        <w:t>Distincţia activ circulant/imobilizat, respectiv datorie curentă / pe termen lung</w:t>
      </w:r>
      <w:bookmarkEnd w:id="199"/>
    </w:p>
    <w:p w:rsidR="004F2778" w:rsidRDefault="004F2778">
      <w:pPr>
        <w:pStyle w:val="IASBNormalnpara"/>
        <w:rPr>
          <w:b/>
        </w:rPr>
      </w:pPr>
      <w:r>
        <w:rPr>
          <w:b/>
        </w:rPr>
        <w:t>60</w:t>
      </w:r>
      <w:r>
        <w:tab/>
      </w:r>
      <w:bookmarkStart w:id="200" w:name="F3903368"/>
      <w:r>
        <w:rPr>
          <w:b/>
        </w:rPr>
        <w:t>O entitate trebuie să prezinte activele circulante şi cele imobilizate, precum şi datoriile curente şi cele pe termen lung drept clasificări distincte în situaţia poziţiei financiare în conformitate cu punctele 66-76, cu excepţia cazului în care o prezentare bazată pe lichiditate oferă informaţii care sunt fiabile şi mai relevante. Atunci când se aplică această excepţie, o entitate trebuie să prezinte toate activele şi datoriile în ordinea lichidităţii.</w:t>
      </w:r>
      <w:bookmarkEnd w:id="200"/>
    </w:p>
    <w:p w:rsidR="004F2778" w:rsidRDefault="004F2778">
      <w:pPr>
        <w:pStyle w:val="IASBNormalnpara"/>
        <w:rPr>
          <w:b/>
        </w:rPr>
      </w:pPr>
      <w:r>
        <w:rPr>
          <w:b/>
        </w:rPr>
        <w:t>61</w:t>
      </w:r>
      <w:r>
        <w:tab/>
      </w:r>
      <w:bookmarkStart w:id="201" w:name="F3903369"/>
      <w:r>
        <w:rPr>
          <w:b/>
        </w:rPr>
        <w:t>Indiferent de metoda de prezentare adoptată, o entitate trebuie să prezinte valoarea pe care se aşteaptă să o recupereze sau să o deconteze după o perioadă mai mare de douăsprezece luni pentru fiecare element-rând de activ sau datorie care combină valori ce se preconizează că vor fi recuperate sau decontate:</w:t>
      </w:r>
      <w:bookmarkEnd w:id="201"/>
    </w:p>
    <w:p w:rsidR="004F2778" w:rsidRDefault="004F2778">
      <w:pPr>
        <w:pStyle w:val="IASBNormalnparaL1"/>
      </w:pPr>
      <w:r>
        <w:rPr>
          <w:b/>
        </w:rPr>
        <w:t>(a)</w:t>
      </w:r>
      <w:r>
        <w:tab/>
      </w:r>
      <w:bookmarkStart w:id="202" w:name="F3903372"/>
      <w:r>
        <w:rPr>
          <w:b/>
        </w:rPr>
        <w:t>într-un interval de până la douăsprezece luni după perioada de raportare şi</w:t>
      </w:r>
      <w:bookmarkEnd w:id="202"/>
    </w:p>
    <w:p w:rsidR="004F2778" w:rsidRDefault="004F2778">
      <w:pPr>
        <w:pStyle w:val="IASBNormalnparaL1"/>
      </w:pPr>
      <w:r>
        <w:rPr>
          <w:b/>
        </w:rPr>
        <w:t>(b)</w:t>
      </w:r>
      <w:r>
        <w:tab/>
      </w:r>
      <w:bookmarkStart w:id="203" w:name="F3903374"/>
      <w:r>
        <w:rPr>
          <w:b/>
        </w:rPr>
        <w:t>într-un interval de peste douăsprezece luni după perioada de raportare.</w:t>
      </w:r>
      <w:bookmarkEnd w:id="203"/>
    </w:p>
    <w:p w:rsidR="004F2778" w:rsidRDefault="004F2778">
      <w:pPr>
        <w:pStyle w:val="IASBNormalnpara"/>
      </w:pPr>
      <w:r>
        <w:t>62</w:t>
      </w:r>
      <w:r>
        <w:tab/>
      </w:r>
      <w:bookmarkStart w:id="204" w:name="F3903375"/>
      <w:r>
        <w:t>Atunci când entitatea furnizează bunuri sau prestează servicii în cadrul unui ciclu de exploatare clar identificabil, clasificarea distinctă în situaţia poziţiei financiare a activelor circulante şi a celor imobilizate precum şi a datoriilor curente şi a celor pe termen lung oferă informaţii utile, făcându-se distincţie între activele nete care sunt în mod continuu rulate sub formă de capital circulant şi cele utilizate în activitatea pe termen lung a entităţii. De asemenea, acest fapt evidenţiază activele care se preconizează a fi realizate în cadrul ciclului curent de exploatare şi datoriile exigibile pentru decontare în cursul aceleiaşi perioade.</w:t>
      </w:r>
      <w:bookmarkEnd w:id="204"/>
    </w:p>
    <w:p w:rsidR="004F2778" w:rsidRDefault="004F2778">
      <w:pPr>
        <w:pStyle w:val="IASBNormalnpara"/>
      </w:pPr>
      <w:r>
        <w:t>63</w:t>
      </w:r>
      <w:r>
        <w:tab/>
      </w:r>
      <w:bookmarkStart w:id="205" w:name="F3903376"/>
      <w:r>
        <w:t>Pentru anumite entităţi, cum ar fi instituţiile financiare, o prezentare a activelor şi datoriilor în ordinea crescătoare sau descrescătoare a lichidităţii oferă informaţii care sunt fiabile şi mai relevante decât o prezentare circulante/imobilizate, respectiv curente / pe termen lung, deoarece entitatea nu furnizează bunuri sau servicii într-un ciclu operaţional clar identificabil.</w:t>
      </w:r>
      <w:bookmarkEnd w:id="205"/>
    </w:p>
    <w:p w:rsidR="004F2778" w:rsidRDefault="004F2778">
      <w:pPr>
        <w:pStyle w:val="IASBNormalnpara"/>
      </w:pPr>
      <w:r>
        <w:t>64</w:t>
      </w:r>
      <w:r>
        <w:tab/>
      </w:r>
      <w:bookmarkStart w:id="206" w:name="F3903377"/>
      <w:r>
        <w:t>Când aplică punctul 60, unei entităţi i se permite să prezinte unele dintre activele şi datoriile sale utilizând o clasificare de tipul circulante/imobilizate, respectiv curente / pe termen lung, şi altele în funcţie de lichiditate, atunci când această clasificare oferă informaţii care sunt fiabile şi mai relevante. Necesitatea unei baze mixte de prezentare poate apărea atunci când o entitate are diverse operaţiuni.</w:t>
      </w:r>
      <w:bookmarkEnd w:id="206"/>
    </w:p>
    <w:p w:rsidR="004F2778" w:rsidRDefault="004F2778">
      <w:pPr>
        <w:pStyle w:val="IASBNormalnpara"/>
      </w:pPr>
      <w:r>
        <w:t>65</w:t>
      </w:r>
      <w:r>
        <w:tab/>
      </w:r>
      <w:bookmarkStart w:id="207" w:name="F3903378"/>
      <w:r>
        <w:t xml:space="preserve">Informaţiile despre datele la care se preconizează valorificarea activelor şi a datoriilor sunt utile pentru evaluarea lichidităţii şi a solvabilităţii unei entităţi. IFRS 7 </w:t>
      </w:r>
      <w:r>
        <w:rPr>
          <w:i/>
        </w:rPr>
        <w:t>Instrumente financiare: informaţii de furnizat</w:t>
      </w:r>
      <w:r>
        <w:t xml:space="preserve"> prevede prezentarea scadenţei pentru activele financiare şi pentru datoriile financiare. Activele financiare cuprind creanţele comerciale şi alte creanţe, iar datoriile financiare includ datoriile comerciale şi alte datorii. Sunt utile și informaţiile privind data preconizată a recuperării activelor nemonetare, cum ar fi stocurile, şi data preconizată a decontării datoriilor, cum ar fi provizioanele, indiferent dacă activele şi datoriile sunt sau nu clasificate drept circulante/imobilizate, respectiv curente / pe termen lung. De exemplu, o entitate prezintă valoarea stocurilor care se preconizează a fi recuperată după mai mult de douăsprezece luni după perioada de raportare.</w:t>
      </w:r>
      <w:bookmarkEnd w:id="207"/>
    </w:p>
    <w:p w:rsidR="004F2778" w:rsidRDefault="004F2778">
      <w:pPr>
        <w:pStyle w:val="IASBSectionTitle3Ind"/>
      </w:pPr>
      <w:bookmarkStart w:id="208" w:name="F3903380"/>
      <w:r>
        <w:t>Active circulante</w:t>
      </w:r>
      <w:bookmarkEnd w:id="208"/>
    </w:p>
    <w:p w:rsidR="004F2778" w:rsidRDefault="004F2778">
      <w:pPr>
        <w:pStyle w:val="IASBNormalnpara"/>
        <w:rPr>
          <w:b/>
        </w:rPr>
      </w:pPr>
      <w:r>
        <w:rPr>
          <w:b/>
        </w:rPr>
        <w:t>66</w:t>
      </w:r>
      <w:r>
        <w:tab/>
      </w:r>
      <w:bookmarkStart w:id="209" w:name="F3903382"/>
      <w:r>
        <w:rPr>
          <w:b/>
        </w:rPr>
        <w:t>O entitate trebuie să clasifice un activ drept activ circulant atunci când:</w:t>
      </w:r>
      <w:bookmarkEnd w:id="209"/>
    </w:p>
    <w:p w:rsidR="004F2778" w:rsidRDefault="004F2778">
      <w:pPr>
        <w:pStyle w:val="IASBNormalnparaL1"/>
      </w:pPr>
      <w:r>
        <w:rPr>
          <w:b/>
        </w:rPr>
        <w:lastRenderedPageBreak/>
        <w:t>(a)</w:t>
      </w:r>
      <w:r>
        <w:tab/>
      </w:r>
      <w:bookmarkStart w:id="210" w:name="F3903386"/>
      <w:r>
        <w:rPr>
          <w:b/>
        </w:rPr>
        <w:t>preconizează să valorifice activul sau intenţionează să îl vândă sau să îl consume în cadrul ciclului normal de exploatare;</w:t>
      </w:r>
      <w:bookmarkEnd w:id="210"/>
    </w:p>
    <w:p w:rsidR="004F2778" w:rsidRDefault="004F2778">
      <w:pPr>
        <w:pStyle w:val="IASBNormalnparaL1"/>
      </w:pPr>
      <w:r>
        <w:rPr>
          <w:b/>
        </w:rPr>
        <w:t>(b)</w:t>
      </w:r>
      <w:r>
        <w:tab/>
      </w:r>
      <w:bookmarkStart w:id="211" w:name="F3903388"/>
      <w:r>
        <w:rPr>
          <w:b/>
        </w:rPr>
        <w:t>activul este deţinut în principal în scopul tranzacţionării;</w:t>
      </w:r>
      <w:bookmarkEnd w:id="211"/>
    </w:p>
    <w:p w:rsidR="004F2778" w:rsidRDefault="004F2778">
      <w:pPr>
        <w:pStyle w:val="IASBNormalnparaL1"/>
      </w:pPr>
      <w:r>
        <w:rPr>
          <w:b/>
        </w:rPr>
        <w:t>(c)</w:t>
      </w:r>
      <w:r>
        <w:tab/>
      </w:r>
      <w:bookmarkStart w:id="212" w:name="F3903390"/>
      <w:r>
        <w:rPr>
          <w:b/>
        </w:rPr>
        <w:t>preconizează să valorifice activul în termen de douăsprezece luni după perioada de raportare; sau</w:t>
      </w:r>
      <w:bookmarkEnd w:id="212"/>
    </w:p>
    <w:p w:rsidR="004F2778" w:rsidRDefault="004F2778">
      <w:pPr>
        <w:pStyle w:val="IASBNormalnparaL1"/>
      </w:pPr>
      <w:r>
        <w:rPr>
          <w:b/>
        </w:rPr>
        <w:t>(d)</w:t>
      </w:r>
      <w:r>
        <w:tab/>
      </w:r>
      <w:bookmarkStart w:id="213" w:name="F3903392"/>
      <w:r>
        <w:rPr>
          <w:b/>
        </w:rPr>
        <w:t>activul reprezintă numerar sau un echivalent de numerar (așa cum este definit în IAS 7), cu excepţia cazului în care este restricționată schimbarea sau utilizarea activului pentru decontarea unei datorii pentru o perioadă de cel puţin douăsprezece luni după perioada de raportare.</w:t>
      </w:r>
      <w:bookmarkEnd w:id="213"/>
    </w:p>
    <w:p w:rsidR="004F2778" w:rsidRDefault="004F2778">
      <w:pPr>
        <w:pStyle w:val="IASBNormalnparaP"/>
      </w:pPr>
      <w:bookmarkStart w:id="214" w:name="F3903393"/>
      <w:r>
        <w:rPr>
          <w:b/>
        </w:rPr>
        <w:t>O entitate trebuie să clasifice toate celelalte active drept active imobilizate.</w:t>
      </w:r>
      <w:bookmarkEnd w:id="214"/>
    </w:p>
    <w:p w:rsidR="004F2778" w:rsidRDefault="004F2778">
      <w:pPr>
        <w:pStyle w:val="IASBNormalnpara"/>
      </w:pPr>
      <w:r>
        <w:t>67</w:t>
      </w:r>
      <w:r>
        <w:tab/>
      </w:r>
      <w:bookmarkStart w:id="215" w:name="F3903394"/>
      <w:r>
        <w:t>Prezentul standard utilizează termenul „imobilizate” pentru a cuprinde activele corporale, necorporale şi financiare pe termen lung. Acesta nu interzice utilizarea descrierilor alternative, atât timp cât sensul este clar.</w:t>
      </w:r>
      <w:bookmarkEnd w:id="215"/>
    </w:p>
    <w:p w:rsidR="004F2778" w:rsidRDefault="004F2778">
      <w:pPr>
        <w:pStyle w:val="IASBNormalnpara"/>
      </w:pPr>
      <w:r>
        <w:t>68</w:t>
      </w:r>
      <w:r>
        <w:tab/>
      </w:r>
      <w:bookmarkStart w:id="216" w:name="F19039539"/>
      <w:r>
        <w:t>Ciclul de exploatare al unei entităţi reprezintă perioada de timp dintre achiziţionarea activelor pentru prelucrare şi valorificarea lor în numerar sau echivalente de numerar. Atunci când ciclul normal de exploatare al entităţii nu poate fi identificat clar, se presupune că durata sa este de douăsprezece luni. Activele circulante cuprind active (cum ar fi stocurile şi creanţele comerciale) care sunt vândute, consumate sau valorificate ca parte a ciclului normal de exploatare, chiar şi atunci când nu se aşteaptă să fie valorificate în douăsprezece luni după perioada de raportare. Activele circulante includ și active care sunt deţinute în primul rând pentru a fi tranzacţionate (exemplele includ unele active financiare care corespund definiţiei „deţinut în vederea tranzacţionării” din IFRS 9) și partea circulantă a activelor financiare imobilizate.</w:t>
      </w:r>
      <w:bookmarkEnd w:id="216"/>
    </w:p>
    <w:p w:rsidR="004F2778" w:rsidRDefault="004F2778">
      <w:pPr>
        <w:pStyle w:val="IASBSectionTitle3Ind"/>
      </w:pPr>
      <w:bookmarkStart w:id="217" w:name="F3903396"/>
      <w:r>
        <w:t>Datorii curente</w:t>
      </w:r>
      <w:bookmarkEnd w:id="217"/>
    </w:p>
    <w:p w:rsidR="004F2778" w:rsidRDefault="004F2778">
      <w:pPr>
        <w:pStyle w:val="IASBNormalnpara"/>
        <w:rPr>
          <w:b/>
        </w:rPr>
      </w:pPr>
      <w:r>
        <w:rPr>
          <w:b/>
        </w:rPr>
        <w:t>69</w:t>
      </w:r>
      <w:r>
        <w:tab/>
      </w:r>
      <w:bookmarkStart w:id="218" w:name="F3903398"/>
      <w:r>
        <w:rPr>
          <w:b/>
        </w:rPr>
        <w:t>O entitate trebuie să clasifice o datorie drept datorie curentă atunci când:</w:t>
      </w:r>
      <w:bookmarkEnd w:id="218"/>
    </w:p>
    <w:p w:rsidR="004F2778" w:rsidRDefault="004F2778">
      <w:pPr>
        <w:pStyle w:val="IASBNormalnparaL1"/>
      </w:pPr>
      <w:r>
        <w:rPr>
          <w:b/>
        </w:rPr>
        <w:t>(a)</w:t>
      </w:r>
      <w:r>
        <w:tab/>
      </w:r>
      <w:bookmarkStart w:id="219" w:name="F3903401"/>
      <w:r>
        <w:rPr>
          <w:b/>
        </w:rPr>
        <w:t>preconizează să deconteze datoria în cadrul ciclului normal de exploatare al entităţii;</w:t>
      </w:r>
      <w:bookmarkEnd w:id="219"/>
    </w:p>
    <w:p w:rsidR="004F2778" w:rsidRDefault="004F2778">
      <w:pPr>
        <w:pStyle w:val="IASBNormalnparaL1"/>
      </w:pPr>
      <w:r>
        <w:rPr>
          <w:b/>
        </w:rPr>
        <w:t>(b)</w:t>
      </w:r>
      <w:r>
        <w:tab/>
      </w:r>
      <w:bookmarkStart w:id="220" w:name="F3903403"/>
      <w:r>
        <w:rPr>
          <w:b/>
        </w:rPr>
        <w:t>datoria este deţinută în principal în scopul tranzacţionării;</w:t>
      </w:r>
      <w:bookmarkEnd w:id="220"/>
    </w:p>
    <w:p w:rsidR="004F2778" w:rsidRDefault="004F2778">
      <w:pPr>
        <w:pStyle w:val="IASBNormalnparaL1"/>
      </w:pPr>
      <w:r>
        <w:rPr>
          <w:b/>
        </w:rPr>
        <w:t>(c)</w:t>
      </w:r>
      <w:r>
        <w:tab/>
      </w:r>
      <w:bookmarkStart w:id="221" w:name="F3903405"/>
      <w:r>
        <w:rPr>
          <w:b/>
        </w:rPr>
        <w:t>datoria trebuie decontată în termen de douăsprezece luni după perioada de raportare; sau</w:t>
      </w:r>
      <w:bookmarkEnd w:id="221"/>
    </w:p>
    <w:p w:rsidR="004F2778" w:rsidRDefault="004F2778">
      <w:pPr>
        <w:pStyle w:val="IASBNormalnparaL1"/>
      </w:pPr>
      <w:r>
        <w:rPr>
          <w:b/>
        </w:rPr>
        <w:t>(d)</w:t>
      </w:r>
      <w:r>
        <w:tab/>
      </w:r>
      <w:bookmarkStart w:id="222" w:name="F3903407"/>
      <w:r>
        <w:rPr>
          <w:b/>
        </w:rPr>
        <w:t>entitatea nu are un drept necondiţionat de a amâna decontarea datoriei pentru cel puţin douăsprezece luni după perioada de raportare (a se vedea punctul 73). Termenele unei datorii care, la opţiunea partenerului, ar putea fi decontată prin emiterea de instrumente de capitaluri proprii nu influenţează clasificarea acesteia.</w:t>
      </w:r>
      <w:bookmarkEnd w:id="222"/>
    </w:p>
    <w:p w:rsidR="004F2778" w:rsidRDefault="004F2778">
      <w:pPr>
        <w:pStyle w:val="IASBNormalnparaP"/>
      </w:pPr>
      <w:bookmarkStart w:id="223" w:name="F3903408"/>
      <w:r>
        <w:rPr>
          <w:b/>
        </w:rPr>
        <w:t>O entitate trebuie să clasifice toate celelalte datorii drept datorii pe termen lung.</w:t>
      </w:r>
      <w:bookmarkEnd w:id="223"/>
    </w:p>
    <w:p w:rsidR="004F2778" w:rsidRDefault="004F2778">
      <w:pPr>
        <w:pStyle w:val="IASBNormalnpara"/>
      </w:pPr>
      <w:r>
        <w:t>70</w:t>
      </w:r>
      <w:r>
        <w:tab/>
      </w:r>
      <w:bookmarkStart w:id="224" w:name="F3903409"/>
      <w:r>
        <w:t>Anumite datorii curente, cum ar fi datoriile comerciale şi unele angajamente privind angajaţii şi alte costuri de exploatare, fac parte din capitalul circulant utilizat în cadrul ciclului normal de exploatare al entităţii. O entitate clasifică astfel de elemente de exploatare drept datorii curente, chiar dacă trebuie decontate după mai mult de douăsprezece luni după perioada de raportare. Acelaşi ciclu normal de exploatare se aplică la clasificarea activelor şi datoriilor unei entităţi. Atunci când ciclul normal de exploatare al entităţii nu poate fi identificat clar, se presupune că durata sa este de douăsprezece luni.</w:t>
      </w:r>
      <w:bookmarkEnd w:id="224"/>
    </w:p>
    <w:p w:rsidR="004F2778" w:rsidRDefault="004F2778">
      <w:pPr>
        <w:pStyle w:val="IASBNormalnpara"/>
      </w:pPr>
      <w:r>
        <w:t>71</w:t>
      </w:r>
      <w:r>
        <w:tab/>
      </w:r>
      <w:bookmarkStart w:id="225" w:name="F19039553"/>
      <w:r>
        <w:t>Alte datorii curente nu sunt decontate ca parte a ciclului normal de exploatare, dar trebuie decontate în termen de douăsprezece luni după perioada de raportare sau sunt deţinute în primul rând în vederea tranzacţionării. Exemple sunt anumite datorii financiare care corespund definiţiei pentru „deţinut în vederea tranzacţionării” din IFRS 9, descoperirile de cont şi partea circulantă din datoriile financiare pe termen lung, dividendele de plătit, impozitul pe profit şi alte datorii necomerciale. Datoriile financiare care oferă finanţare pe termen lung (adică nu fac parte din capitalul circulant utilizat în cadrul ciclului normal de exploatare al entităţii) şi nu urmează să fie decontate în douăsprezece luni după perioada de raportare sunt datorii pe termen lung care fac obiectul punctelor 74 şi 75.</w:t>
      </w:r>
      <w:bookmarkEnd w:id="225"/>
    </w:p>
    <w:p w:rsidR="004F2778" w:rsidRDefault="004F2778">
      <w:pPr>
        <w:pStyle w:val="IASBNormalnpara"/>
      </w:pPr>
      <w:r>
        <w:t>72</w:t>
      </w:r>
      <w:r>
        <w:tab/>
      </w:r>
      <w:bookmarkStart w:id="226" w:name="F3903411"/>
      <w:r>
        <w:t>O entitate îşi clasifică datoriile financiare drept curente dacă acestea trebuie decontate în douăsprezece luni după perioada de raportare, chiar dacă:</w:t>
      </w:r>
      <w:bookmarkEnd w:id="226"/>
    </w:p>
    <w:p w:rsidR="004F2778" w:rsidRDefault="004F2778">
      <w:pPr>
        <w:pStyle w:val="IASBNormalnparaL1"/>
      </w:pPr>
      <w:r>
        <w:t>(a)</w:t>
      </w:r>
      <w:r>
        <w:tab/>
      </w:r>
      <w:bookmarkStart w:id="227" w:name="F3903414"/>
      <w:r>
        <w:t>termenul iniţial a fost pentru o perioadă mai mare de douăsprezece luni şi</w:t>
      </w:r>
      <w:bookmarkEnd w:id="227"/>
    </w:p>
    <w:p w:rsidR="004F2778" w:rsidRDefault="004F2778">
      <w:pPr>
        <w:pStyle w:val="IASBNormalnparaL1"/>
      </w:pPr>
      <w:r>
        <w:t>(b)</w:t>
      </w:r>
      <w:r>
        <w:tab/>
      </w:r>
      <w:bookmarkStart w:id="228" w:name="F3903416"/>
      <w:r>
        <w:t>este încheiat un acord de refinanţare sau de reeşalonare a plăţilor pe termen lung după perioada de raportare şi înainte ca situaţiile financiare să fie autorizate pentru emitere.</w:t>
      </w:r>
      <w:bookmarkEnd w:id="228"/>
    </w:p>
    <w:p w:rsidR="004F2778" w:rsidRDefault="004F2778">
      <w:pPr>
        <w:pStyle w:val="IASBNormalnpara"/>
      </w:pPr>
      <w:r>
        <w:t>73</w:t>
      </w:r>
      <w:r>
        <w:tab/>
      </w:r>
      <w:bookmarkStart w:id="229" w:name="F3903417"/>
      <w:r>
        <w:t xml:space="preserve">Dacă o entitate preconizează şi are capacitatea să refinanţeze sau să reînnoiască o obligaţie pentru cel puţin douăsprezece luni după perioada de raportare conform unei facilităţi de împrumut existente, ea clasifică </w:t>
      </w:r>
      <w:r>
        <w:lastRenderedPageBreak/>
        <w:t>obligaţia ca fiind pe termen lung chiar dacă, în caz contrar, ar fi trebuit să fie achitată într-o perioadă mai scurtă. Totuşi, în situaţiile în care refinanţarea sau reînnoirea obligaţiei nu este la îndemâna entităţii (de exemplu atunci când nu există un acord de refinanţare), entitatea nu ia în calcul potenţialul de refinanţare a obligaţiei şi clasifică obligaţia drept curentă.</w:t>
      </w:r>
      <w:bookmarkEnd w:id="229"/>
    </w:p>
    <w:p w:rsidR="004F2778" w:rsidRDefault="004F2778">
      <w:pPr>
        <w:pStyle w:val="IASBNormalnpara"/>
      </w:pPr>
      <w:r>
        <w:t>74</w:t>
      </w:r>
      <w:r>
        <w:tab/>
      </w:r>
      <w:bookmarkStart w:id="230" w:name="F3903418"/>
      <w:r>
        <w:t>Atunci când o entitate încalcă, la sau înainte de finalul perioadei de raportare, o prevedere dintr-un acord de împrumut pe termen lung şi această încălcare are drept efect faptul că datoria devine exigibilă la cerere, datoria este clasificată drept curentă, deși creditorul a fost de acord, după perioada de raportare şi înainte ca situaţiile financiare să fie autorizate pentru emitere, să nu ceară plata ca urmare a încălcării. O entitate clasifică datoria drept curentă deoarece la finalul perioadei de raportare ea nu are un drept necondiţionat de a-şi amâna decontarea pentru cel puţin douăsprezece luni după acea dată.</w:t>
      </w:r>
      <w:bookmarkEnd w:id="230"/>
    </w:p>
    <w:p w:rsidR="004F2778" w:rsidRDefault="004F2778">
      <w:pPr>
        <w:pStyle w:val="IASBNormalnpara"/>
      </w:pPr>
      <w:r>
        <w:t>75</w:t>
      </w:r>
      <w:r>
        <w:tab/>
      </w:r>
      <w:bookmarkStart w:id="231" w:name="F3903419"/>
      <w:r>
        <w:t>Totuşi, o entitate clasifică datoria ca datorie pe termen lung în cazul în care creditorul a fost de acord, până la finalul perioadei de raportare, să ofere o perioadă de graţie care să se încheie la cel puţin douăsprezece luni după perioada de raportare, în cadrul căreia entitatea poate rectifica abaterea şi în timpul căreia creditorul nu poate cere rambursarea imediată.</w:t>
      </w:r>
      <w:bookmarkEnd w:id="231"/>
    </w:p>
    <w:p w:rsidR="004F2778" w:rsidRDefault="004F2778">
      <w:pPr>
        <w:pStyle w:val="IASBNormalnpara"/>
      </w:pPr>
      <w:r>
        <w:t>76</w:t>
      </w:r>
      <w:r>
        <w:tab/>
      </w:r>
      <w:bookmarkStart w:id="232" w:name="F3903420"/>
      <w:r>
        <w:t xml:space="preserve">În ceea ce priveşte împrumuturile clasificate ca datorii curente, dacă următoarele evenimente au loc între finalul perioadei de raportare şi data când situaţiile financiare sunt autorizate pentru emitere, acele evenimente sunt prezentate ca evenimente care nu conduc la ajustarea situaţiilor financiare, în conformitate cu IAS 10 </w:t>
      </w:r>
      <w:r>
        <w:rPr>
          <w:i/>
        </w:rPr>
        <w:t>Evenimente ulterioare perioadei de raportare</w:t>
      </w:r>
      <w:r>
        <w:t>:</w:t>
      </w:r>
      <w:bookmarkEnd w:id="232"/>
    </w:p>
    <w:p w:rsidR="004F2778" w:rsidRDefault="004F2778">
      <w:pPr>
        <w:pStyle w:val="IASBNormalnparaL1"/>
      </w:pPr>
      <w:r>
        <w:t>(a)</w:t>
      </w:r>
      <w:r>
        <w:tab/>
      </w:r>
      <w:bookmarkStart w:id="233" w:name="F3903424"/>
      <w:r>
        <w:t>refinanţarea pe termen lung;</w:t>
      </w:r>
      <w:bookmarkEnd w:id="233"/>
    </w:p>
    <w:p w:rsidR="004F2778" w:rsidRDefault="004F2778">
      <w:pPr>
        <w:pStyle w:val="IASBNormalnparaL1"/>
      </w:pPr>
      <w:r>
        <w:t>(b)</w:t>
      </w:r>
      <w:r>
        <w:tab/>
      </w:r>
      <w:bookmarkStart w:id="234" w:name="F3903426"/>
      <w:r>
        <w:t>rectificarea unei încălcări a unui acord de împrumut pe termen lung; și</w:t>
      </w:r>
      <w:bookmarkEnd w:id="234"/>
    </w:p>
    <w:p w:rsidR="004F2778" w:rsidRDefault="004F2778">
      <w:pPr>
        <w:pStyle w:val="IASBNormalnparaL1"/>
      </w:pPr>
      <w:r>
        <w:t>(c)</w:t>
      </w:r>
      <w:r>
        <w:tab/>
      </w:r>
      <w:bookmarkStart w:id="235" w:name="F3903428"/>
      <w:r>
        <w:t>acordarea de către creditor a unei perioade de graţie pentru a rectifica o abatere dintr-un acord de împrumut pe termen lung care se termină la cel puţin douăsprezece luni după perioada de raportare.</w:t>
      </w:r>
      <w:bookmarkEnd w:id="235"/>
    </w:p>
    <w:p w:rsidR="004F2778" w:rsidRDefault="004F2778">
      <w:pPr>
        <w:pStyle w:val="IASBSectionTitle3Ind"/>
      </w:pPr>
      <w:bookmarkStart w:id="236" w:name="F3903429"/>
      <w:r>
        <w:t>Informaţii care trebuie prezentate fie în situaţia poziţiei financiare, fie în note</w:t>
      </w:r>
      <w:bookmarkEnd w:id="236"/>
    </w:p>
    <w:p w:rsidR="004F2778" w:rsidRDefault="004F2778">
      <w:pPr>
        <w:pStyle w:val="IASBNormalnpara"/>
        <w:rPr>
          <w:b/>
        </w:rPr>
      </w:pPr>
      <w:r>
        <w:rPr>
          <w:b/>
        </w:rPr>
        <w:t>77</w:t>
      </w:r>
      <w:r>
        <w:tab/>
      </w:r>
      <w:bookmarkStart w:id="237" w:name="F3903431"/>
      <w:r>
        <w:rPr>
          <w:b/>
        </w:rPr>
        <w:t>O entitate trebuie să prezinte, fie în situaţia poziţiei financiare, fie în note, subclasificări suplimentare ale elementelor-rând, clasificate într-o manieră corespunzătoare operaţiunilor entităţii.</w:t>
      </w:r>
      <w:bookmarkEnd w:id="237"/>
    </w:p>
    <w:p w:rsidR="004F2778" w:rsidRDefault="004F2778">
      <w:pPr>
        <w:pStyle w:val="IASBNormalnpara"/>
      </w:pPr>
      <w:r>
        <w:t>78</w:t>
      </w:r>
      <w:r>
        <w:tab/>
      </w:r>
      <w:bookmarkStart w:id="238" w:name="F3903432"/>
      <w:r>
        <w:t>Detaliile oferite în subclasificări depind de dispoziţiile IFRS-urilor şi de mărimea, natura şi funcţia sumelor implicate. O entitate foloseşte şi factorii prezentaţi la punctul 58 pentru a stabili baza subclasificării. Prezentările diferă pentru fiecare element, de exemplu:</w:t>
      </w:r>
      <w:bookmarkEnd w:id="238"/>
    </w:p>
    <w:p w:rsidR="004F2778" w:rsidRDefault="004F2778">
      <w:pPr>
        <w:pStyle w:val="IASBNormalnparaL1"/>
      </w:pPr>
      <w:r>
        <w:t>(a)</w:t>
      </w:r>
      <w:r>
        <w:tab/>
      </w:r>
      <w:bookmarkStart w:id="239" w:name="F3903435"/>
      <w:r>
        <w:t>elementele de imobilizări corporale sunt dezagregate pe clase în conformitate cu IAS 16;</w:t>
      </w:r>
      <w:bookmarkEnd w:id="239"/>
    </w:p>
    <w:p w:rsidR="004F2778" w:rsidRDefault="004F2778">
      <w:pPr>
        <w:pStyle w:val="IASBNormalnparaL1"/>
      </w:pPr>
      <w:r>
        <w:t>(b)</w:t>
      </w:r>
      <w:r>
        <w:tab/>
      </w:r>
      <w:bookmarkStart w:id="240" w:name="F3903437"/>
      <w:r>
        <w:t>creanţele sunt dezagregate în creanţe de la clienţi comerciali, creanţe de la părţi afiliate, plăţi efectuate în avans şi alte sume;</w:t>
      </w:r>
      <w:bookmarkEnd w:id="240"/>
    </w:p>
    <w:p w:rsidR="004F2778" w:rsidRDefault="004F2778">
      <w:pPr>
        <w:pStyle w:val="IASBNormalnparaL1"/>
      </w:pPr>
      <w:r>
        <w:t>(c)</w:t>
      </w:r>
      <w:r>
        <w:tab/>
      </w:r>
      <w:bookmarkStart w:id="241" w:name="F3903439"/>
      <w:r>
        <w:t xml:space="preserve">stocurile sunt dezagregate, în conformitate cu IAS 2 </w:t>
      </w:r>
      <w:r>
        <w:rPr>
          <w:i/>
        </w:rPr>
        <w:t>Stocuri</w:t>
      </w:r>
      <w:r>
        <w:t>, în clasificări precum mărfuri, materii prime, materiale, producţie în curs de execuţie şi produse finite;</w:t>
      </w:r>
      <w:bookmarkEnd w:id="241"/>
    </w:p>
    <w:p w:rsidR="004F2778" w:rsidRDefault="004F2778">
      <w:pPr>
        <w:pStyle w:val="IASBNormalnparaL1"/>
      </w:pPr>
      <w:r>
        <w:t>(d)</w:t>
      </w:r>
      <w:r>
        <w:tab/>
      </w:r>
      <w:bookmarkStart w:id="242" w:name="F3903442"/>
      <w:r>
        <w:t>provizioanele sunt dezagregate în provizioane pentru beneficiile angajaţilor şi alte elemente; și</w:t>
      </w:r>
      <w:bookmarkEnd w:id="242"/>
    </w:p>
    <w:p w:rsidR="004F2778" w:rsidRDefault="004F2778">
      <w:pPr>
        <w:pStyle w:val="IASBNormalnparaL1"/>
      </w:pPr>
      <w:r>
        <w:t>(e)</w:t>
      </w:r>
      <w:r>
        <w:tab/>
      </w:r>
      <w:bookmarkStart w:id="243" w:name="F3903444"/>
      <w:r>
        <w:t>capitalul social şi rezervele se împart în diferite clase, precum capital subscris şi vărsat, prime de emisiune şi rezerve.</w:t>
      </w:r>
      <w:bookmarkEnd w:id="243"/>
    </w:p>
    <w:p w:rsidR="004F2778" w:rsidRDefault="004F2778">
      <w:pPr>
        <w:pStyle w:val="IASBNormalnpara"/>
        <w:rPr>
          <w:b/>
        </w:rPr>
      </w:pPr>
      <w:r>
        <w:rPr>
          <w:b/>
        </w:rPr>
        <w:t>79</w:t>
      </w:r>
      <w:r>
        <w:tab/>
      </w:r>
      <w:bookmarkStart w:id="244" w:name="F3903445"/>
      <w:r>
        <w:rPr>
          <w:b/>
        </w:rPr>
        <w:t>O entitate trebuie să prezinte următoarele, fie în situaţia poziţiei financiare sau în situaţia modificărilor capitalurilor proprii, fie în note:</w:t>
      </w:r>
      <w:bookmarkEnd w:id="244"/>
    </w:p>
    <w:p w:rsidR="004F2778" w:rsidRDefault="004F2778">
      <w:pPr>
        <w:pStyle w:val="IASBNormalnparaL1"/>
      </w:pPr>
      <w:r>
        <w:rPr>
          <w:b/>
        </w:rPr>
        <w:t>(a)</w:t>
      </w:r>
      <w:r>
        <w:tab/>
      </w:r>
      <w:bookmarkStart w:id="245" w:name="F3903448"/>
      <w:r>
        <w:rPr>
          <w:b/>
        </w:rPr>
        <w:t>pentru fiecare clasă de capital social:</w:t>
      </w:r>
      <w:bookmarkEnd w:id="245"/>
    </w:p>
    <w:p w:rsidR="004F2778" w:rsidRDefault="004F2778">
      <w:pPr>
        <w:pStyle w:val="IASBNormalnparaL2"/>
      </w:pPr>
      <w:r>
        <w:rPr>
          <w:b/>
        </w:rPr>
        <w:t>(i)</w:t>
      </w:r>
      <w:r>
        <w:tab/>
      </w:r>
      <w:bookmarkStart w:id="246" w:name="F3903451"/>
      <w:r>
        <w:rPr>
          <w:b/>
        </w:rPr>
        <w:t>numărul de acţiuni autorizate;</w:t>
      </w:r>
      <w:bookmarkEnd w:id="246"/>
    </w:p>
    <w:p w:rsidR="004F2778" w:rsidRDefault="004F2778">
      <w:pPr>
        <w:pStyle w:val="IASBNormalnparaL2"/>
      </w:pPr>
      <w:r>
        <w:rPr>
          <w:b/>
        </w:rPr>
        <w:t>(ii)</w:t>
      </w:r>
      <w:r>
        <w:tab/>
      </w:r>
      <w:bookmarkStart w:id="247" w:name="F3903453"/>
      <w:r>
        <w:rPr>
          <w:b/>
        </w:rPr>
        <w:t>numărul acţiunilor emise şi vărsate integral, precum şi al celor emise, dar nevărsate integral;</w:t>
      </w:r>
      <w:bookmarkEnd w:id="247"/>
    </w:p>
    <w:p w:rsidR="004F2778" w:rsidRDefault="004F2778">
      <w:pPr>
        <w:pStyle w:val="IASBNormalnparaL2"/>
      </w:pPr>
      <w:r>
        <w:rPr>
          <w:b/>
        </w:rPr>
        <w:t>(iii)</w:t>
      </w:r>
      <w:r>
        <w:tab/>
      </w:r>
      <w:bookmarkStart w:id="248" w:name="F3903455"/>
      <w:r>
        <w:rPr>
          <w:b/>
        </w:rPr>
        <w:t>valoarea nominală pe acţiune sau faptul că acţiunile nu au valoare nominală;</w:t>
      </w:r>
      <w:bookmarkEnd w:id="248"/>
    </w:p>
    <w:p w:rsidR="004F2778" w:rsidRDefault="004F2778">
      <w:pPr>
        <w:pStyle w:val="IASBNormalnparaL2"/>
      </w:pPr>
      <w:r>
        <w:rPr>
          <w:b/>
        </w:rPr>
        <w:t>(iv)</w:t>
      </w:r>
      <w:r>
        <w:tab/>
      </w:r>
      <w:bookmarkStart w:id="249" w:name="F3903457"/>
      <w:r>
        <w:rPr>
          <w:b/>
        </w:rPr>
        <w:t>o reconciliere a numărului de acţiuni existente la începutul şi la finalul perioadei;</w:t>
      </w:r>
      <w:bookmarkEnd w:id="249"/>
    </w:p>
    <w:p w:rsidR="004F2778" w:rsidRDefault="004F2778">
      <w:pPr>
        <w:pStyle w:val="IASBNormalnparaL2"/>
      </w:pPr>
      <w:r>
        <w:rPr>
          <w:b/>
        </w:rPr>
        <w:t>(v)</w:t>
      </w:r>
      <w:r>
        <w:tab/>
      </w:r>
      <w:bookmarkStart w:id="250" w:name="F3903460"/>
      <w:r>
        <w:rPr>
          <w:b/>
        </w:rPr>
        <w:t>drepturile, preferinţele şi restricţiile aferente clasei respective, inclusiv restricţiile referitoare la repartizarea dividendelor şi la rambursarea capitalului;</w:t>
      </w:r>
      <w:bookmarkEnd w:id="250"/>
    </w:p>
    <w:p w:rsidR="004F2778" w:rsidRDefault="004F2778">
      <w:pPr>
        <w:pStyle w:val="IASBNormalnparaL2"/>
      </w:pPr>
      <w:r>
        <w:rPr>
          <w:b/>
        </w:rPr>
        <w:t>(vi)</w:t>
      </w:r>
      <w:r>
        <w:tab/>
      </w:r>
      <w:bookmarkStart w:id="251" w:name="F3903462"/>
      <w:r>
        <w:rPr>
          <w:b/>
        </w:rPr>
        <w:t>acţiunile proprii deţinute de entitate sau de filialele sau de entităţile sale asociate; și</w:t>
      </w:r>
      <w:bookmarkEnd w:id="251"/>
    </w:p>
    <w:p w:rsidR="004F2778" w:rsidRDefault="004F2778">
      <w:pPr>
        <w:pStyle w:val="IASBNormalnparaL2"/>
      </w:pPr>
      <w:r>
        <w:rPr>
          <w:b/>
        </w:rPr>
        <w:t>(vii)</w:t>
      </w:r>
      <w:r>
        <w:tab/>
      </w:r>
      <w:bookmarkStart w:id="252" w:name="F3903464"/>
      <w:r>
        <w:rPr>
          <w:b/>
        </w:rPr>
        <w:t>acţiunile rezervate pentru emitere în baza unor opţiuni şi a unor contracte de vânzare a acţiunilor, inclusiv condiţiile şi sumele aferente; și</w:t>
      </w:r>
      <w:bookmarkEnd w:id="252"/>
    </w:p>
    <w:p w:rsidR="004F2778" w:rsidRDefault="004F2778">
      <w:pPr>
        <w:pStyle w:val="IASBNormalnparaL1"/>
      </w:pPr>
      <w:r>
        <w:rPr>
          <w:b/>
        </w:rPr>
        <w:lastRenderedPageBreak/>
        <w:t>(b)</w:t>
      </w:r>
      <w:r>
        <w:tab/>
      </w:r>
      <w:bookmarkStart w:id="253" w:name="F3903466"/>
      <w:r>
        <w:rPr>
          <w:b/>
        </w:rPr>
        <w:t>o descriere a naturii şi scopului fiecărei rezerve din cadrul capitalurilor proprii.</w:t>
      </w:r>
      <w:bookmarkEnd w:id="253"/>
    </w:p>
    <w:p w:rsidR="004F2778" w:rsidRDefault="004F2778">
      <w:pPr>
        <w:pStyle w:val="IASBNormalnpara"/>
        <w:rPr>
          <w:b/>
        </w:rPr>
      </w:pPr>
      <w:r>
        <w:rPr>
          <w:b/>
        </w:rPr>
        <w:t>80</w:t>
      </w:r>
      <w:r>
        <w:tab/>
      </w:r>
      <w:bookmarkStart w:id="254" w:name="F3903481"/>
      <w:r>
        <w:rPr>
          <w:b/>
        </w:rPr>
        <w:t>O entitate fără capital social, cum ar fi un parteneriat sau un fond, trebuie să prezinte informaţii echivalente celor prevăzute la punctul 79 litera (a), evidenţiindu-se modificările de pe parcursul perioadei pentru fiecare categorie de participaţie în capitalurile proprii, precum şi drepturile, preferinţele şi restricţiile ataşate fiecărei categorii de participaţie în capitalurile proprii.</w:t>
      </w:r>
      <w:bookmarkEnd w:id="254"/>
    </w:p>
    <w:p w:rsidR="004F2778" w:rsidRDefault="004F2778">
      <w:pPr>
        <w:pStyle w:val="IASBNormalnpara"/>
        <w:rPr>
          <w:b/>
        </w:rPr>
      </w:pPr>
      <w:r>
        <w:rPr>
          <w:b/>
        </w:rPr>
        <w:t>80A</w:t>
      </w:r>
      <w:r>
        <w:tab/>
      </w:r>
      <w:bookmarkStart w:id="255" w:name="F5588996"/>
      <w:r>
        <w:rPr>
          <w:b/>
        </w:rPr>
        <w:t>Dacă o entitate a reclasificat</w:t>
      </w:r>
      <w:bookmarkEnd w:id="255"/>
    </w:p>
    <w:p w:rsidR="004F2778" w:rsidRDefault="004F2778">
      <w:pPr>
        <w:pStyle w:val="IASBNormalnparaL1"/>
        <w:rPr>
          <w:b/>
        </w:rPr>
      </w:pPr>
      <w:r>
        <w:rPr>
          <w:b/>
        </w:rPr>
        <w:t>(a)</w:t>
      </w:r>
      <w:r>
        <w:tab/>
      </w:r>
      <w:bookmarkStart w:id="256" w:name="F5588999"/>
      <w:r>
        <w:rPr>
          <w:b/>
        </w:rPr>
        <w:t>un instrument financiar care poate fi lichidat de deţinător înainte de scadenţă clasificat drept instrument de capitaluri proprii sau</w:t>
      </w:r>
      <w:bookmarkEnd w:id="256"/>
    </w:p>
    <w:p w:rsidR="004F2778" w:rsidRDefault="004F2778">
      <w:pPr>
        <w:pStyle w:val="IASBNormalnparaL1"/>
        <w:rPr>
          <w:b/>
        </w:rPr>
      </w:pPr>
      <w:r>
        <w:rPr>
          <w:b/>
        </w:rPr>
        <w:t>(b)</w:t>
      </w:r>
      <w:r>
        <w:tab/>
      </w:r>
      <w:bookmarkStart w:id="257" w:name="F5589023"/>
      <w:r>
        <w:rPr>
          <w:b/>
        </w:rPr>
        <w:t>un instrument care îi impune entităţii obligaţia de a livra unei alte entităţi o parte proporţională din activele nete ale entităţii numai la lichidare şi este clasificat drept instrument de capitaluri proprii</w:t>
      </w:r>
      <w:bookmarkEnd w:id="257"/>
    </w:p>
    <w:p w:rsidR="004F2778" w:rsidRDefault="004F2778">
      <w:pPr>
        <w:pStyle w:val="IASBNormalnparaP"/>
        <w:rPr>
          <w:b/>
        </w:rPr>
      </w:pPr>
      <w:bookmarkStart w:id="258" w:name="F5589024"/>
      <w:r>
        <w:rPr>
          <w:b/>
        </w:rPr>
        <w:t>între datoriile financiare şi capitalurile proprii, aceasta trebuie să prezinte valoarea reclasificată în şi din fiecare categorie (datorii financiare sau capitaluri proprii), precum și plasarea în timp şi motivul pentru care a fost realizată respectiva reclasificare.</w:t>
      </w:r>
      <w:bookmarkEnd w:id="258"/>
    </w:p>
    <w:p w:rsidR="004F2778" w:rsidRDefault="004F2778">
      <w:pPr>
        <w:pStyle w:val="IASBSectionTitle2Ind"/>
      </w:pPr>
      <w:bookmarkStart w:id="259" w:name="F3903482"/>
      <w:r>
        <w:t>Situaţia profitului sau pierderii şi altor elemente ale rezultatului global</w:t>
      </w:r>
      <w:bookmarkEnd w:id="259"/>
    </w:p>
    <w:p w:rsidR="004F2778" w:rsidRDefault="004F2778">
      <w:pPr>
        <w:pStyle w:val="IASBNormalnpara"/>
        <w:rPr>
          <w:b/>
        </w:rPr>
      </w:pPr>
      <w:r>
        <w:rPr>
          <w:b/>
        </w:rPr>
        <w:t>81</w:t>
      </w:r>
      <w:r>
        <w:tab/>
      </w:r>
      <w:bookmarkStart w:id="260" w:name="F3903484"/>
      <w:r>
        <w:t>[Eliminate]</w:t>
      </w:r>
      <w:bookmarkEnd w:id="260"/>
    </w:p>
    <w:p w:rsidR="004F2778" w:rsidRDefault="004F2778">
      <w:pPr>
        <w:pStyle w:val="IASBNormalnpara"/>
        <w:rPr>
          <w:b/>
        </w:rPr>
      </w:pPr>
      <w:r>
        <w:rPr>
          <w:b/>
        </w:rPr>
        <w:t>81A</w:t>
      </w:r>
      <w:r>
        <w:tab/>
      </w:r>
      <w:bookmarkStart w:id="261" w:name="F16155997"/>
      <w:r>
        <w:rPr>
          <w:b/>
        </w:rPr>
        <w:t>Situaţia profitului sau pierderii şi altor elemente ale rezultatului global (situaţia rezultatului global) va prezenta, în plus faţă de secțiunile profit sau pierdere şi alte elemente ale rezultatului global, următoarele secţiuni:</w:t>
      </w:r>
      <w:bookmarkEnd w:id="261"/>
    </w:p>
    <w:p w:rsidR="004F2778" w:rsidRDefault="004F2778">
      <w:pPr>
        <w:pStyle w:val="IASBNormalnparaL1"/>
      </w:pPr>
      <w:r>
        <w:rPr>
          <w:b/>
        </w:rPr>
        <w:t>(a)</w:t>
      </w:r>
      <w:r>
        <w:tab/>
      </w:r>
      <w:bookmarkStart w:id="262" w:name="F16156011"/>
      <w:r>
        <w:rPr>
          <w:b/>
        </w:rPr>
        <w:t>profitul sau pierderea;</w:t>
      </w:r>
      <w:bookmarkEnd w:id="262"/>
    </w:p>
    <w:p w:rsidR="004F2778" w:rsidRDefault="004F2778">
      <w:pPr>
        <w:pStyle w:val="IASBNormalnparaL1"/>
      </w:pPr>
      <w:r>
        <w:rPr>
          <w:b/>
        </w:rPr>
        <w:t>(b)</w:t>
      </w:r>
      <w:r>
        <w:tab/>
      </w:r>
      <w:bookmarkStart w:id="263" w:name="F16156013"/>
      <w:r>
        <w:rPr>
          <w:b/>
        </w:rPr>
        <w:t>alte elemente ale rezultatului global total;</w:t>
      </w:r>
      <w:bookmarkEnd w:id="263"/>
    </w:p>
    <w:p w:rsidR="004F2778" w:rsidRDefault="004F2778">
      <w:pPr>
        <w:pStyle w:val="IASBNormalnparaL1"/>
      </w:pPr>
      <w:r>
        <w:rPr>
          <w:b/>
        </w:rPr>
        <w:t>(c)</w:t>
      </w:r>
      <w:r>
        <w:tab/>
      </w:r>
      <w:bookmarkStart w:id="264" w:name="F16156015"/>
      <w:r>
        <w:rPr>
          <w:b/>
        </w:rPr>
        <w:t>rezultatul global aferent perioadei, care este totalul dintre profit sau pierdere şi alte elemente ale rezultatului global.</w:t>
      </w:r>
      <w:bookmarkEnd w:id="264"/>
    </w:p>
    <w:p w:rsidR="004F2778" w:rsidRDefault="004F2778">
      <w:pPr>
        <w:pStyle w:val="IASBNormalnparaP"/>
      </w:pPr>
      <w:bookmarkStart w:id="265" w:name="F16156017"/>
      <w:r>
        <w:rPr>
          <w:b/>
        </w:rPr>
        <w:t>Dacă o entitate prezintă o situaţie individuală a profitului sau pierderii, aceasta nu prezintă secţiunea profit sau pierdere din situaţia rezultatului global .</w:t>
      </w:r>
      <w:bookmarkEnd w:id="265"/>
    </w:p>
    <w:p w:rsidR="004F2778" w:rsidRDefault="004F2778">
      <w:pPr>
        <w:pStyle w:val="IASBNormalnpara"/>
        <w:rPr>
          <w:b/>
        </w:rPr>
      </w:pPr>
      <w:r>
        <w:rPr>
          <w:b/>
        </w:rPr>
        <w:t>81B</w:t>
      </w:r>
      <w:r>
        <w:tab/>
      </w:r>
      <w:bookmarkStart w:id="266" w:name="F16156016"/>
      <w:r>
        <w:rPr>
          <w:b/>
        </w:rPr>
        <w:t>O entitate trebuie să prezinte următoarele elemente, în plus faţă de secţiunile profit sau pierdere şi alte elemente ale rezultatului global, precum alocarea profitului sau pierderii şi a altor elemente ale rezultatului global aferente perioadei :</w:t>
      </w:r>
      <w:bookmarkEnd w:id="266"/>
    </w:p>
    <w:p w:rsidR="004F2778" w:rsidRDefault="004F2778">
      <w:pPr>
        <w:pStyle w:val="IASBNormalnparaL1"/>
      </w:pPr>
      <w:r>
        <w:rPr>
          <w:b/>
        </w:rPr>
        <w:t>(a)</w:t>
      </w:r>
      <w:r>
        <w:tab/>
      </w:r>
      <w:bookmarkStart w:id="267" w:name="F16156026"/>
      <w:r>
        <w:rPr>
          <w:b/>
        </w:rPr>
        <w:t>profitul sau pierderea aferent(ă) perioadei care se atribuie:</w:t>
      </w:r>
      <w:bookmarkEnd w:id="267"/>
    </w:p>
    <w:p w:rsidR="004F2778" w:rsidRDefault="004F2778">
      <w:pPr>
        <w:pStyle w:val="IASBNormalnparaL2"/>
      </w:pPr>
      <w:r>
        <w:rPr>
          <w:b/>
        </w:rPr>
        <w:t>(i)</w:t>
      </w:r>
      <w:r>
        <w:tab/>
      </w:r>
      <w:bookmarkStart w:id="268" w:name="F16156029"/>
      <w:r>
        <w:rPr>
          <w:b/>
        </w:rPr>
        <w:t>intereselor care nu controlează şi</w:t>
      </w:r>
      <w:bookmarkEnd w:id="268"/>
    </w:p>
    <w:p w:rsidR="004F2778" w:rsidRDefault="004F2778">
      <w:pPr>
        <w:pStyle w:val="IASBNormalnparaL2"/>
      </w:pPr>
      <w:r>
        <w:rPr>
          <w:b/>
        </w:rPr>
        <w:t>(ii)</w:t>
      </w:r>
      <w:r>
        <w:tab/>
      </w:r>
      <w:bookmarkStart w:id="269" w:name="F16156031"/>
      <w:r>
        <w:rPr>
          <w:b/>
        </w:rPr>
        <w:t>proprietarilor societăţii-mamă.</w:t>
      </w:r>
      <w:bookmarkEnd w:id="269"/>
    </w:p>
    <w:p w:rsidR="004F2778" w:rsidRDefault="004F2778">
      <w:pPr>
        <w:pStyle w:val="IASBNormalnparaL1"/>
      </w:pPr>
      <w:r>
        <w:rPr>
          <w:b/>
        </w:rPr>
        <w:t>(b)</w:t>
      </w:r>
      <w:r>
        <w:tab/>
      </w:r>
      <w:bookmarkStart w:id="270" w:name="F16156033"/>
      <w:r>
        <w:rPr>
          <w:b/>
        </w:rPr>
        <w:t>rezultatul global aferent perioadei care se atribuie:</w:t>
      </w:r>
      <w:bookmarkEnd w:id="270"/>
    </w:p>
    <w:p w:rsidR="004F2778" w:rsidRDefault="004F2778">
      <w:pPr>
        <w:pStyle w:val="IASBNormalnparaL2"/>
      </w:pPr>
      <w:r>
        <w:rPr>
          <w:b/>
        </w:rPr>
        <w:t>(i)</w:t>
      </w:r>
      <w:r>
        <w:tab/>
      </w:r>
      <w:bookmarkStart w:id="271" w:name="F16156037"/>
      <w:r>
        <w:rPr>
          <w:b/>
        </w:rPr>
        <w:t>intereselor care nu controlează şi</w:t>
      </w:r>
      <w:bookmarkEnd w:id="271"/>
    </w:p>
    <w:p w:rsidR="004F2778" w:rsidRDefault="004F2778">
      <w:pPr>
        <w:pStyle w:val="IASBNormalnparaL2"/>
      </w:pPr>
      <w:r>
        <w:rPr>
          <w:b/>
        </w:rPr>
        <w:t>(ii)</w:t>
      </w:r>
      <w:r>
        <w:tab/>
      </w:r>
      <w:bookmarkStart w:id="272" w:name="F16156039"/>
      <w:r>
        <w:rPr>
          <w:b/>
        </w:rPr>
        <w:t>proprietarilor societăţii-mamă.</w:t>
      </w:r>
      <w:bookmarkEnd w:id="272"/>
    </w:p>
    <w:p w:rsidR="004F2778" w:rsidRDefault="004F2778">
      <w:pPr>
        <w:pStyle w:val="IASBNormalnparaP"/>
      </w:pPr>
      <w:bookmarkStart w:id="273" w:name="F16156042"/>
      <w:r>
        <w:rPr>
          <w:b/>
        </w:rPr>
        <w:t>Dacă o entitate prezintă profitul sau pierderea într-o situaţie financiară individuală, atunci va prezenta litera (a) în cadrul acelei situaţii.</w:t>
      </w:r>
      <w:bookmarkEnd w:id="273"/>
    </w:p>
    <w:p w:rsidR="004F2778" w:rsidRDefault="004F2778">
      <w:pPr>
        <w:pStyle w:val="IASBSectionTitle3Ind"/>
      </w:pPr>
      <w:bookmarkStart w:id="274" w:name="F4165900"/>
      <w:r>
        <w:t>Informaţii care trebuie prezentate în secţiunea profit sau pierdere sau în situaţia profitului sau pierderii</w:t>
      </w:r>
      <w:bookmarkEnd w:id="274"/>
    </w:p>
    <w:p w:rsidR="004F2778" w:rsidRDefault="004F2778">
      <w:pPr>
        <w:pStyle w:val="IASBNormalnpara"/>
        <w:rPr>
          <w:b/>
        </w:rPr>
      </w:pPr>
      <w:r>
        <w:rPr>
          <w:b/>
        </w:rPr>
        <w:t>82</w:t>
      </w:r>
      <w:r>
        <w:tab/>
      </w:r>
      <w:bookmarkStart w:id="275" w:name="F19039570"/>
      <w:r>
        <w:rPr>
          <w:b/>
        </w:rPr>
        <w:t>Pe lângă elementele impuse de alte IFRS-uri, secţiunea profit sau pierdere sau situaţia profitului sau pierderii va include elemente-rând care prezintă următoarele valori aferente perioadei:</w:t>
      </w:r>
      <w:bookmarkEnd w:id="275"/>
    </w:p>
    <w:p w:rsidR="004F2778" w:rsidRDefault="004F2778">
      <w:pPr>
        <w:pStyle w:val="IASBNormalnparaL1"/>
      </w:pPr>
      <w:r>
        <w:rPr>
          <w:b/>
        </w:rPr>
        <w:t>(a)</w:t>
      </w:r>
      <w:r>
        <w:tab/>
      </w:r>
      <w:bookmarkStart w:id="276" w:name="SL19039575"/>
      <w:r>
        <w:rPr>
          <w:b/>
        </w:rPr>
        <w:t>veniturile, prezentarea separată a veniturilor din dobândă calculate folosind metoda dobânzii efective;</w:t>
      </w:r>
      <w:bookmarkEnd w:id="276"/>
    </w:p>
    <w:p w:rsidR="004F2778" w:rsidRDefault="004F2778">
      <w:pPr>
        <w:pStyle w:val="IASBNormalnparaL1"/>
      </w:pPr>
      <w:r>
        <w:rPr>
          <w:b/>
        </w:rPr>
        <w:t>(aa)</w:t>
      </w:r>
      <w:r>
        <w:tab/>
      </w:r>
      <w:bookmarkStart w:id="277" w:name="SL19039581"/>
      <w:r>
        <w:rPr>
          <w:b/>
        </w:rPr>
        <w:t>câştigurile şi pierderile care apar din derecunoaşterea activelor financiare evaluate la costul amortizat;</w:t>
      </w:r>
      <w:bookmarkEnd w:id="277"/>
    </w:p>
    <w:p w:rsidR="004F2778" w:rsidRDefault="004F2778">
      <w:pPr>
        <w:pStyle w:val="IASBNormalnparaL1"/>
      </w:pPr>
      <w:r>
        <w:rPr>
          <w:b/>
        </w:rPr>
        <w:t>(b)</w:t>
      </w:r>
      <w:r>
        <w:tab/>
      </w:r>
      <w:bookmarkStart w:id="278" w:name="SL19039590"/>
      <w:r>
        <w:rPr>
          <w:b/>
        </w:rPr>
        <w:t>costurile de finanţare;</w:t>
      </w:r>
      <w:bookmarkEnd w:id="278"/>
    </w:p>
    <w:p w:rsidR="004F2778" w:rsidRDefault="004F2778">
      <w:pPr>
        <w:pStyle w:val="IASBNormalnparaL1"/>
      </w:pPr>
      <w:r>
        <w:rPr>
          <w:b/>
        </w:rPr>
        <w:t>(ba)</w:t>
      </w:r>
      <w:r>
        <w:tab/>
      </w:r>
      <w:bookmarkStart w:id="279" w:name="F36676529"/>
      <w:r>
        <w:rPr>
          <w:b/>
        </w:rPr>
        <w:t>pierderile din depreciere (inclusiv reluări ale pierderilor sau câştigurilor din depreciere) stabilite în conformitate cu secţiunea 5.5 din IFRS 9;</w:t>
      </w:r>
      <w:bookmarkEnd w:id="279"/>
    </w:p>
    <w:p w:rsidR="004F2778" w:rsidRDefault="004F2778">
      <w:pPr>
        <w:pStyle w:val="IASBNormalnparaL1"/>
      </w:pPr>
      <w:r>
        <w:rPr>
          <w:b/>
        </w:rPr>
        <w:lastRenderedPageBreak/>
        <w:t>(c)</w:t>
      </w:r>
      <w:r>
        <w:tab/>
      </w:r>
      <w:bookmarkStart w:id="280" w:name="F19039593"/>
      <w:r>
        <w:rPr>
          <w:b/>
        </w:rPr>
        <w:t>cota-parte din profitul sau pierderea aferent(ă) entităţilor asociate şi asocierilor în participaţie, contabilizată prin metoda punerii în echivalenţă;</w:t>
      </w:r>
      <w:bookmarkEnd w:id="280"/>
    </w:p>
    <w:p w:rsidR="004F2778" w:rsidRDefault="004F2778">
      <w:pPr>
        <w:pStyle w:val="IASBNormalnparaL1"/>
      </w:pPr>
      <w:r>
        <w:rPr>
          <w:b/>
        </w:rPr>
        <w:t>(ca)</w:t>
      </w:r>
      <w:r>
        <w:tab/>
      </w:r>
      <w:bookmarkStart w:id="281" w:name="SL19039606"/>
      <w:r>
        <w:rPr>
          <w:b/>
        </w:rPr>
        <w:t>dacă un activ financiar este reclasificat în afara categoriei de evaluare la costul amortizat astfel încât să fie evaluat la valoarea justă prin profit sau pierdere, orice câştig sau pierdere generat(ă) dintr-o diferenţă între costul amortizat anterior al activului financiar şi valoarea sa justă la data reclasificării (definită în IFRS 9);</w:t>
      </w:r>
      <w:bookmarkEnd w:id="281"/>
    </w:p>
    <w:p w:rsidR="004F2778" w:rsidRDefault="004F2778">
      <w:pPr>
        <w:pStyle w:val="IASBNormalnparaL1"/>
      </w:pPr>
      <w:r>
        <w:rPr>
          <w:b/>
        </w:rPr>
        <w:t>(cb)</w:t>
      </w:r>
      <w:r>
        <w:tab/>
      </w:r>
      <w:bookmarkStart w:id="282" w:name="F36676615"/>
      <w:r>
        <w:rPr>
          <w:b/>
        </w:rPr>
        <w:t>dacă un activ financiar este reclasificat în afara categoriei de evaluare la valoarea justă prin alte elemente ale rezultatului global astfel încât să fie evaluat la valoarea justă prin profit sau pierdere, orice câştig sau pierdere cumulat(ă), recunoscut(ă) anterior în alte elemente ale rezultatului global care este reclasificat(ă) în profit sau pierdere;</w:t>
      </w:r>
      <w:bookmarkEnd w:id="282"/>
    </w:p>
    <w:p w:rsidR="004F2778" w:rsidRDefault="004F2778">
      <w:pPr>
        <w:pStyle w:val="IASBNormalnparaL1"/>
      </w:pPr>
      <w:r>
        <w:rPr>
          <w:b/>
        </w:rPr>
        <w:t>(d)</w:t>
      </w:r>
      <w:r>
        <w:tab/>
      </w:r>
      <w:bookmarkStart w:id="283" w:name="F19039613"/>
      <w:r>
        <w:rPr>
          <w:b/>
        </w:rPr>
        <w:t>cheltuiala cu impozitul;</w:t>
      </w:r>
      <w:bookmarkEnd w:id="283"/>
    </w:p>
    <w:p w:rsidR="004F2778" w:rsidRDefault="004F2778">
      <w:pPr>
        <w:pStyle w:val="IASBNormalnparaL1"/>
      </w:pPr>
      <w:r>
        <w:rPr>
          <w:b/>
        </w:rPr>
        <w:t>(e)</w:t>
      </w:r>
      <w:r>
        <w:tab/>
      </w:r>
      <w:bookmarkStart w:id="284" w:name="SL19039619"/>
      <w:r>
        <w:t>[eliminată]</w:t>
      </w:r>
      <w:bookmarkEnd w:id="284"/>
    </w:p>
    <w:p w:rsidR="004F2778" w:rsidRDefault="004F2778">
      <w:pPr>
        <w:pStyle w:val="IASBNormalnparaL1"/>
      </w:pPr>
      <w:r>
        <w:rPr>
          <w:b/>
        </w:rPr>
        <w:t>(ea)</w:t>
      </w:r>
      <w:r>
        <w:tab/>
      </w:r>
      <w:bookmarkStart w:id="285" w:name="F19039622"/>
      <w:r>
        <w:rPr>
          <w:b/>
        </w:rPr>
        <w:t>o singură valoare pentru totalul activităţilor întrerupte (a se vedea IFRS 5).</w:t>
      </w:r>
      <w:bookmarkEnd w:id="285"/>
    </w:p>
    <w:p w:rsidR="004F2778" w:rsidRDefault="004F2778">
      <w:pPr>
        <w:pStyle w:val="IASBNormalnparaL1"/>
      </w:pPr>
      <w:r>
        <w:rPr>
          <w:b/>
        </w:rPr>
        <w:t>(f)–(i)</w:t>
      </w:r>
      <w:r>
        <w:tab/>
      </w:r>
      <w:bookmarkStart w:id="286" w:name="F19039628"/>
      <w:r>
        <w:t>[eliminate]</w:t>
      </w:r>
      <w:bookmarkEnd w:id="286"/>
    </w:p>
    <w:p w:rsidR="004F2778" w:rsidRDefault="004F2778">
      <w:pPr>
        <w:pStyle w:val="IASBSectionTitle3Ind"/>
      </w:pPr>
      <w:bookmarkStart w:id="287" w:name="F16156049"/>
      <w:r>
        <w:t>Informaţii care trebuie prezentate în secţiunea alte elemente ale rezultatului global</w:t>
      </w:r>
      <w:bookmarkEnd w:id="287"/>
    </w:p>
    <w:p w:rsidR="004F2778" w:rsidRDefault="004F2778">
      <w:pPr>
        <w:pStyle w:val="IASBNormalnpara"/>
        <w:rPr>
          <w:b/>
        </w:rPr>
      </w:pPr>
      <w:r>
        <w:rPr>
          <w:b/>
        </w:rPr>
        <w:t>82A</w:t>
      </w:r>
      <w:r>
        <w:tab/>
      </w:r>
      <w:bookmarkStart w:id="288" w:name="F38869454"/>
      <w:r>
        <w:rPr>
          <w:b/>
        </w:rPr>
        <w:t>Secțiunea alte elemente ale rezultatului global trebuie să prezinte elemente-rând pentru valorile aferente perioadei pentru:</w:t>
      </w:r>
      <w:bookmarkEnd w:id="288"/>
    </w:p>
    <w:p w:rsidR="004F2778" w:rsidRDefault="004F2778">
      <w:pPr>
        <w:pStyle w:val="IASBNormalnparaL1"/>
      </w:pPr>
      <w:r>
        <w:rPr>
          <w:b/>
        </w:rPr>
        <w:t>(a)</w:t>
      </w:r>
      <w:r>
        <w:tab/>
      </w:r>
      <w:bookmarkStart w:id="289" w:name="F38869466"/>
      <w:r>
        <w:rPr>
          <w:b/>
        </w:rPr>
        <w:t>alte elemente ale rezultatului global (cu excepția valorilor de la litera (b)), clasificate în funcție de natură și grupate în elemente care, în conformitate cu alte IFRS-uri:</w:t>
      </w:r>
      <w:bookmarkEnd w:id="289"/>
    </w:p>
    <w:p w:rsidR="004F2778" w:rsidRDefault="004F2778">
      <w:pPr>
        <w:pStyle w:val="IASBNormalnparaL2"/>
        <w:rPr>
          <w:b/>
        </w:rPr>
      </w:pPr>
      <w:r>
        <w:rPr>
          <w:b/>
        </w:rPr>
        <w:t>(i)</w:t>
      </w:r>
      <w:r>
        <w:tab/>
      </w:r>
      <w:bookmarkStart w:id="290" w:name="F38869448"/>
      <w:r>
        <w:rPr>
          <w:b/>
        </w:rPr>
        <w:t>nu vor fi reclasificate ulterior în profit sau pierdere; și</w:t>
      </w:r>
      <w:bookmarkEnd w:id="290"/>
    </w:p>
    <w:p w:rsidR="004F2778" w:rsidRDefault="004F2778">
      <w:pPr>
        <w:pStyle w:val="IASBNormalnparaL2"/>
        <w:rPr>
          <w:b/>
        </w:rPr>
      </w:pPr>
      <w:r>
        <w:rPr>
          <w:b/>
        </w:rPr>
        <w:t>(ii)</w:t>
      </w:r>
      <w:r>
        <w:tab/>
      </w:r>
      <w:bookmarkStart w:id="291" w:name="F38869450"/>
      <w:r>
        <w:rPr>
          <w:b/>
        </w:rPr>
        <w:t>vor fi reclasificate ulterior în profit sau pierdere atunci când vor fi îndeplinite anumite condiţii.</w:t>
      </w:r>
      <w:bookmarkEnd w:id="291"/>
    </w:p>
    <w:p w:rsidR="004F2778" w:rsidRDefault="004F2778">
      <w:pPr>
        <w:pStyle w:val="IASBNormalnparaL1"/>
      </w:pPr>
      <w:r>
        <w:rPr>
          <w:b/>
        </w:rPr>
        <w:t>(b)</w:t>
      </w:r>
      <w:r>
        <w:tab/>
      </w:r>
      <w:bookmarkStart w:id="292" w:name="F38869470"/>
      <w:r>
        <w:rPr>
          <w:b/>
        </w:rPr>
        <w:t>cota-parte din alte elemente ale rezultatului global aferente entităților asociate și asocierilor în participaţie contabilizată prin metoda punerii în echivalenţă, separată în cota-parte din elementele care, în conformitate cu alte IFRS-uri:</w:t>
      </w:r>
      <w:bookmarkEnd w:id="292"/>
    </w:p>
    <w:p w:rsidR="004F2778" w:rsidRDefault="004F2778">
      <w:pPr>
        <w:pStyle w:val="IASBNormalnparaL2"/>
        <w:rPr>
          <w:b/>
        </w:rPr>
      </w:pPr>
      <w:r>
        <w:rPr>
          <w:b/>
        </w:rPr>
        <w:t>(i)</w:t>
      </w:r>
      <w:r>
        <w:tab/>
      </w:r>
      <w:bookmarkStart w:id="293" w:name="F38869453"/>
      <w:r>
        <w:rPr>
          <w:b/>
        </w:rPr>
        <w:t>nu vor fi reclasificate ulterior în profit sau pierdere; și</w:t>
      </w:r>
      <w:bookmarkEnd w:id="293"/>
    </w:p>
    <w:p w:rsidR="004F2778" w:rsidRDefault="004F2778">
      <w:pPr>
        <w:pStyle w:val="IASBNormalnparaL2"/>
        <w:rPr>
          <w:b/>
        </w:rPr>
      </w:pPr>
      <w:r>
        <w:rPr>
          <w:b/>
        </w:rPr>
        <w:t>(ii)</w:t>
      </w:r>
      <w:r>
        <w:tab/>
      </w:r>
      <w:bookmarkStart w:id="294" w:name="F38869639"/>
      <w:r>
        <w:rPr>
          <w:b/>
        </w:rPr>
        <w:t>vor fi reclasificate ulterior în profit sau pierdere atunci când vor fi îndeplinite anumite condiţii.</w:t>
      </w:r>
      <w:bookmarkEnd w:id="294"/>
    </w:p>
    <w:p w:rsidR="004F2778" w:rsidRDefault="004F2778">
      <w:pPr>
        <w:pStyle w:val="IASBNormalnpara"/>
        <w:rPr>
          <w:b/>
        </w:rPr>
      </w:pPr>
      <w:r>
        <w:rPr>
          <w:b/>
        </w:rPr>
        <w:t>83–</w:t>
      </w:r>
    </w:p>
    <w:p w:rsidR="004F2778" w:rsidRDefault="004F2778">
      <w:pPr>
        <w:pStyle w:val="IASBNormalnparaC"/>
        <w:rPr>
          <w:b/>
        </w:rPr>
      </w:pPr>
      <w:r>
        <w:rPr>
          <w:b/>
        </w:rPr>
        <w:t>84</w:t>
      </w:r>
      <w:r>
        <w:tab/>
      </w:r>
      <w:bookmarkStart w:id="295" w:name="F3903541"/>
      <w:r>
        <w:t>[Eliminate]</w:t>
      </w:r>
      <w:bookmarkEnd w:id="295"/>
    </w:p>
    <w:p w:rsidR="004F2778" w:rsidRDefault="004F2778">
      <w:pPr>
        <w:pStyle w:val="IASBNormalnpara"/>
        <w:rPr>
          <w:b/>
        </w:rPr>
      </w:pPr>
      <w:r>
        <w:rPr>
          <w:b/>
        </w:rPr>
        <w:t>85</w:t>
      </w:r>
      <w:r>
        <w:tab/>
      </w:r>
      <w:bookmarkStart w:id="296" w:name="F38869650"/>
      <w:r>
        <w:rPr>
          <w:b/>
        </w:rPr>
        <w:t>O entitate trebuie să prezinte elemente-rând suplimentare (inclusiv prin dezagregarea elementelor-rând prezentate la punctul 82), titluri şi subtotaluri în situația (situaţiile) care prezintă profitul sau pierderea și alte elemente ale rezultatului global atunci când o astfel de prezentare este relevantă pentru înţelegerea performanței financiare a entităţii.</w:t>
      </w:r>
      <w:bookmarkEnd w:id="296"/>
    </w:p>
    <w:p w:rsidR="004F2778" w:rsidRDefault="004F2778">
      <w:pPr>
        <w:pStyle w:val="IASBNormalnpara"/>
      </w:pPr>
      <w:r>
        <w:t>85A</w:t>
      </w:r>
      <w:r>
        <w:tab/>
      </w:r>
      <w:bookmarkStart w:id="297" w:name="F38870978"/>
      <w:r>
        <w:t>Atunci când o entitate prezintă subtotaluri în conformitate cu punctul 85, aceste subtotaluri trebuie:</w:t>
      </w:r>
      <w:bookmarkEnd w:id="297"/>
    </w:p>
    <w:p w:rsidR="004F2778" w:rsidRDefault="004F2778">
      <w:pPr>
        <w:pStyle w:val="IASBNormalnparaL1"/>
      </w:pPr>
      <w:r>
        <w:t>(a)</w:t>
      </w:r>
      <w:r>
        <w:tab/>
      </w:r>
      <w:bookmarkStart w:id="298" w:name="F38870981"/>
      <w:r>
        <w:t>să fie compuse din elemente-rând formate din valori recunoscute și evaluate în conformitate cu IFRS;</w:t>
      </w:r>
      <w:bookmarkEnd w:id="298"/>
    </w:p>
    <w:p w:rsidR="004F2778" w:rsidRDefault="004F2778">
      <w:pPr>
        <w:pStyle w:val="IASBNormalnparaL1"/>
      </w:pPr>
      <w:r>
        <w:t>(b)</w:t>
      </w:r>
      <w:r>
        <w:tab/>
      </w:r>
      <w:bookmarkStart w:id="299" w:name="F38870983"/>
      <w:r>
        <w:t>să fie prezentate și etichetate într-o manieră care face ca elementele-rând ce formează subtotalul să fie clare și inteligibile;</w:t>
      </w:r>
      <w:bookmarkEnd w:id="299"/>
    </w:p>
    <w:p w:rsidR="004F2778" w:rsidRDefault="004F2778">
      <w:pPr>
        <w:pStyle w:val="IASBNormalnparaL1"/>
      </w:pPr>
      <w:r>
        <w:t>(c)</w:t>
      </w:r>
      <w:r>
        <w:tab/>
      </w:r>
      <w:bookmarkStart w:id="300" w:name="F38870985"/>
      <w:r>
        <w:t>să fie consecvente de la o perioadă la alta, în conformitate cu punctul 45; și</w:t>
      </w:r>
      <w:bookmarkEnd w:id="300"/>
    </w:p>
    <w:p w:rsidR="004F2778" w:rsidRDefault="004F2778">
      <w:pPr>
        <w:pStyle w:val="IASBNormalnparaL1"/>
      </w:pPr>
      <w:r>
        <w:t>(d)</w:t>
      </w:r>
      <w:r>
        <w:tab/>
      </w:r>
      <w:bookmarkStart w:id="301" w:name="F38870987"/>
      <w:r>
        <w:t>să nu fie prezentate mai proeminent decât subtotalurile și totalurile impuse de IFRS pentru situaţia (situațiile) care prezintă profitul sau pierderea și alte elemente ale rezultatului global.</w:t>
      </w:r>
      <w:bookmarkEnd w:id="301"/>
    </w:p>
    <w:p w:rsidR="004F2778" w:rsidRDefault="004F2778">
      <w:pPr>
        <w:pStyle w:val="IASBNormalnpara"/>
      </w:pPr>
      <w:r>
        <w:t>85B</w:t>
      </w:r>
      <w:r>
        <w:tab/>
      </w:r>
      <w:bookmarkStart w:id="302" w:name="F38869702"/>
      <w:r>
        <w:t>O entitate trebuie să prezinte elementele-rând în situația (situațiile) care prezintă profitul sau pierderea și alte elemente ale rezultatului global și care reconciliază subtotalurile prezentate în conformitate cu punctul 85 cu subtotalurile sau totalurile impune de IFRS pentru această situație (aceste situații).</w:t>
      </w:r>
      <w:bookmarkEnd w:id="302"/>
    </w:p>
    <w:p w:rsidR="004F2778" w:rsidRDefault="004F2778">
      <w:pPr>
        <w:pStyle w:val="IASBNormalnpara"/>
      </w:pPr>
      <w:r>
        <w:t>86</w:t>
      </w:r>
      <w:r>
        <w:tab/>
      </w:r>
      <w:bookmarkStart w:id="303" w:name="F3903565"/>
      <w:r>
        <w:t xml:space="preserve">Deoarece efectele diverselor activităţi, tranzacţii şi alte evenimente ale unei entităţi diferă din punctul de vedere al frecvenţei, al potenţialului de câştig sau pierdere şi al previzibilităţii, prezentarea componentelor performanţei financiare ajută utilizatorii să înţeleagă performanţa financiară obţinută şi să realizeze proiecţii ale performanţei financiare viitoare. O entitate include elemente-rând suplimentare în situaţia (situaţiile) care prezintă profitul sau pierderea şi alte elemente ale rezultatului global, iar descrierile utilizate şi ordinea </w:t>
      </w:r>
      <w:r>
        <w:lastRenderedPageBreak/>
        <w:t>elementelor sunt modificate când este necesară explicarea elementelor de performanţă financiară. O entitate ia în considerare factori precum pragul de semnificaţie și natura şi funcţia elementelor de venituri şi cheltuieli. De exemplu, o instituţie financiară poate modifica descrierile pentru a oferi informaţii relevante pentru operaţiunile unei instituţii financiare. O entitate nu compensează elementele de venituri şi cheltuieli dacă nu sunt îndeplinite criteriile de la punctul 32.</w:t>
      </w:r>
      <w:bookmarkEnd w:id="303"/>
    </w:p>
    <w:p w:rsidR="004F2778" w:rsidRDefault="004F2778">
      <w:pPr>
        <w:pStyle w:val="IASBNormalnpara"/>
        <w:rPr>
          <w:b/>
        </w:rPr>
      </w:pPr>
      <w:r>
        <w:rPr>
          <w:b/>
        </w:rPr>
        <w:t>87</w:t>
      </w:r>
      <w:r>
        <w:tab/>
      </w:r>
      <w:bookmarkStart w:id="304" w:name="F3903566"/>
      <w:r>
        <w:rPr>
          <w:b/>
        </w:rPr>
        <w:t>O entitate nu trebuie să prezinte niciun element de venit sau cheltuială drept elemente extraordinare nici în situaţia (situaţiile) care prezintă profitul sau pierderea şi alte elemente alte rezultatului global, nici în note.</w:t>
      </w:r>
      <w:bookmarkEnd w:id="304"/>
    </w:p>
    <w:p w:rsidR="004F2778" w:rsidRDefault="004F2778">
      <w:pPr>
        <w:pStyle w:val="IASBSectionTitle3Ind"/>
      </w:pPr>
      <w:bookmarkStart w:id="305" w:name="F3903569"/>
      <w:r>
        <w:t>Profitul sau pierderea aferent(ă) perioadei</w:t>
      </w:r>
      <w:bookmarkEnd w:id="305"/>
    </w:p>
    <w:p w:rsidR="004F2778" w:rsidRDefault="004F2778">
      <w:pPr>
        <w:pStyle w:val="IASBNormalnpara"/>
        <w:rPr>
          <w:b/>
        </w:rPr>
      </w:pPr>
      <w:r>
        <w:rPr>
          <w:b/>
        </w:rPr>
        <w:t>88</w:t>
      </w:r>
      <w:r>
        <w:tab/>
      </w:r>
      <w:bookmarkStart w:id="306" w:name="F3903587"/>
      <w:r>
        <w:rPr>
          <w:b/>
        </w:rPr>
        <w:t>O entitate trebuie să recunoască toate elementele de venit şi cheltuială dintr-o perioadă în profit sau pierdere, cu excepţia cazului în care un IFRS prevede sau permite o modalitate diferită.</w:t>
      </w:r>
      <w:bookmarkEnd w:id="306"/>
    </w:p>
    <w:p w:rsidR="004F2778" w:rsidRDefault="004F2778">
      <w:pPr>
        <w:pStyle w:val="IASBNormalnpara"/>
      </w:pPr>
      <w:r>
        <w:t>89</w:t>
      </w:r>
      <w:r>
        <w:tab/>
      </w:r>
      <w:bookmarkStart w:id="307" w:name="F3903588"/>
      <w:r>
        <w:t xml:space="preserve">Unele IFRS-uri specifică circumstanţele în care entitatea recunoaşte elemente speciale în afara profitului sau pierderii din perioada curentă. IAS 8 specifică două astfel de circumstanţe: corectarea erorilor şi efectul modificărilor politicilor contabile. Alte IFRS-uri prevăd sau permit excluderea din profit sau pierdere a componentelor altor elemente ale rezultatului global care corespund definiţiei veniturilor sau cheltuielilor din </w:t>
      </w:r>
      <w:r>
        <w:rPr>
          <w:i/>
        </w:rPr>
        <w:t>Cadrul general</w:t>
      </w:r>
      <w:r>
        <w:rPr>
          <w:rStyle w:val="FootnoteReference"/>
        </w:rPr>
        <w:footnoteReference w:id="5"/>
      </w:r>
      <w:r>
        <w:t xml:space="preserve"> (a se vedea punctul 7).</w:t>
      </w:r>
      <w:bookmarkEnd w:id="307"/>
    </w:p>
    <w:p w:rsidR="004F2778" w:rsidRDefault="004F2778">
      <w:pPr>
        <w:pStyle w:val="IASBSectionTitle3Ind"/>
      </w:pPr>
      <w:bookmarkStart w:id="308" w:name="F3903589"/>
      <w:r>
        <w:t>Alte elemente ale rezultatului global aferente perioadei</w:t>
      </w:r>
      <w:bookmarkEnd w:id="308"/>
    </w:p>
    <w:p w:rsidR="004F2778" w:rsidRDefault="004F2778">
      <w:pPr>
        <w:pStyle w:val="IASBNormalnpara"/>
        <w:rPr>
          <w:b/>
        </w:rPr>
      </w:pPr>
      <w:r>
        <w:rPr>
          <w:b/>
        </w:rPr>
        <w:t>90</w:t>
      </w:r>
      <w:r>
        <w:tab/>
      </w:r>
      <w:bookmarkStart w:id="309" w:name="F3903591"/>
      <w:r>
        <w:rPr>
          <w:b/>
        </w:rPr>
        <w:t>O entitate trebuie să prezinte valoarea impozitului pe profit aferent fiecărui element din alte elemente ale rezultatului global, inclusiv ajustările din reclasificare, fie în situaţia profitului sau pierderii şi altor elemente ale rezultatului global, fie în note.</w:t>
      </w:r>
      <w:bookmarkEnd w:id="309"/>
    </w:p>
    <w:p w:rsidR="004F2778" w:rsidRDefault="004F2778">
      <w:pPr>
        <w:pStyle w:val="IASBNormalnpara"/>
      </w:pPr>
      <w:r>
        <w:t>91</w:t>
      </w:r>
      <w:r>
        <w:tab/>
      </w:r>
      <w:bookmarkStart w:id="310" w:name="F3903592"/>
      <w:r>
        <w:t>O entitate poate prezenta componentele altor elemente ale rezultatului global fie:</w:t>
      </w:r>
      <w:bookmarkEnd w:id="310"/>
    </w:p>
    <w:p w:rsidR="004F2778" w:rsidRDefault="004F2778">
      <w:pPr>
        <w:pStyle w:val="IASBNormalnparaL1"/>
      </w:pPr>
      <w:r>
        <w:t>(a)</w:t>
      </w:r>
      <w:r>
        <w:tab/>
      </w:r>
      <w:bookmarkStart w:id="311" w:name="F3903595"/>
      <w:r>
        <w:t>fără efectele fiscale aferente, fie</w:t>
      </w:r>
      <w:bookmarkEnd w:id="311"/>
    </w:p>
    <w:p w:rsidR="004F2778" w:rsidRDefault="004F2778">
      <w:pPr>
        <w:pStyle w:val="IASBNormalnparaL1"/>
      </w:pPr>
      <w:r>
        <w:t>(b)</w:t>
      </w:r>
      <w:r>
        <w:tab/>
      </w:r>
      <w:bookmarkStart w:id="312" w:name="F3903597"/>
      <w:r>
        <w:t>înainte de efectele fiscale aferente, evidenţiind o sumă pentru valoarea agregată a impozitului pe profit aferent acelor elemente.</w:t>
      </w:r>
      <w:bookmarkEnd w:id="312"/>
    </w:p>
    <w:p w:rsidR="004F2778" w:rsidRDefault="004F2778">
      <w:pPr>
        <w:pStyle w:val="IASBNormalnparaP"/>
      </w:pPr>
      <w:bookmarkStart w:id="313" w:name="F16156070"/>
      <w:r>
        <w:t>Dacă o entitate alege alternativa (b), atunci va aloca impozitul între elementele care pot fi reclasificate ulterior în secţiunea profit sau pierdere şi cele care nu vor fi reclasificate ulterior în secţiunea profit sau pierdere.</w:t>
      </w:r>
      <w:bookmarkEnd w:id="313"/>
    </w:p>
    <w:p w:rsidR="004F2778" w:rsidRDefault="004F2778">
      <w:pPr>
        <w:pStyle w:val="IASBNormalnpara"/>
        <w:rPr>
          <w:b/>
        </w:rPr>
      </w:pPr>
      <w:r>
        <w:rPr>
          <w:b/>
        </w:rPr>
        <w:t>92</w:t>
      </w:r>
      <w:r>
        <w:tab/>
      </w:r>
      <w:bookmarkStart w:id="314" w:name="F3903598"/>
      <w:r>
        <w:rPr>
          <w:b/>
        </w:rPr>
        <w:t>O entitate trebuie să prezinte ajustările din reclasificare aferente componentelor altor elemente ale rezultatului global.</w:t>
      </w:r>
      <w:bookmarkEnd w:id="314"/>
    </w:p>
    <w:p w:rsidR="004F2778" w:rsidRDefault="004F2778">
      <w:pPr>
        <w:pStyle w:val="IASBNormalnpara"/>
      </w:pPr>
      <w:r>
        <w:t>93</w:t>
      </w:r>
      <w:r>
        <w:tab/>
      </w:r>
      <w:bookmarkStart w:id="315" w:name="F19039713"/>
      <w:r>
        <w:t>Alte IFRS-uri specifică dacă şi când se reclasifică în profit sau pierdere valorile recunoscute anterior în alte elemente ale rezultatului global. În prezentul standard, astfel de reclasificări sunt numite ajustări din reclasificare. O ajustare din reclasificare este inclusă alături de componenta asociată altor elemente ale rezultatului global în perioada în care ajustarea se reclasifică în profit sau pierdere. Aceste sume ar fi putut fi recunoscute în alte elemente ale rezultatului global drept câştiguri nerealizate în perioadele curente sau anterioare. Acele câştiguri nerealizate trebuie scăzute din alte elemente ale rezultatului global în perioada în care câştigurile realizate sunt reclasificate în profit sau pierdere pentru a evita includerea lor de două ori în rezultatul global total.</w:t>
      </w:r>
      <w:bookmarkEnd w:id="315"/>
    </w:p>
    <w:p w:rsidR="004F2778" w:rsidRDefault="004F2778">
      <w:pPr>
        <w:pStyle w:val="IASBNormalnpara"/>
      </w:pPr>
      <w:r>
        <w:t>94</w:t>
      </w:r>
      <w:r>
        <w:tab/>
      </w:r>
      <w:bookmarkStart w:id="316" w:name="F3903600"/>
      <w:r>
        <w:t>O entitate poate prezenta ajustările din reclasificare fie în situaţia (situaţiile) profitului sau pierderii şi altor elemente ale rezultatului global, fie în note. O entitate care prezintă ajustările din reclasificare în note prezintă componentele altor elemente ale rezultatului global ulterior oricăror ajustări din reclasificare aferente.</w:t>
      </w:r>
      <w:bookmarkEnd w:id="316"/>
    </w:p>
    <w:p w:rsidR="004F2778" w:rsidRDefault="004F2778">
      <w:pPr>
        <w:pStyle w:val="IASBNormalnpara"/>
      </w:pPr>
      <w:r>
        <w:t>95</w:t>
      </w:r>
      <w:r>
        <w:tab/>
      </w:r>
      <w:bookmarkStart w:id="317" w:name="F19039719"/>
      <w:r>
        <w:t>Ajustările din reclasificare apar, de exemplu, la cedarea unei operaţiuni din străinătate (a se vedea IAS 21) şi atunci când fluxurile de trezorerie prognozate acoperite împotriva riscurilor afectează profitul sau pierderea (a se vedea punctul 6.5.11 litera (d) din IFRS 9 în legătură cu acoperirea fluxurilor de trezorerie împotriva riscurilor).</w:t>
      </w:r>
      <w:bookmarkEnd w:id="317"/>
    </w:p>
    <w:p w:rsidR="004F2778" w:rsidRDefault="004F2778">
      <w:pPr>
        <w:pStyle w:val="IASBNormalnpara"/>
      </w:pPr>
      <w:r>
        <w:t>96</w:t>
      </w:r>
      <w:r>
        <w:tab/>
      </w:r>
      <w:bookmarkStart w:id="318" w:name="F28554656"/>
      <w:r>
        <w:t xml:space="preserve">Ajustările din reclasificare nu apar pentru modificări ale surplusului din reevaluare recunoscut în conformitate cu IAS 16 sau cu IAS 38 ori pentru evaluări ale planurilor de beneficii determinate recunoscute în conformitate cu IAS 19. Aceste componente sunt recunoscute în alte elemente ale rezultatului global şi nu sunt reclasificate în profit sau pierdere în perioadele ulterioare. Modificările surplusului din reevaluare pot fi transferate la rezultatul reportat în perioadele ulterioare pe măsură ce activul este utilizat sau atunci când este derecunoscut (a se vedea IAS 16 şi IAS 38). În conformitate cu </w:t>
      </w:r>
      <w:r>
        <w:lastRenderedPageBreak/>
        <w:t>IFRS 9, ajustările din reclasificare nu apar dacă acoperirea fluxurilor de trezorerie împotriva riscurilor sau contabilizarea valorii-timp a unei opţiuni (sau elementul forward dintr-un contract forward sau marja cu bază valutară a unui instrument financiar) au ca rezultat valori ce sunt eliminate din rezerva de acoperire a fluxurilor de trezorerie împotriva riscurilor sau o componentă separată a capitalurilor proprii şi sunt incluse direct în costul iniţial sau în altă valoare contabilă a unui activ sau a unei datorii. Aceste valori sunt transferate direct la active sau datorii.</w:t>
      </w:r>
      <w:bookmarkEnd w:id="318"/>
    </w:p>
    <w:p w:rsidR="004F2778" w:rsidRDefault="004F2778">
      <w:pPr>
        <w:pStyle w:val="IASBSectionTitle3Ind"/>
      </w:pPr>
      <w:bookmarkStart w:id="319" w:name="F3903603"/>
      <w:r>
        <w:t>Informaţii care trebuie prezentate fie în situaţia (situaţiile) profitului sau pierderii şi altor elemente ale rezultatului global, fie în note</w:t>
      </w:r>
      <w:bookmarkEnd w:id="319"/>
    </w:p>
    <w:p w:rsidR="004F2778" w:rsidRDefault="004F2778">
      <w:pPr>
        <w:pStyle w:val="IASBNormalnpara"/>
        <w:rPr>
          <w:b/>
        </w:rPr>
      </w:pPr>
      <w:r>
        <w:rPr>
          <w:b/>
        </w:rPr>
        <w:t>97</w:t>
      </w:r>
      <w:r>
        <w:tab/>
      </w:r>
      <w:bookmarkStart w:id="320" w:name="F3903605"/>
      <w:r>
        <w:rPr>
          <w:b/>
        </w:rPr>
        <w:t>Atunci când elementele de venituri sau cheltuieli sunt semnificative, o entitate trebuie să prezinte separat natura şi valoarea lor.</w:t>
      </w:r>
      <w:bookmarkEnd w:id="320"/>
    </w:p>
    <w:p w:rsidR="004F2778" w:rsidRDefault="004F2778">
      <w:pPr>
        <w:pStyle w:val="IASBNormalnpara"/>
      </w:pPr>
      <w:r>
        <w:t>98</w:t>
      </w:r>
      <w:r>
        <w:tab/>
      </w:r>
      <w:bookmarkStart w:id="321" w:name="F3903607"/>
      <w:r>
        <w:t>Circumstanţele care ar genera prezentarea separată a elementelor de venituri şi cheltuieli includ:</w:t>
      </w:r>
      <w:bookmarkEnd w:id="321"/>
    </w:p>
    <w:p w:rsidR="004F2778" w:rsidRDefault="004F2778">
      <w:pPr>
        <w:pStyle w:val="IASBNormalnparaL1"/>
      </w:pPr>
      <w:r>
        <w:t>(a)</w:t>
      </w:r>
      <w:r>
        <w:tab/>
      </w:r>
      <w:bookmarkStart w:id="322" w:name="F3903610"/>
      <w:r>
        <w:t>reduceri ale valorii contabile a stocurilor până la valoarea realizabilă netă sau ale imobilizărilor corporale până la valoarea recuperabilă şi, de asemenea, reluări ale unor astfel de reduceri;</w:t>
      </w:r>
      <w:bookmarkEnd w:id="322"/>
    </w:p>
    <w:p w:rsidR="004F2778" w:rsidRDefault="004F2778">
      <w:pPr>
        <w:pStyle w:val="IASBNormalnparaL1"/>
      </w:pPr>
      <w:r>
        <w:t>(b)</w:t>
      </w:r>
      <w:r>
        <w:tab/>
      </w:r>
      <w:bookmarkStart w:id="323" w:name="F3903612"/>
      <w:r>
        <w:t>restructurări ale activităţilor unei entităţi şi reluări ale oricăror provizioane pentru costurile restructurării;</w:t>
      </w:r>
      <w:bookmarkEnd w:id="323"/>
    </w:p>
    <w:p w:rsidR="004F2778" w:rsidRDefault="004F2778">
      <w:pPr>
        <w:pStyle w:val="IASBNormalnparaL1"/>
      </w:pPr>
      <w:r>
        <w:t>(c)</w:t>
      </w:r>
      <w:r>
        <w:tab/>
      </w:r>
      <w:bookmarkStart w:id="324" w:name="F3903614"/>
      <w:r>
        <w:t>cedări ale unor elemente de imobilizări corporale;</w:t>
      </w:r>
      <w:bookmarkEnd w:id="324"/>
    </w:p>
    <w:p w:rsidR="004F2778" w:rsidRDefault="004F2778">
      <w:pPr>
        <w:pStyle w:val="IASBNormalnparaL1"/>
      </w:pPr>
      <w:r>
        <w:t>(d)</w:t>
      </w:r>
      <w:r>
        <w:tab/>
      </w:r>
      <w:bookmarkStart w:id="325" w:name="F3903616"/>
      <w:r>
        <w:t>cedări ale unor investiţii;</w:t>
      </w:r>
      <w:bookmarkEnd w:id="325"/>
    </w:p>
    <w:p w:rsidR="004F2778" w:rsidRDefault="004F2778">
      <w:pPr>
        <w:pStyle w:val="IASBNormalnparaL1"/>
      </w:pPr>
      <w:r>
        <w:t>(e)</w:t>
      </w:r>
      <w:r>
        <w:tab/>
      </w:r>
      <w:bookmarkStart w:id="326" w:name="F3903618"/>
      <w:r>
        <w:t>activităţi întrerupte;</w:t>
      </w:r>
      <w:bookmarkEnd w:id="326"/>
    </w:p>
    <w:p w:rsidR="004F2778" w:rsidRDefault="004F2778">
      <w:pPr>
        <w:pStyle w:val="IASBNormalnparaL1"/>
      </w:pPr>
      <w:r>
        <w:t>(f)</w:t>
      </w:r>
      <w:r>
        <w:tab/>
      </w:r>
      <w:bookmarkStart w:id="327" w:name="F3903620"/>
      <w:r>
        <w:t>soluţionarea litigiilor; și</w:t>
      </w:r>
      <w:bookmarkEnd w:id="327"/>
    </w:p>
    <w:p w:rsidR="004F2778" w:rsidRDefault="004F2778">
      <w:pPr>
        <w:pStyle w:val="IASBNormalnparaL1"/>
      </w:pPr>
      <w:r>
        <w:t>(g)</w:t>
      </w:r>
      <w:r>
        <w:tab/>
      </w:r>
      <w:bookmarkStart w:id="328" w:name="F3903622"/>
      <w:r>
        <w:t>alte reluări de provizioane.</w:t>
      </w:r>
      <w:bookmarkEnd w:id="328"/>
    </w:p>
    <w:p w:rsidR="004F2778" w:rsidRDefault="004F2778">
      <w:pPr>
        <w:pStyle w:val="IASBNormalnpara"/>
        <w:rPr>
          <w:b/>
        </w:rPr>
      </w:pPr>
      <w:r>
        <w:rPr>
          <w:b/>
        </w:rPr>
        <w:t>99</w:t>
      </w:r>
      <w:r>
        <w:tab/>
      </w:r>
      <w:bookmarkStart w:id="329" w:name="F3903623"/>
      <w:r>
        <w:rPr>
          <w:b/>
        </w:rPr>
        <w:t>O entitate trebuie să prezinte o analiză a cheltuielilor recunoscute în profit sau pierdere utilizând o clasificare bazată fie pe natura cheltuielilor, fie pe destinaţia lor în cadrul entităţii, în funcţie de care dintre acestea furnizează informaţii fiabile şi mai relevante.</w:t>
      </w:r>
      <w:bookmarkEnd w:id="329"/>
    </w:p>
    <w:p w:rsidR="004F2778" w:rsidRDefault="004F2778">
      <w:pPr>
        <w:pStyle w:val="IASBNormalnpara"/>
      </w:pPr>
      <w:r>
        <w:t>100</w:t>
      </w:r>
      <w:r>
        <w:tab/>
      </w:r>
      <w:bookmarkStart w:id="330" w:name="F3903624"/>
      <w:r>
        <w:t>Entităţile sunt încurajate să prezinte analiza de la punctul 99 în situaţia (situaţiile) care prezintă profitul sau pierderea şi alte elemente ale rezultatului global.</w:t>
      </w:r>
      <w:bookmarkEnd w:id="330"/>
    </w:p>
    <w:p w:rsidR="004F2778" w:rsidRDefault="004F2778">
      <w:pPr>
        <w:pStyle w:val="IASBNormalnpara"/>
      </w:pPr>
      <w:r>
        <w:t>101</w:t>
      </w:r>
      <w:r>
        <w:tab/>
      </w:r>
      <w:bookmarkStart w:id="331" w:name="F3903625"/>
      <w:r>
        <w:t>Cheltuielile sunt subclasificate pentru a evidenţia componentele performanţei financiare care pot diferi în ceea ce priveşte frecvenţa, potenţialul de câştig sau pierdere şi previzibilitatea. Această analiză este furnizată în una dintre cele două forme posibile.</w:t>
      </w:r>
      <w:bookmarkEnd w:id="331"/>
    </w:p>
    <w:p w:rsidR="004F2778" w:rsidRDefault="004F2778">
      <w:pPr>
        <w:pStyle w:val="IASBNormalnpara"/>
      </w:pPr>
      <w:r>
        <w:t>102</w:t>
      </w:r>
      <w:r>
        <w:tab/>
      </w:r>
      <w:bookmarkStart w:id="332" w:name="F3903626"/>
      <w:r>
        <w:t>Prima formă de analiză este metoda clasificării după „natura cheltuielilor”. O entitate cumulează cheltuielile în profit sau pierdere conform naturii lor (de exemplu, amortizarea, achiziţiile de materii prime, cheltuielile cu transportul, beneficiile angajaţilor şi cheltuielile de publicitate) şi nu le realocă unor funcții din cadrul entităţii. Această metodă poate fi simplu de aplicat deoarece nu este necesară nicio alocare a cheltuielilor pe clasificări funcţionale. Un exemplu de clasificare utilizând metoda repartizării cheltuielilor după natură este următorul:</w:t>
      </w:r>
      <w:bookmarkEnd w:id="332"/>
    </w:p>
    <w:p w:rsidR="004F2778" w:rsidRDefault="004F2778">
      <w:pPr>
        <w:pStyle w:val="IASBNormalnpara"/>
      </w:pPr>
    </w:p>
    <w:tbl>
      <w:tblPr>
        <w:tblW w:w="0" w:type="auto"/>
        <w:tblInd w:w="964" w:type="dxa"/>
        <w:tblLayout w:type="fixed"/>
        <w:tblLook w:val="0000" w:firstRow="0" w:lastRow="0" w:firstColumn="0" w:lastColumn="0" w:noHBand="0" w:noVBand="0"/>
      </w:tblPr>
      <w:tblGrid>
        <w:gridCol w:w="236"/>
        <w:gridCol w:w="6208"/>
        <w:gridCol w:w="910"/>
        <w:gridCol w:w="910"/>
      </w:tblGrid>
      <w:tr w:rsidR="004F2778">
        <w:trPr>
          <w:cantSplit/>
        </w:trPr>
        <w:tc>
          <w:tcPr>
            <w:tcW w:w="216" w:type="dxa"/>
            <w:vAlign w:val="bottom"/>
          </w:tcPr>
          <w:p w:rsidR="004F2778" w:rsidRDefault="004F2778">
            <w:pPr>
              <w:pStyle w:val="IASBTableArial"/>
            </w:pPr>
          </w:p>
        </w:tc>
        <w:tc>
          <w:tcPr>
            <w:tcW w:w="6208" w:type="dxa"/>
            <w:tcBorders>
              <w:left w:val="nil"/>
            </w:tcBorders>
            <w:vAlign w:val="bottom"/>
          </w:tcPr>
          <w:p w:rsidR="004F2778" w:rsidRDefault="004F2778">
            <w:pPr>
              <w:pStyle w:val="IASBTableArial"/>
            </w:pPr>
            <w:r>
              <w:t>Venituri</w:t>
            </w:r>
          </w:p>
        </w:tc>
        <w:tc>
          <w:tcPr>
            <w:tcW w:w="910" w:type="dxa"/>
            <w:tcBorders>
              <w:left w:val="nil"/>
            </w:tcBorders>
            <w:vAlign w:val="bottom"/>
          </w:tcPr>
          <w:p w:rsidR="004F2778" w:rsidRDefault="004F2778">
            <w:pPr>
              <w:pStyle w:val="IASBTableArial"/>
            </w:pPr>
          </w:p>
        </w:tc>
        <w:tc>
          <w:tcPr>
            <w:tcW w:w="910" w:type="dxa"/>
            <w:tcBorders>
              <w:left w:val="nil"/>
            </w:tcBorders>
            <w:vAlign w:val="bottom"/>
          </w:tcPr>
          <w:p w:rsidR="004F2778" w:rsidRDefault="004F2778">
            <w:pPr>
              <w:pStyle w:val="IASBTableArial"/>
              <w:jc w:val="center"/>
            </w:pPr>
            <w:r>
              <w:t>X</w:t>
            </w:r>
          </w:p>
        </w:tc>
      </w:tr>
      <w:tr w:rsidR="004F2778">
        <w:trPr>
          <w:cantSplit/>
        </w:trPr>
        <w:tc>
          <w:tcPr>
            <w:tcW w:w="216" w:type="dxa"/>
            <w:tcBorders>
              <w:top w:val="nil"/>
            </w:tcBorders>
            <w:vAlign w:val="bottom"/>
          </w:tcPr>
          <w:p w:rsidR="004F2778" w:rsidRDefault="004F2778">
            <w:pPr>
              <w:pStyle w:val="IASBTableArial"/>
            </w:pPr>
          </w:p>
        </w:tc>
        <w:tc>
          <w:tcPr>
            <w:tcW w:w="6208" w:type="dxa"/>
            <w:tcBorders>
              <w:top w:val="nil"/>
              <w:left w:val="nil"/>
            </w:tcBorders>
            <w:vAlign w:val="bottom"/>
          </w:tcPr>
          <w:p w:rsidR="004F2778" w:rsidRDefault="004F2778">
            <w:pPr>
              <w:pStyle w:val="IASBTableArial"/>
            </w:pPr>
            <w:r>
              <w:t>Alte venituri</w:t>
            </w:r>
          </w:p>
        </w:tc>
        <w:tc>
          <w:tcPr>
            <w:tcW w:w="910" w:type="dxa"/>
            <w:tcBorders>
              <w:top w:val="nil"/>
              <w:left w:val="nil"/>
            </w:tcBorders>
            <w:vAlign w:val="bottom"/>
          </w:tcPr>
          <w:p w:rsidR="004F2778" w:rsidRDefault="004F2778">
            <w:pPr>
              <w:pStyle w:val="IASBTableArial"/>
            </w:pPr>
          </w:p>
        </w:tc>
        <w:tc>
          <w:tcPr>
            <w:tcW w:w="910" w:type="dxa"/>
            <w:tcBorders>
              <w:top w:val="nil"/>
              <w:left w:val="nil"/>
            </w:tcBorders>
            <w:vAlign w:val="bottom"/>
          </w:tcPr>
          <w:p w:rsidR="004F2778" w:rsidRDefault="004F2778">
            <w:pPr>
              <w:pStyle w:val="IASBTableArial"/>
              <w:jc w:val="center"/>
            </w:pPr>
            <w:r>
              <w:t>X</w:t>
            </w:r>
          </w:p>
        </w:tc>
      </w:tr>
      <w:tr w:rsidR="004F2778">
        <w:trPr>
          <w:cantSplit/>
        </w:trPr>
        <w:tc>
          <w:tcPr>
            <w:tcW w:w="216" w:type="dxa"/>
            <w:tcBorders>
              <w:top w:val="nil"/>
            </w:tcBorders>
            <w:vAlign w:val="bottom"/>
          </w:tcPr>
          <w:p w:rsidR="004F2778" w:rsidRDefault="004F2778">
            <w:pPr>
              <w:pStyle w:val="IASBTableArial"/>
            </w:pPr>
          </w:p>
        </w:tc>
        <w:tc>
          <w:tcPr>
            <w:tcW w:w="6208" w:type="dxa"/>
            <w:tcBorders>
              <w:top w:val="nil"/>
              <w:left w:val="nil"/>
            </w:tcBorders>
            <w:vAlign w:val="bottom"/>
          </w:tcPr>
          <w:p w:rsidR="004F2778" w:rsidRDefault="004F2778">
            <w:pPr>
              <w:pStyle w:val="IASBTableArial"/>
            </w:pPr>
            <w:r>
              <w:t>Variaţia stocurilor de produse finite şi producţia în curs de execuţie</w:t>
            </w:r>
          </w:p>
        </w:tc>
        <w:tc>
          <w:tcPr>
            <w:tcW w:w="910" w:type="dxa"/>
            <w:tcBorders>
              <w:top w:val="nil"/>
              <w:left w:val="nil"/>
            </w:tcBorders>
            <w:vAlign w:val="bottom"/>
          </w:tcPr>
          <w:p w:rsidR="004F2778" w:rsidRDefault="004F2778">
            <w:pPr>
              <w:pStyle w:val="IASBTableArial"/>
              <w:jc w:val="center"/>
            </w:pPr>
            <w:r>
              <w:t>X</w:t>
            </w:r>
          </w:p>
        </w:tc>
        <w:tc>
          <w:tcPr>
            <w:tcW w:w="910" w:type="dxa"/>
            <w:tcBorders>
              <w:top w:val="nil"/>
              <w:left w:val="nil"/>
            </w:tcBorders>
            <w:vAlign w:val="bottom"/>
          </w:tcPr>
          <w:p w:rsidR="004F2778" w:rsidRDefault="004F2778">
            <w:pPr>
              <w:pStyle w:val="IASBTableArial"/>
            </w:pPr>
          </w:p>
        </w:tc>
      </w:tr>
      <w:tr w:rsidR="004F2778">
        <w:trPr>
          <w:cantSplit/>
        </w:trPr>
        <w:tc>
          <w:tcPr>
            <w:tcW w:w="216" w:type="dxa"/>
            <w:tcBorders>
              <w:top w:val="nil"/>
            </w:tcBorders>
            <w:vAlign w:val="bottom"/>
          </w:tcPr>
          <w:p w:rsidR="004F2778" w:rsidRDefault="004F2778">
            <w:pPr>
              <w:pStyle w:val="IASBTableArial"/>
            </w:pPr>
          </w:p>
        </w:tc>
        <w:tc>
          <w:tcPr>
            <w:tcW w:w="6208" w:type="dxa"/>
            <w:tcBorders>
              <w:top w:val="nil"/>
              <w:left w:val="nil"/>
            </w:tcBorders>
            <w:vAlign w:val="bottom"/>
          </w:tcPr>
          <w:p w:rsidR="004F2778" w:rsidRDefault="004F2778">
            <w:pPr>
              <w:pStyle w:val="IASBTableArial"/>
            </w:pPr>
            <w:r>
              <w:t>Materii prime şi consumabile utilizate</w:t>
            </w:r>
          </w:p>
        </w:tc>
        <w:tc>
          <w:tcPr>
            <w:tcW w:w="910" w:type="dxa"/>
            <w:tcBorders>
              <w:top w:val="nil"/>
              <w:left w:val="nil"/>
            </w:tcBorders>
            <w:vAlign w:val="bottom"/>
          </w:tcPr>
          <w:p w:rsidR="004F2778" w:rsidRDefault="004F2778">
            <w:pPr>
              <w:pStyle w:val="IASBTableArial"/>
              <w:jc w:val="center"/>
            </w:pPr>
            <w:r>
              <w:t>X</w:t>
            </w:r>
          </w:p>
        </w:tc>
        <w:tc>
          <w:tcPr>
            <w:tcW w:w="910" w:type="dxa"/>
            <w:tcBorders>
              <w:top w:val="nil"/>
              <w:left w:val="nil"/>
            </w:tcBorders>
            <w:vAlign w:val="bottom"/>
          </w:tcPr>
          <w:p w:rsidR="004F2778" w:rsidRDefault="004F2778">
            <w:pPr>
              <w:pStyle w:val="IASBTableArial"/>
            </w:pPr>
          </w:p>
        </w:tc>
      </w:tr>
      <w:tr w:rsidR="004F2778">
        <w:trPr>
          <w:cantSplit/>
        </w:trPr>
        <w:tc>
          <w:tcPr>
            <w:tcW w:w="216" w:type="dxa"/>
            <w:tcBorders>
              <w:top w:val="nil"/>
            </w:tcBorders>
            <w:vAlign w:val="bottom"/>
          </w:tcPr>
          <w:p w:rsidR="004F2778" w:rsidRDefault="004F2778">
            <w:pPr>
              <w:pStyle w:val="IASBTableArial"/>
            </w:pPr>
          </w:p>
        </w:tc>
        <w:tc>
          <w:tcPr>
            <w:tcW w:w="6208" w:type="dxa"/>
            <w:tcBorders>
              <w:top w:val="nil"/>
              <w:left w:val="nil"/>
            </w:tcBorders>
            <w:vAlign w:val="bottom"/>
          </w:tcPr>
          <w:p w:rsidR="004F2778" w:rsidRDefault="004F2778">
            <w:pPr>
              <w:pStyle w:val="IASBTableArial"/>
            </w:pPr>
            <w:r>
              <w:t>Cheltuieli cu beneficiile angajaţilor</w:t>
            </w:r>
          </w:p>
        </w:tc>
        <w:tc>
          <w:tcPr>
            <w:tcW w:w="910" w:type="dxa"/>
            <w:tcBorders>
              <w:top w:val="nil"/>
              <w:left w:val="nil"/>
            </w:tcBorders>
            <w:vAlign w:val="bottom"/>
          </w:tcPr>
          <w:p w:rsidR="004F2778" w:rsidRDefault="004F2778">
            <w:pPr>
              <w:pStyle w:val="IASBTableArial"/>
              <w:jc w:val="center"/>
            </w:pPr>
            <w:r>
              <w:t>X</w:t>
            </w:r>
          </w:p>
        </w:tc>
        <w:tc>
          <w:tcPr>
            <w:tcW w:w="910" w:type="dxa"/>
            <w:tcBorders>
              <w:top w:val="nil"/>
              <w:left w:val="nil"/>
            </w:tcBorders>
            <w:vAlign w:val="bottom"/>
          </w:tcPr>
          <w:p w:rsidR="004F2778" w:rsidRDefault="004F2778">
            <w:pPr>
              <w:pStyle w:val="IASBTableArial"/>
            </w:pPr>
          </w:p>
        </w:tc>
      </w:tr>
      <w:tr w:rsidR="004F2778">
        <w:trPr>
          <w:cantSplit/>
        </w:trPr>
        <w:tc>
          <w:tcPr>
            <w:tcW w:w="216" w:type="dxa"/>
            <w:tcBorders>
              <w:top w:val="nil"/>
            </w:tcBorders>
            <w:vAlign w:val="bottom"/>
          </w:tcPr>
          <w:p w:rsidR="004F2778" w:rsidRDefault="004F2778">
            <w:pPr>
              <w:pStyle w:val="IASBTableArial"/>
            </w:pPr>
          </w:p>
        </w:tc>
        <w:tc>
          <w:tcPr>
            <w:tcW w:w="6208" w:type="dxa"/>
            <w:tcBorders>
              <w:top w:val="nil"/>
              <w:left w:val="nil"/>
            </w:tcBorders>
            <w:vAlign w:val="bottom"/>
          </w:tcPr>
          <w:p w:rsidR="004F2778" w:rsidRDefault="004F2778">
            <w:pPr>
              <w:pStyle w:val="IASBTableArial"/>
            </w:pPr>
            <w:r>
              <w:t>Cheltuieli cu amortizarea activelor corporale și necorporale</w:t>
            </w:r>
          </w:p>
        </w:tc>
        <w:tc>
          <w:tcPr>
            <w:tcW w:w="910" w:type="dxa"/>
            <w:tcBorders>
              <w:top w:val="nil"/>
              <w:left w:val="nil"/>
            </w:tcBorders>
            <w:vAlign w:val="bottom"/>
          </w:tcPr>
          <w:p w:rsidR="004F2778" w:rsidRDefault="004F2778">
            <w:pPr>
              <w:pStyle w:val="IASBTableArial"/>
              <w:jc w:val="center"/>
            </w:pPr>
            <w:r>
              <w:t>X</w:t>
            </w:r>
          </w:p>
        </w:tc>
        <w:tc>
          <w:tcPr>
            <w:tcW w:w="910" w:type="dxa"/>
            <w:tcBorders>
              <w:top w:val="nil"/>
              <w:left w:val="nil"/>
            </w:tcBorders>
            <w:vAlign w:val="bottom"/>
          </w:tcPr>
          <w:p w:rsidR="004F2778" w:rsidRDefault="004F2778">
            <w:pPr>
              <w:pStyle w:val="IASBTableArial"/>
            </w:pPr>
          </w:p>
        </w:tc>
      </w:tr>
      <w:tr w:rsidR="004F2778">
        <w:trPr>
          <w:cantSplit/>
        </w:trPr>
        <w:tc>
          <w:tcPr>
            <w:tcW w:w="216" w:type="dxa"/>
            <w:tcBorders>
              <w:top w:val="nil"/>
            </w:tcBorders>
            <w:vAlign w:val="bottom"/>
          </w:tcPr>
          <w:p w:rsidR="004F2778" w:rsidRDefault="004F2778">
            <w:pPr>
              <w:pStyle w:val="IASBTableArial"/>
            </w:pPr>
          </w:p>
        </w:tc>
        <w:tc>
          <w:tcPr>
            <w:tcW w:w="6208" w:type="dxa"/>
            <w:tcBorders>
              <w:top w:val="nil"/>
              <w:left w:val="nil"/>
            </w:tcBorders>
            <w:vAlign w:val="bottom"/>
          </w:tcPr>
          <w:p w:rsidR="004F2778" w:rsidRDefault="004F2778">
            <w:pPr>
              <w:pStyle w:val="IASBTableArial"/>
            </w:pPr>
            <w:r>
              <w:t>Alte cheltuieli</w:t>
            </w:r>
          </w:p>
        </w:tc>
        <w:tc>
          <w:tcPr>
            <w:tcW w:w="910" w:type="dxa"/>
            <w:tcBorders>
              <w:top w:val="nil"/>
              <w:left w:val="nil"/>
            </w:tcBorders>
            <w:vAlign w:val="bottom"/>
          </w:tcPr>
          <w:p w:rsidR="004F2778" w:rsidRDefault="004F2778">
            <w:pPr>
              <w:pStyle w:val="IASBTableArial"/>
              <w:jc w:val="center"/>
            </w:pPr>
            <w:r>
              <w:t>X</w:t>
            </w:r>
          </w:p>
        </w:tc>
        <w:tc>
          <w:tcPr>
            <w:tcW w:w="910" w:type="dxa"/>
            <w:tcBorders>
              <w:top w:val="nil"/>
              <w:left w:val="nil"/>
            </w:tcBorders>
            <w:vAlign w:val="bottom"/>
          </w:tcPr>
          <w:p w:rsidR="004F2778" w:rsidRDefault="004F2778">
            <w:pPr>
              <w:pStyle w:val="IASBTableArial"/>
            </w:pPr>
          </w:p>
        </w:tc>
      </w:tr>
      <w:tr w:rsidR="004F2778">
        <w:trPr>
          <w:cantSplit/>
        </w:trPr>
        <w:tc>
          <w:tcPr>
            <w:tcW w:w="216" w:type="dxa"/>
            <w:tcBorders>
              <w:top w:val="nil"/>
            </w:tcBorders>
            <w:vAlign w:val="bottom"/>
          </w:tcPr>
          <w:p w:rsidR="004F2778" w:rsidRDefault="004F2778">
            <w:pPr>
              <w:pStyle w:val="IASBTableArial"/>
            </w:pPr>
          </w:p>
        </w:tc>
        <w:tc>
          <w:tcPr>
            <w:tcW w:w="6208" w:type="dxa"/>
            <w:tcBorders>
              <w:top w:val="nil"/>
              <w:left w:val="nil"/>
            </w:tcBorders>
            <w:vAlign w:val="bottom"/>
          </w:tcPr>
          <w:p w:rsidR="004F2778" w:rsidRDefault="004F2778">
            <w:pPr>
              <w:pStyle w:val="IASBTableArial"/>
            </w:pPr>
            <w:r>
              <w:t>Total cheltuieli</w:t>
            </w:r>
          </w:p>
        </w:tc>
        <w:tc>
          <w:tcPr>
            <w:tcW w:w="910" w:type="dxa"/>
            <w:tcBorders>
              <w:top w:val="nil"/>
              <w:left w:val="nil"/>
            </w:tcBorders>
            <w:vAlign w:val="bottom"/>
          </w:tcPr>
          <w:p w:rsidR="004F2778" w:rsidRDefault="004F2778">
            <w:pPr>
              <w:pStyle w:val="IASBTableArial"/>
            </w:pPr>
          </w:p>
        </w:tc>
        <w:tc>
          <w:tcPr>
            <w:tcW w:w="910" w:type="dxa"/>
            <w:tcBorders>
              <w:top w:val="nil"/>
              <w:left w:val="nil"/>
            </w:tcBorders>
            <w:vAlign w:val="bottom"/>
          </w:tcPr>
          <w:p w:rsidR="004F2778" w:rsidRDefault="004F2778">
            <w:pPr>
              <w:pStyle w:val="IASBTableArial"/>
              <w:jc w:val="center"/>
            </w:pPr>
            <w:r>
              <w:t>(X)</w:t>
            </w:r>
          </w:p>
        </w:tc>
      </w:tr>
      <w:tr w:rsidR="004F2778">
        <w:trPr>
          <w:cantSplit/>
        </w:trPr>
        <w:tc>
          <w:tcPr>
            <w:tcW w:w="216" w:type="dxa"/>
            <w:tcBorders>
              <w:top w:val="nil"/>
            </w:tcBorders>
            <w:vAlign w:val="bottom"/>
          </w:tcPr>
          <w:p w:rsidR="004F2778" w:rsidRDefault="004F2778">
            <w:pPr>
              <w:pStyle w:val="IASBTableArial"/>
            </w:pPr>
          </w:p>
        </w:tc>
        <w:tc>
          <w:tcPr>
            <w:tcW w:w="6208" w:type="dxa"/>
            <w:tcBorders>
              <w:top w:val="nil"/>
              <w:left w:val="nil"/>
            </w:tcBorders>
            <w:vAlign w:val="bottom"/>
          </w:tcPr>
          <w:p w:rsidR="004F2778" w:rsidRDefault="004F2778">
            <w:pPr>
              <w:pStyle w:val="IASBTableArial"/>
            </w:pPr>
            <w:r>
              <w:t>Profit înainte de impozitare</w:t>
            </w:r>
          </w:p>
        </w:tc>
        <w:tc>
          <w:tcPr>
            <w:tcW w:w="910" w:type="dxa"/>
            <w:tcBorders>
              <w:top w:val="nil"/>
              <w:left w:val="nil"/>
            </w:tcBorders>
            <w:vAlign w:val="bottom"/>
          </w:tcPr>
          <w:p w:rsidR="004F2778" w:rsidRDefault="004F2778">
            <w:pPr>
              <w:pStyle w:val="IASBTableArial"/>
            </w:pPr>
          </w:p>
        </w:tc>
        <w:tc>
          <w:tcPr>
            <w:tcW w:w="910" w:type="dxa"/>
            <w:tcBorders>
              <w:top w:val="nil"/>
              <w:left w:val="nil"/>
            </w:tcBorders>
            <w:vAlign w:val="bottom"/>
          </w:tcPr>
          <w:p w:rsidR="004F2778" w:rsidRDefault="004F2778">
            <w:pPr>
              <w:pStyle w:val="IASBTableArial"/>
              <w:jc w:val="center"/>
            </w:pPr>
            <w:r>
              <w:t>X</w:t>
            </w:r>
          </w:p>
        </w:tc>
      </w:tr>
    </w:tbl>
    <w:p w:rsidR="004F2778" w:rsidRDefault="004F2778">
      <w:pPr>
        <w:pStyle w:val="IASBNormalnpara"/>
      </w:pPr>
    </w:p>
    <w:p w:rsidR="004F2778" w:rsidRDefault="004F2778">
      <w:pPr>
        <w:pStyle w:val="IASBNormalnpara"/>
      </w:pPr>
      <w:r>
        <w:t>103</w:t>
      </w:r>
      <w:r>
        <w:tab/>
      </w:r>
      <w:bookmarkStart w:id="333" w:name="F3903628"/>
      <w:r>
        <w:t xml:space="preserve">Cea de-a doua formă de analiză este metoda clasificării după „destinaţia cheltuielilor” sau metoda „costului vânzărilor” şi clasifică cheltuielile conform destinaţiei lor ca parte a costului vânzărilor sau, de exemplu, a costurilor distribuţiei sau activităţilor administrative. O entitate prezintă cel puţin costurile vânzărilor sale separat de celelalte cheltuieli conform acestei metode. Această metodă poate oferi deseori informaţii mai relevante pentru utilizatori decât clasificarea cheltuielilor după natură, dar alocarea costurilor după destinaţii </w:t>
      </w:r>
      <w:r>
        <w:lastRenderedPageBreak/>
        <w:t>poate necesita alocări arbitrare şi poate implica, în mod considerabil, utilizarea raţionamentului profesional. Un exemplu de clasificare utilizând metoda destinaţiei cheltuielilor este următorul:</w:t>
      </w:r>
      <w:bookmarkEnd w:id="333"/>
    </w:p>
    <w:p w:rsidR="004F2778" w:rsidRDefault="004F2778">
      <w:pPr>
        <w:pStyle w:val="IASBNormalnpara"/>
      </w:pPr>
    </w:p>
    <w:tbl>
      <w:tblPr>
        <w:tblW w:w="0" w:type="auto"/>
        <w:tblInd w:w="964" w:type="dxa"/>
        <w:tblLayout w:type="fixed"/>
        <w:tblLook w:val="0000" w:firstRow="0" w:lastRow="0" w:firstColumn="0" w:lastColumn="0" w:noHBand="0" w:noVBand="0"/>
      </w:tblPr>
      <w:tblGrid>
        <w:gridCol w:w="236"/>
        <w:gridCol w:w="6208"/>
        <w:gridCol w:w="910"/>
        <w:gridCol w:w="910"/>
      </w:tblGrid>
      <w:tr w:rsidR="004F2778">
        <w:trPr>
          <w:cantSplit/>
        </w:trPr>
        <w:tc>
          <w:tcPr>
            <w:tcW w:w="216" w:type="dxa"/>
            <w:vAlign w:val="bottom"/>
          </w:tcPr>
          <w:p w:rsidR="004F2778" w:rsidRDefault="004F2778">
            <w:pPr>
              <w:pStyle w:val="IASBTableArial"/>
            </w:pPr>
          </w:p>
        </w:tc>
        <w:tc>
          <w:tcPr>
            <w:tcW w:w="6208" w:type="dxa"/>
            <w:tcBorders>
              <w:left w:val="nil"/>
            </w:tcBorders>
            <w:vAlign w:val="bottom"/>
          </w:tcPr>
          <w:p w:rsidR="004F2778" w:rsidRDefault="004F2778">
            <w:pPr>
              <w:pStyle w:val="IASBTableArial"/>
            </w:pPr>
            <w:r>
              <w:t>Venituri</w:t>
            </w:r>
          </w:p>
        </w:tc>
        <w:tc>
          <w:tcPr>
            <w:tcW w:w="910" w:type="dxa"/>
            <w:tcBorders>
              <w:left w:val="nil"/>
            </w:tcBorders>
            <w:vAlign w:val="bottom"/>
          </w:tcPr>
          <w:p w:rsidR="004F2778" w:rsidRDefault="004F2778">
            <w:pPr>
              <w:pStyle w:val="IASBTableArial"/>
              <w:jc w:val="center"/>
            </w:pPr>
            <w:r>
              <w:t>X</w:t>
            </w:r>
          </w:p>
        </w:tc>
        <w:tc>
          <w:tcPr>
            <w:tcW w:w="910" w:type="dxa"/>
            <w:tcBorders>
              <w:left w:val="nil"/>
            </w:tcBorders>
            <w:vAlign w:val="bottom"/>
          </w:tcPr>
          <w:p w:rsidR="004F2778" w:rsidRDefault="004F2778">
            <w:pPr>
              <w:pStyle w:val="IASBTableArial"/>
            </w:pPr>
          </w:p>
        </w:tc>
      </w:tr>
      <w:tr w:rsidR="004F2778">
        <w:trPr>
          <w:cantSplit/>
        </w:trPr>
        <w:tc>
          <w:tcPr>
            <w:tcW w:w="216" w:type="dxa"/>
            <w:tcBorders>
              <w:top w:val="nil"/>
            </w:tcBorders>
            <w:vAlign w:val="bottom"/>
          </w:tcPr>
          <w:p w:rsidR="004F2778" w:rsidRDefault="004F2778">
            <w:pPr>
              <w:pStyle w:val="IASBTableArial"/>
            </w:pPr>
          </w:p>
        </w:tc>
        <w:tc>
          <w:tcPr>
            <w:tcW w:w="6208" w:type="dxa"/>
            <w:tcBorders>
              <w:top w:val="nil"/>
              <w:left w:val="nil"/>
            </w:tcBorders>
            <w:vAlign w:val="bottom"/>
          </w:tcPr>
          <w:p w:rsidR="004F2778" w:rsidRDefault="004F2778">
            <w:pPr>
              <w:pStyle w:val="IASBTableArial"/>
            </w:pPr>
            <w:r>
              <w:t>Costul vânzărilor</w:t>
            </w:r>
          </w:p>
        </w:tc>
        <w:tc>
          <w:tcPr>
            <w:tcW w:w="910" w:type="dxa"/>
            <w:tcBorders>
              <w:top w:val="nil"/>
              <w:left w:val="nil"/>
            </w:tcBorders>
            <w:vAlign w:val="bottom"/>
          </w:tcPr>
          <w:p w:rsidR="004F2778" w:rsidRDefault="004F2778">
            <w:pPr>
              <w:pStyle w:val="IASBTableArial"/>
              <w:jc w:val="center"/>
            </w:pPr>
            <w:r>
              <w:t>(X)</w:t>
            </w:r>
          </w:p>
        </w:tc>
        <w:tc>
          <w:tcPr>
            <w:tcW w:w="910" w:type="dxa"/>
            <w:tcBorders>
              <w:top w:val="nil"/>
              <w:left w:val="nil"/>
            </w:tcBorders>
            <w:vAlign w:val="bottom"/>
          </w:tcPr>
          <w:p w:rsidR="004F2778" w:rsidRDefault="004F2778">
            <w:pPr>
              <w:pStyle w:val="IASBTableArial"/>
            </w:pPr>
          </w:p>
        </w:tc>
      </w:tr>
      <w:tr w:rsidR="004F2778">
        <w:trPr>
          <w:cantSplit/>
        </w:trPr>
        <w:tc>
          <w:tcPr>
            <w:tcW w:w="216" w:type="dxa"/>
            <w:tcBorders>
              <w:top w:val="nil"/>
            </w:tcBorders>
            <w:vAlign w:val="bottom"/>
          </w:tcPr>
          <w:p w:rsidR="004F2778" w:rsidRDefault="004F2778">
            <w:pPr>
              <w:pStyle w:val="IASBTableArial"/>
            </w:pPr>
          </w:p>
        </w:tc>
        <w:tc>
          <w:tcPr>
            <w:tcW w:w="6208" w:type="dxa"/>
            <w:tcBorders>
              <w:top w:val="nil"/>
              <w:left w:val="nil"/>
            </w:tcBorders>
            <w:vAlign w:val="bottom"/>
          </w:tcPr>
          <w:p w:rsidR="004F2778" w:rsidRDefault="004F2778">
            <w:pPr>
              <w:pStyle w:val="IASBTableArial"/>
            </w:pPr>
            <w:r>
              <w:t>Profit brut</w:t>
            </w:r>
          </w:p>
        </w:tc>
        <w:tc>
          <w:tcPr>
            <w:tcW w:w="910" w:type="dxa"/>
            <w:tcBorders>
              <w:top w:val="nil"/>
              <w:left w:val="nil"/>
            </w:tcBorders>
            <w:vAlign w:val="bottom"/>
          </w:tcPr>
          <w:p w:rsidR="004F2778" w:rsidRDefault="004F2778">
            <w:pPr>
              <w:pStyle w:val="IASBTableArial"/>
              <w:jc w:val="center"/>
            </w:pPr>
            <w:r>
              <w:t>X</w:t>
            </w:r>
          </w:p>
        </w:tc>
        <w:tc>
          <w:tcPr>
            <w:tcW w:w="910" w:type="dxa"/>
            <w:tcBorders>
              <w:top w:val="nil"/>
              <w:left w:val="nil"/>
            </w:tcBorders>
            <w:vAlign w:val="bottom"/>
          </w:tcPr>
          <w:p w:rsidR="004F2778" w:rsidRDefault="004F2778">
            <w:pPr>
              <w:pStyle w:val="IASBTableArial"/>
            </w:pPr>
          </w:p>
        </w:tc>
      </w:tr>
      <w:tr w:rsidR="004F2778">
        <w:trPr>
          <w:cantSplit/>
        </w:trPr>
        <w:tc>
          <w:tcPr>
            <w:tcW w:w="216" w:type="dxa"/>
            <w:tcBorders>
              <w:top w:val="nil"/>
            </w:tcBorders>
            <w:vAlign w:val="bottom"/>
          </w:tcPr>
          <w:p w:rsidR="004F2778" w:rsidRDefault="004F2778">
            <w:pPr>
              <w:pStyle w:val="IASBTableArial"/>
            </w:pPr>
          </w:p>
        </w:tc>
        <w:tc>
          <w:tcPr>
            <w:tcW w:w="6208" w:type="dxa"/>
            <w:tcBorders>
              <w:top w:val="nil"/>
              <w:left w:val="nil"/>
            </w:tcBorders>
            <w:vAlign w:val="bottom"/>
          </w:tcPr>
          <w:p w:rsidR="004F2778" w:rsidRDefault="004F2778">
            <w:pPr>
              <w:pStyle w:val="IASBTableArial"/>
            </w:pPr>
            <w:r>
              <w:t>Alte venituri</w:t>
            </w:r>
          </w:p>
        </w:tc>
        <w:tc>
          <w:tcPr>
            <w:tcW w:w="910" w:type="dxa"/>
            <w:tcBorders>
              <w:top w:val="nil"/>
              <w:left w:val="nil"/>
            </w:tcBorders>
            <w:vAlign w:val="bottom"/>
          </w:tcPr>
          <w:p w:rsidR="004F2778" w:rsidRDefault="004F2778">
            <w:pPr>
              <w:pStyle w:val="IASBTableArial"/>
              <w:jc w:val="center"/>
            </w:pPr>
            <w:r>
              <w:t>X</w:t>
            </w:r>
          </w:p>
        </w:tc>
        <w:tc>
          <w:tcPr>
            <w:tcW w:w="910" w:type="dxa"/>
            <w:tcBorders>
              <w:top w:val="nil"/>
              <w:left w:val="nil"/>
            </w:tcBorders>
            <w:vAlign w:val="bottom"/>
          </w:tcPr>
          <w:p w:rsidR="004F2778" w:rsidRDefault="004F2778">
            <w:pPr>
              <w:pStyle w:val="IASBTableArial"/>
            </w:pPr>
          </w:p>
        </w:tc>
      </w:tr>
      <w:tr w:rsidR="004F2778">
        <w:trPr>
          <w:cantSplit/>
        </w:trPr>
        <w:tc>
          <w:tcPr>
            <w:tcW w:w="216" w:type="dxa"/>
            <w:tcBorders>
              <w:top w:val="nil"/>
            </w:tcBorders>
            <w:vAlign w:val="bottom"/>
          </w:tcPr>
          <w:p w:rsidR="004F2778" w:rsidRDefault="004F2778">
            <w:pPr>
              <w:pStyle w:val="IASBTableArial"/>
            </w:pPr>
          </w:p>
        </w:tc>
        <w:tc>
          <w:tcPr>
            <w:tcW w:w="6208" w:type="dxa"/>
            <w:tcBorders>
              <w:top w:val="nil"/>
              <w:left w:val="nil"/>
            </w:tcBorders>
            <w:vAlign w:val="bottom"/>
          </w:tcPr>
          <w:p w:rsidR="004F2778" w:rsidRDefault="004F2778">
            <w:pPr>
              <w:pStyle w:val="IASBTableArial"/>
            </w:pPr>
            <w:r>
              <w:t>Costuri de distribuire</w:t>
            </w:r>
          </w:p>
        </w:tc>
        <w:tc>
          <w:tcPr>
            <w:tcW w:w="910" w:type="dxa"/>
            <w:tcBorders>
              <w:top w:val="nil"/>
              <w:left w:val="nil"/>
            </w:tcBorders>
            <w:vAlign w:val="bottom"/>
          </w:tcPr>
          <w:p w:rsidR="004F2778" w:rsidRDefault="004F2778">
            <w:pPr>
              <w:pStyle w:val="IASBTableArial"/>
              <w:jc w:val="center"/>
            </w:pPr>
            <w:r>
              <w:t>(X)</w:t>
            </w:r>
          </w:p>
        </w:tc>
        <w:tc>
          <w:tcPr>
            <w:tcW w:w="910" w:type="dxa"/>
            <w:tcBorders>
              <w:top w:val="nil"/>
              <w:left w:val="nil"/>
            </w:tcBorders>
            <w:vAlign w:val="bottom"/>
          </w:tcPr>
          <w:p w:rsidR="004F2778" w:rsidRDefault="004F2778">
            <w:pPr>
              <w:pStyle w:val="IASBTableArial"/>
            </w:pPr>
          </w:p>
        </w:tc>
      </w:tr>
      <w:tr w:rsidR="004F2778">
        <w:trPr>
          <w:cantSplit/>
        </w:trPr>
        <w:tc>
          <w:tcPr>
            <w:tcW w:w="216" w:type="dxa"/>
            <w:tcBorders>
              <w:top w:val="nil"/>
            </w:tcBorders>
            <w:vAlign w:val="bottom"/>
          </w:tcPr>
          <w:p w:rsidR="004F2778" w:rsidRDefault="004F2778">
            <w:pPr>
              <w:pStyle w:val="IASBTableArial"/>
            </w:pPr>
          </w:p>
        </w:tc>
        <w:tc>
          <w:tcPr>
            <w:tcW w:w="6208" w:type="dxa"/>
            <w:tcBorders>
              <w:top w:val="nil"/>
              <w:left w:val="nil"/>
            </w:tcBorders>
            <w:vAlign w:val="bottom"/>
          </w:tcPr>
          <w:p w:rsidR="004F2778" w:rsidRDefault="004F2778">
            <w:pPr>
              <w:pStyle w:val="IASBTableArial"/>
            </w:pPr>
            <w:r>
              <w:t>Cheltuieli administrative</w:t>
            </w:r>
          </w:p>
        </w:tc>
        <w:tc>
          <w:tcPr>
            <w:tcW w:w="910" w:type="dxa"/>
            <w:tcBorders>
              <w:top w:val="nil"/>
              <w:left w:val="nil"/>
            </w:tcBorders>
            <w:vAlign w:val="bottom"/>
          </w:tcPr>
          <w:p w:rsidR="004F2778" w:rsidRDefault="004F2778">
            <w:pPr>
              <w:pStyle w:val="IASBTableArial"/>
              <w:jc w:val="center"/>
            </w:pPr>
            <w:r>
              <w:t>(X)</w:t>
            </w:r>
          </w:p>
        </w:tc>
        <w:tc>
          <w:tcPr>
            <w:tcW w:w="910" w:type="dxa"/>
            <w:tcBorders>
              <w:top w:val="nil"/>
              <w:left w:val="nil"/>
            </w:tcBorders>
            <w:vAlign w:val="bottom"/>
          </w:tcPr>
          <w:p w:rsidR="004F2778" w:rsidRDefault="004F2778">
            <w:pPr>
              <w:pStyle w:val="IASBTableArial"/>
            </w:pPr>
          </w:p>
        </w:tc>
      </w:tr>
      <w:tr w:rsidR="004F2778">
        <w:trPr>
          <w:cantSplit/>
        </w:trPr>
        <w:tc>
          <w:tcPr>
            <w:tcW w:w="216" w:type="dxa"/>
            <w:tcBorders>
              <w:top w:val="nil"/>
            </w:tcBorders>
            <w:vAlign w:val="bottom"/>
          </w:tcPr>
          <w:p w:rsidR="004F2778" w:rsidRDefault="004F2778">
            <w:pPr>
              <w:pStyle w:val="IASBTableArial"/>
            </w:pPr>
          </w:p>
        </w:tc>
        <w:tc>
          <w:tcPr>
            <w:tcW w:w="6208" w:type="dxa"/>
            <w:tcBorders>
              <w:top w:val="nil"/>
              <w:left w:val="nil"/>
            </w:tcBorders>
            <w:vAlign w:val="bottom"/>
          </w:tcPr>
          <w:p w:rsidR="004F2778" w:rsidRDefault="004F2778">
            <w:pPr>
              <w:pStyle w:val="IASBTableArial"/>
            </w:pPr>
            <w:r>
              <w:t>Alte cheltuieli</w:t>
            </w:r>
          </w:p>
        </w:tc>
        <w:tc>
          <w:tcPr>
            <w:tcW w:w="910" w:type="dxa"/>
            <w:tcBorders>
              <w:top w:val="nil"/>
              <w:left w:val="nil"/>
            </w:tcBorders>
            <w:vAlign w:val="bottom"/>
          </w:tcPr>
          <w:p w:rsidR="004F2778" w:rsidRDefault="004F2778">
            <w:pPr>
              <w:pStyle w:val="IASBTableArial"/>
              <w:jc w:val="center"/>
            </w:pPr>
            <w:r>
              <w:t>(X)</w:t>
            </w:r>
          </w:p>
        </w:tc>
        <w:tc>
          <w:tcPr>
            <w:tcW w:w="910" w:type="dxa"/>
            <w:tcBorders>
              <w:top w:val="nil"/>
              <w:left w:val="nil"/>
            </w:tcBorders>
            <w:vAlign w:val="bottom"/>
          </w:tcPr>
          <w:p w:rsidR="004F2778" w:rsidRDefault="004F2778">
            <w:pPr>
              <w:pStyle w:val="IASBTableArial"/>
            </w:pPr>
          </w:p>
        </w:tc>
      </w:tr>
      <w:tr w:rsidR="004F2778">
        <w:trPr>
          <w:cantSplit/>
        </w:trPr>
        <w:tc>
          <w:tcPr>
            <w:tcW w:w="216" w:type="dxa"/>
            <w:tcBorders>
              <w:top w:val="nil"/>
            </w:tcBorders>
            <w:vAlign w:val="bottom"/>
          </w:tcPr>
          <w:p w:rsidR="004F2778" w:rsidRDefault="004F2778">
            <w:pPr>
              <w:pStyle w:val="IASBTableArial"/>
            </w:pPr>
          </w:p>
        </w:tc>
        <w:tc>
          <w:tcPr>
            <w:tcW w:w="6208" w:type="dxa"/>
            <w:tcBorders>
              <w:top w:val="nil"/>
              <w:left w:val="nil"/>
            </w:tcBorders>
            <w:vAlign w:val="bottom"/>
          </w:tcPr>
          <w:p w:rsidR="004F2778" w:rsidRDefault="004F2778">
            <w:pPr>
              <w:pStyle w:val="IASBTableArial"/>
            </w:pPr>
            <w:r>
              <w:t>Profit înainte de impozitare</w:t>
            </w:r>
          </w:p>
        </w:tc>
        <w:tc>
          <w:tcPr>
            <w:tcW w:w="910" w:type="dxa"/>
            <w:tcBorders>
              <w:top w:val="nil"/>
              <w:left w:val="nil"/>
            </w:tcBorders>
            <w:vAlign w:val="bottom"/>
          </w:tcPr>
          <w:p w:rsidR="004F2778" w:rsidRDefault="004F2778">
            <w:pPr>
              <w:pStyle w:val="IASBTableArial"/>
              <w:jc w:val="center"/>
            </w:pPr>
            <w:r>
              <w:t>X</w:t>
            </w:r>
          </w:p>
        </w:tc>
        <w:tc>
          <w:tcPr>
            <w:tcW w:w="910" w:type="dxa"/>
            <w:tcBorders>
              <w:top w:val="nil"/>
              <w:left w:val="nil"/>
            </w:tcBorders>
            <w:vAlign w:val="bottom"/>
          </w:tcPr>
          <w:p w:rsidR="004F2778" w:rsidRDefault="004F2778">
            <w:pPr>
              <w:pStyle w:val="IASBTableArial"/>
            </w:pPr>
          </w:p>
        </w:tc>
      </w:tr>
    </w:tbl>
    <w:p w:rsidR="004F2778" w:rsidRDefault="004F2778">
      <w:pPr>
        <w:pStyle w:val="IASBNormalnpara"/>
      </w:pPr>
    </w:p>
    <w:p w:rsidR="004F2778" w:rsidRDefault="004F2778">
      <w:pPr>
        <w:pStyle w:val="IASBNormalnpara"/>
        <w:rPr>
          <w:b/>
        </w:rPr>
      </w:pPr>
      <w:r>
        <w:rPr>
          <w:b/>
        </w:rPr>
        <w:t>104</w:t>
      </w:r>
      <w:r>
        <w:tab/>
      </w:r>
      <w:bookmarkStart w:id="334" w:name="F3903629"/>
      <w:r>
        <w:rPr>
          <w:b/>
        </w:rPr>
        <w:t>O entitate care clasifică cheltuielile după destinaţie trebuie să prezinte informaţii suplimentare despre natura cheltuielilor, inclusiv cheltuielile cu amortizarea activelor corporale și necorporale şi cheltuielile cu beneficiile angajaţilor.</w:t>
      </w:r>
      <w:bookmarkEnd w:id="334"/>
    </w:p>
    <w:p w:rsidR="004F2778" w:rsidRDefault="004F2778">
      <w:pPr>
        <w:pStyle w:val="IASBNormalnpara"/>
      </w:pPr>
      <w:r>
        <w:t>105</w:t>
      </w:r>
      <w:r>
        <w:tab/>
      </w:r>
      <w:bookmarkStart w:id="335" w:name="F3903630"/>
      <w:r>
        <w:t xml:space="preserve">Alegerea între metoda destinaţiei cheltuielilor şi metoda repartizării cheltuielilor după natură depinde atât de factori istorici, cât şi de factori aferenţi sectorului economic, respectiv de natura entităţii. Ambele metode indică acele costuri care ar putea să varieze, direct sau indirect, în funcţie de nivelul vânzărilor sau al producţiei entităţii. Deoarece fiecare metodă de prezentare are avantaje pentru diferite tipuri de entităţi, prezentul standard impune conducerii să aleagă prezentarea care este fiabilă și mai relevantă. Totuşi, deoarece informaţiile referitoare la natura cheltuielilor sunt utile în estimarea fluxurilor de trezorerie viitoare, se impune o prezentare suplimentară de informații atunci când este utilizată metoda destinaţiei cheltuielilor. La punctul 104, expresia „beneficiile angajaţilor” are acelaşi înţeles ca în IAS 19. </w:t>
      </w:r>
      <w:bookmarkEnd w:id="335"/>
    </w:p>
    <w:p w:rsidR="004F2778" w:rsidRDefault="004F2778">
      <w:pPr>
        <w:pStyle w:val="IASBSectionTitle2Ind"/>
      </w:pPr>
      <w:bookmarkStart w:id="336" w:name="F14173117"/>
      <w:r>
        <w:t>Situaţia modificărilor capitalurilor proprii</w:t>
      </w:r>
      <w:bookmarkEnd w:id="336"/>
    </w:p>
    <w:p w:rsidR="004F2778" w:rsidRDefault="004F2778">
      <w:pPr>
        <w:pStyle w:val="IASBSectionTitle3Ind"/>
      </w:pPr>
      <w:bookmarkStart w:id="337" w:name="F14173119"/>
      <w:r>
        <w:t>Informaţii care trebuie prezentate în situaţia modificărilor capitalurilor proprii</w:t>
      </w:r>
      <w:bookmarkEnd w:id="337"/>
    </w:p>
    <w:p w:rsidR="004F2778" w:rsidRDefault="004F2778">
      <w:pPr>
        <w:pStyle w:val="IASBNormalnpara"/>
        <w:rPr>
          <w:b/>
        </w:rPr>
      </w:pPr>
      <w:r>
        <w:rPr>
          <w:b/>
        </w:rPr>
        <w:t>106</w:t>
      </w:r>
      <w:r>
        <w:tab/>
      </w:r>
      <w:bookmarkStart w:id="338" w:name="F28554688"/>
      <w:r>
        <w:rPr>
          <w:b/>
        </w:rPr>
        <w:t>O entitate trebuie să prezinte o situaţie a modificărilor capitalurilor proprii în conformitate cu punctul 10. Situaţia modificărilor capitalurilor proprii include următoarele informaţii:</w:t>
      </w:r>
      <w:bookmarkEnd w:id="338"/>
    </w:p>
    <w:p w:rsidR="004F2778" w:rsidRDefault="004F2778">
      <w:pPr>
        <w:pStyle w:val="IASBNormalnparaL1"/>
      </w:pPr>
      <w:r>
        <w:rPr>
          <w:b/>
        </w:rPr>
        <w:t>(a)</w:t>
      </w:r>
      <w:r>
        <w:tab/>
      </w:r>
      <w:bookmarkStart w:id="339" w:name="F28554692"/>
      <w:r>
        <w:rPr>
          <w:b/>
        </w:rPr>
        <w:t>rezultatul global total aferent perioadei, care prezintă separat valorile totale atribuibile proprietarilor societăţii-mamă şi intereselor care nu controlează;</w:t>
      </w:r>
      <w:bookmarkEnd w:id="339"/>
    </w:p>
    <w:p w:rsidR="004F2778" w:rsidRDefault="004F2778">
      <w:pPr>
        <w:pStyle w:val="IASBNormalnparaL1"/>
      </w:pPr>
      <w:r>
        <w:rPr>
          <w:b/>
        </w:rPr>
        <w:t>(b)</w:t>
      </w:r>
      <w:r>
        <w:tab/>
      </w:r>
      <w:bookmarkStart w:id="340" w:name="F28554703"/>
      <w:r>
        <w:rPr>
          <w:b/>
        </w:rPr>
        <w:t>pentru fiecare componentă a capitalurilor proprii, efectul aplicării retroactive sau al retratării retroactive recunoscute în conformitate cu IAS 8; și</w:t>
      </w:r>
      <w:bookmarkEnd w:id="340"/>
    </w:p>
    <w:p w:rsidR="004F2778" w:rsidRDefault="004F2778">
      <w:pPr>
        <w:pStyle w:val="IASBNormalnparaL1"/>
      </w:pPr>
      <w:r>
        <w:rPr>
          <w:b/>
        </w:rPr>
        <w:t>(c)</w:t>
      </w:r>
      <w:r>
        <w:tab/>
      </w:r>
      <w:bookmarkStart w:id="341" w:name="F28554725"/>
      <w:r>
        <w:t>[eliminate]</w:t>
      </w:r>
      <w:bookmarkEnd w:id="341"/>
    </w:p>
    <w:p w:rsidR="004F2778" w:rsidRDefault="004F2778">
      <w:pPr>
        <w:pStyle w:val="IASBNormalnparaL1"/>
      </w:pPr>
      <w:r>
        <w:rPr>
          <w:b/>
        </w:rPr>
        <w:t>(d)</w:t>
      </w:r>
      <w:r>
        <w:tab/>
      </w:r>
      <w:bookmarkStart w:id="342" w:name="F28554728"/>
      <w:r>
        <w:rPr>
          <w:b/>
        </w:rPr>
        <w:t>pentru fiecare componentă a capitalurilor proprii, o reconciliere între valoarea contabilă de la începutul şi cea de la finalul perioadei, prezentând separat (cel puțin) modificările care rezultă din:</w:t>
      </w:r>
      <w:bookmarkEnd w:id="342"/>
    </w:p>
    <w:p w:rsidR="004F2778" w:rsidRDefault="004F2778">
      <w:pPr>
        <w:pStyle w:val="IASBNormalnparaL2"/>
      </w:pPr>
      <w:r>
        <w:rPr>
          <w:b/>
        </w:rPr>
        <w:t>(i)</w:t>
      </w:r>
      <w:r>
        <w:tab/>
      </w:r>
      <w:bookmarkStart w:id="343" w:name="F28554732"/>
      <w:r>
        <w:rPr>
          <w:b/>
        </w:rPr>
        <w:t>profit sau pierdere;</w:t>
      </w:r>
      <w:bookmarkEnd w:id="343"/>
    </w:p>
    <w:p w:rsidR="004F2778" w:rsidRDefault="004F2778">
      <w:pPr>
        <w:pStyle w:val="IASBNormalnparaL2"/>
      </w:pPr>
      <w:r>
        <w:rPr>
          <w:b/>
        </w:rPr>
        <w:t>(ii)</w:t>
      </w:r>
      <w:r>
        <w:tab/>
      </w:r>
      <w:bookmarkStart w:id="344" w:name="F28554736"/>
      <w:r>
        <w:rPr>
          <w:b/>
        </w:rPr>
        <w:t>alte elemente ale rezultatului global; și</w:t>
      </w:r>
      <w:bookmarkEnd w:id="344"/>
    </w:p>
    <w:p w:rsidR="004F2778" w:rsidRDefault="004F2778">
      <w:pPr>
        <w:pStyle w:val="IASBNormalnparaL2"/>
      </w:pPr>
      <w:r>
        <w:rPr>
          <w:b/>
        </w:rPr>
        <w:t>(iii)</w:t>
      </w:r>
      <w:r>
        <w:tab/>
      </w:r>
      <w:bookmarkStart w:id="345" w:name="F28554740"/>
      <w:r>
        <w:rPr>
          <w:b/>
        </w:rPr>
        <w:t>tranzacţii cu proprietarii în calitatea lor de proprietari, prezentând separat contribuţiile de la şi distribuirile către proprietari şi modificările participaţiilor în capitalurile proprii în filiale, care nu conduc la o pierdere a controlului.</w:t>
      </w:r>
      <w:bookmarkEnd w:id="345"/>
    </w:p>
    <w:p w:rsidR="004F2778" w:rsidRDefault="004F2778">
      <w:pPr>
        <w:pStyle w:val="IASBSectionTitle3Ind"/>
      </w:pPr>
      <w:bookmarkStart w:id="346" w:name="F14173121"/>
      <w:r>
        <w:t>Informaţii care trebuie prezentate fie în situaţia modificărilor capitalurilor proprii, fie în note</w:t>
      </w:r>
      <w:bookmarkEnd w:id="346"/>
    </w:p>
    <w:p w:rsidR="004F2778" w:rsidRDefault="004F2778">
      <w:pPr>
        <w:pStyle w:val="IASBNormalnpara"/>
        <w:rPr>
          <w:b/>
        </w:rPr>
      </w:pPr>
      <w:r>
        <w:rPr>
          <w:b/>
        </w:rPr>
        <w:t>106A</w:t>
      </w:r>
      <w:r>
        <w:tab/>
      </w:r>
      <w:bookmarkStart w:id="347" w:name="F14173123"/>
      <w:r>
        <w:rPr>
          <w:b/>
        </w:rPr>
        <w:t>Pentru fiecare componentă de capitaluri proprii, o entitate trebuie să prezinte, fie în situaţia modificărilor capitalurilor proprii, fie în note, o analiză a altor elemente ale rezultatului global (a se vedea punctul 106 litera (d) subpunctul (ii)).</w:t>
      </w:r>
      <w:bookmarkEnd w:id="347"/>
    </w:p>
    <w:p w:rsidR="004F2778" w:rsidRDefault="004F2778">
      <w:pPr>
        <w:pStyle w:val="IASBNormalnpara"/>
        <w:rPr>
          <w:b/>
        </w:rPr>
      </w:pPr>
      <w:r>
        <w:rPr>
          <w:b/>
        </w:rPr>
        <w:t>107</w:t>
      </w:r>
      <w:r>
        <w:tab/>
      </w:r>
      <w:bookmarkStart w:id="348" w:name="F3903643"/>
      <w:r>
        <w:rPr>
          <w:b/>
        </w:rPr>
        <w:t>O entitate trebuie să prezinte, fie în situaţia modificărilor capitalurilor proprii, fie în note, valoarea dividendelor recunoscute drept distribuiri către proprietari în cursul perioadei şi valoarea aferentă a dividendelor per acţiune.</w:t>
      </w:r>
      <w:bookmarkEnd w:id="348"/>
    </w:p>
    <w:p w:rsidR="004F2778" w:rsidRDefault="004F2778">
      <w:pPr>
        <w:pStyle w:val="IASBNormalnpara"/>
      </w:pPr>
      <w:r>
        <w:lastRenderedPageBreak/>
        <w:t>108</w:t>
      </w:r>
      <w:r>
        <w:tab/>
      </w:r>
      <w:bookmarkStart w:id="349" w:name="F3903644"/>
      <w:r>
        <w:t>La punctul 106, componentele de capitaluri proprii includ, de exemplu, fiecare clasă de capitaluri proprii vărsate, soldul acumulat al fiecărei clase de alte elemente ale rezultatului global şi rezultatul reportat.</w:t>
      </w:r>
      <w:bookmarkEnd w:id="349"/>
    </w:p>
    <w:p w:rsidR="004F2778" w:rsidRDefault="004F2778">
      <w:pPr>
        <w:pStyle w:val="IASBNormalnpara"/>
      </w:pPr>
      <w:r>
        <w:t>109</w:t>
      </w:r>
      <w:r>
        <w:tab/>
      </w:r>
      <w:bookmarkStart w:id="350" w:name="F3903645"/>
      <w:r>
        <w:t>Modificările capitalurilor proprii ale unei entităţi între începutul şi finalul perioadei de raportare reflectă creşterea sau reducerea activelor sale nete în cursul perioadei. Cu excepţia modificărilor rezultate din tranzacţiile cu proprietarii care acţionează în calitatea lor de proprietari (cum ar fi contribuţiile la capitalul propriu, reachiziţionarea propriilor instrumente de capitaluri proprii ale entităţii şi dividendele) şi a costurilor de tranzacţionare legate direct de astfel de tranzacţii, modificarea globală a capitalurilor proprii în cursul unei perioade reprezintă valoarea totală a veniturilor şi cheltuielilor, inclusiv câştigurile şi pierderile, generate de activităţile entităţii pe parcursul acelei perioade.</w:t>
      </w:r>
      <w:bookmarkEnd w:id="350"/>
    </w:p>
    <w:p w:rsidR="004F2778" w:rsidRDefault="004F2778">
      <w:pPr>
        <w:pStyle w:val="IASBNormalnpara"/>
      </w:pPr>
      <w:r>
        <w:t>110</w:t>
      </w:r>
      <w:r>
        <w:tab/>
      </w:r>
      <w:bookmarkStart w:id="351" w:name="F3903646"/>
      <w:r>
        <w:t>IAS 8 prevede ajustări retroactive pentru a efectua modificările în politicile contabile, în măsura în care acest lucru este posibil, cu excepţia cazului în care prevederile tranzitorii ale unui alt IFRS prevăd altfel. IAS 8 impune, de asemenea, ca retratările pentru corectarea erorilor să fie făcute retroactiv în măsura în care acest lucru este posibil. Ajustările şi retratările retroactive nu sunt modificări ale capitalurilor proprii, ci sunt ajustări ale soldului de deschidere al rezultatului reportat, cu excepţia cazului în care un alt IFRS impune ajustarea retroactivă a unei alte componente a capitalurilor proprii. Punctul 106 litera (b) prevede prezentarea în situaţia modificărilor capitalurilor proprii a ajustării totale pentru fiecare componentă de capitaluri proprii care rezultă din modificări ale politicilor contabile şi, separat, din corectarea erorilor. Aceste ajustări sunt prezentate pentru fiecare perioadă precedentă şi pentru începutul perioadei.</w:t>
      </w:r>
      <w:bookmarkEnd w:id="351"/>
    </w:p>
    <w:p w:rsidR="004F2778" w:rsidRDefault="004F2778">
      <w:pPr>
        <w:pStyle w:val="IASBSectionTitle2Ind"/>
      </w:pPr>
      <w:bookmarkStart w:id="352" w:name="F3903647"/>
      <w:r>
        <w:t>Situaţia fluxurilor de trezorerie</w:t>
      </w:r>
      <w:bookmarkEnd w:id="352"/>
    </w:p>
    <w:p w:rsidR="004F2778" w:rsidRDefault="004F2778">
      <w:pPr>
        <w:pStyle w:val="IASBNormalnpara"/>
      </w:pPr>
      <w:r>
        <w:t>111</w:t>
      </w:r>
      <w:r>
        <w:tab/>
      </w:r>
      <w:bookmarkStart w:id="353" w:name="F3903649"/>
      <w:r>
        <w:t>Informaţiile privind fluxurile de trezorerie le oferă utilizatorilor de situaţii financiare o bază pentru evaluarea capacităţii entităţii de a genera numerar şi echivalente de numerar, precum şi a necesităţilor entităţii de a utiliza fluxurile de trezorerie respective. IAS 7 stabileşte dispoziţii pentru prezentarea şi descrierea informaţiilor privind fluxurile de trezorerie.</w:t>
      </w:r>
      <w:bookmarkEnd w:id="353"/>
    </w:p>
    <w:p w:rsidR="004F2778" w:rsidRDefault="004F2778">
      <w:pPr>
        <w:widowControl w:val="0"/>
        <w:autoSpaceDE w:val="0"/>
        <w:autoSpaceDN w:val="0"/>
        <w:adjustRightInd w:val="0"/>
        <w:sectPr w:rsidR="004F2778">
          <w:headerReference w:type="even" r:id="rId6"/>
          <w:headerReference w:type="default" r:id="rId7"/>
          <w:footerReference w:type="even" r:id="rId8"/>
          <w:footerReference w:type="default" r:id="rId9"/>
          <w:pgSz w:w="11907" w:h="16839"/>
          <w:pgMar w:top="1440" w:right="1440" w:bottom="1440" w:left="1440" w:header="709" w:footer="709" w:gutter="0"/>
          <w:cols w:space="708"/>
          <w:docGrid w:linePitch="360"/>
        </w:sectPr>
      </w:pPr>
    </w:p>
    <w:p w:rsidR="004F2778" w:rsidRDefault="004F2778">
      <w:pPr>
        <w:pStyle w:val="IASBSectionTitle2Ind"/>
      </w:pPr>
      <w:bookmarkStart w:id="354" w:name="F3903650"/>
      <w:r>
        <w:lastRenderedPageBreak/>
        <w:t>Note</w:t>
      </w:r>
      <w:bookmarkEnd w:id="354"/>
    </w:p>
    <w:p w:rsidR="004F2778" w:rsidRDefault="004F2778">
      <w:pPr>
        <w:pStyle w:val="IASBSectionTitle3Ind"/>
      </w:pPr>
      <w:bookmarkStart w:id="355" w:name="F3903652"/>
      <w:r>
        <w:t>Structură</w:t>
      </w:r>
      <w:bookmarkEnd w:id="355"/>
    </w:p>
    <w:p w:rsidR="004F2778" w:rsidRDefault="004F2778">
      <w:pPr>
        <w:pStyle w:val="IASBNormalnpara"/>
        <w:rPr>
          <w:b/>
        </w:rPr>
      </w:pPr>
      <w:r>
        <w:rPr>
          <w:b/>
        </w:rPr>
        <w:t>112</w:t>
      </w:r>
      <w:r>
        <w:tab/>
      </w:r>
      <w:bookmarkStart w:id="356" w:name="F3903654"/>
      <w:r>
        <w:rPr>
          <w:b/>
        </w:rPr>
        <w:t>Notele trebuie:</w:t>
      </w:r>
      <w:bookmarkEnd w:id="356"/>
    </w:p>
    <w:p w:rsidR="004F2778" w:rsidRDefault="004F2778">
      <w:pPr>
        <w:pStyle w:val="IASBNormalnparaL1"/>
      </w:pPr>
      <w:r>
        <w:rPr>
          <w:b/>
        </w:rPr>
        <w:t>(a)</w:t>
      </w:r>
      <w:r>
        <w:tab/>
      </w:r>
      <w:bookmarkStart w:id="357" w:name="F3903657"/>
      <w:r>
        <w:rPr>
          <w:b/>
        </w:rPr>
        <w:t>să prezinte informaţii despre baza de întocmire a situaţiilor financiare şi despre politicile contabile specifice utilizate în conformitate cu punctele 117-124;</w:t>
      </w:r>
      <w:bookmarkEnd w:id="357"/>
    </w:p>
    <w:p w:rsidR="004F2778" w:rsidRDefault="004F2778">
      <w:pPr>
        <w:pStyle w:val="IASBNormalnparaL1"/>
      </w:pPr>
      <w:r>
        <w:rPr>
          <w:b/>
        </w:rPr>
        <w:t>(b)</w:t>
      </w:r>
      <w:r>
        <w:tab/>
      </w:r>
      <w:bookmarkStart w:id="358" w:name="F3903659"/>
      <w:r>
        <w:rPr>
          <w:b/>
        </w:rPr>
        <w:t>să prezinte informaţiile prevăzute de IFRS-uri care nu sunt prezentate în altă parte în situaţiile financiare; și</w:t>
      </w:r>
      <w:bookmarkEnd w:id="358"/>
    </w:p>
    <w:p w:rsidR="004F2778" w:rsidRDefault="004F2778">
      <w:pPr>
        <w:pStyle w:val="IASBNormalnparaL1"/>
      </w:pPr>
      <w:r>
        <w:rPr>
          <w:b/>
        </w:rPr>
        <w:t>(c)</w:t>
      </w:r>
      <w:r>
        <w:tab/>
      </w:r>
      <w:bookmarkStart w:id="359" w:name="F3903661"/>
      <w:r>
        <w:rPr>
          <w:b/>
        </w:rPr>
        <w:t>să ofere informaţii care nu sunt prezentate în altă parte în situaţiile financiare, dar care sunt relevante pentru înţelegerea oricărora dintre ele.</w:t>
      </w:r>
      <w:bookmarkEnd w:id="359"/>
    </w:p>
    <w:p w:rsidR="004F2778" w:rsidRDefault="004F2778">
      <w:pPr>
        <w:pStyle w:val="IASBNormalnpara"/>
        <w:rPr>
          <w:b/>
        </w:rPr>
      </w:pPr>
      <w:r>
        <w:rPr>
          <w:b/>
        </w:rPr>
        <w:t>113</w:t>
      </w:r>
      <w:r>
        <w:tab/>
      </w:r>
      <w:bookmarkStart w:id="360" w:name="F38870259"/>
      <w:r>
        <w:rPr>
          <w:b/>
        </w:rPr>
        <w:t>O entitate trebuie să prezinte notele, pe cât posibil, într-un mod sistematic. Atunci când determină o metodă sistematică, entitatea trebuie să ia în considerare efectul asupra inteligibilității și comparabilității situațiilor sale financiare. O entitate trebuie să coreleze fiecare element din situaţiile poziţiei financiare şi din situaţia (situațiile) profitului sau pierderii și altor elemente ale rezultatului global, precum și pe cele din situaţia modificărilor capitalurilor proprii și din situaţia fluxurilor de trezorerie cu orice informaţii aferente din note.</w:t>
      </w:r>
      <w:bookmarkEnd w:id="360"/>
    </w:p>
    <w:p w:rsidR="004F2778" w:rsidRDefault="004F2778">
      <w:pPr>
        <w:pStyle w:val="IASBNormalnpara"/>
      </w:pPr>
      <w:r>
        <w:t>114</w:t>
      </w:r>
      <w:r>
        <w:tab/>
      </w:r>
      <w:bookmarkStart w:id="361" w:name="F38870265"/>
      <w:r>
        <w:t>Printre exemplele de ordonare sau grupare sistematică a notelor se numără:</w:t>
      </w:r>
      <w:bookmarkEnd w:id="361"/>
    </w:p>
    <w:p w:rsidR="004F2778" w:rsidRDefault="004F2778">
      <w:pPr>
        <w:pStyle w:val="IASBNormalnparaL1"/>
      </w:pPr>
      <w:r>
        <w:t>(a)</w:t>
      </w:r>
      <w:r>
        <w:tab/>
      </w:r>
      <w:bookmarkStart w:id="362" w:name="F38870270"/>
      <w:r>
        <w:t>evidențierea unor sectoare ale activității sale pe care entitatea le consideră ca fiind cele mai relevante pentru înțelegerea performanţei și poziţiei sale financiare, cum ar fi gruparea împreună a informațiilor despre anumite activităţi de exploatare;</w:t>
      </w:r>
      <w:bookmarkEnd w:id="362"/>
    </w:p>
    <w:p w:rsidR="004F2778" w:rsidRDefault="004F2778">
      <w:pPr>
        <w:pStyle w:val="IASBNormalnparaL1"/>
      </w:pPr>
      <w:r>
        <w:t>(b)</w:t>
      </w:r>
      <w:r>
        <w:tab/>
      </w:r>
      <w:bookmarkStart w:id="363" w:name="F38870274"/>
      <w:r>
        <w:t>gruparea împreună a informațiilor despre elemente evaluate în mod similar, cum ar fi activele evaluate la valoarea justă; sau</w:t>
      </w:r>
      <w:bookmarkEnd w:id="363"/>
    </w:p>
    <w:p w:rsidR="004F2778" w:rsidRDefault="004F2778">
      <w:pPr>
        <w:pStyle w:val="IASBNormalnparaL1"/>
      </w:pPr>
      <w:r>
        <w:t>(c)</w:t>
      </w:r>
      <w:r>
        <w:tab/>
      </w:r>
      <w:bookmarkStart w:id="364" w:name="F38870279"/>
      <w:r>
        <w:t>respectarea ordinii elementelor-rând în situaţia (situaţiile) profitului sau pierderii şi altor elemente ale rezultatului global și în situaţia poziţiei financiare, cum ar fi:</w:t>
      </w:r>
      <w:bookmarkEnd w:id="364"/>
    </w:p>
    <w:p w:rsidR="004F2778" w:rsidRDefault="004F2778">
      <w:pPr>
        <w:pStyle w:val="IASBNormalnparaL2"/>
      </w:pPr>
      <w:r>
        <w:t>(i)</w:t>
      </w:r>
      <w:r>
        <w:tab/>
      </w:r>
      <w:bookmarkStart w:id="365" w:name="F38869694"/>
      <w:r>
        <w:t>o declaraţie de conformitate cu IFRS-urile (a se vedea punctul 16);</w:t>
      </w:r>
      <w:bookmarkEnd w:id="365"/>
    </w:p>
    <w:p w:rsidR="004F2778" w:rsidRDefault="004F2778">
      <w:pPr>
        <w:pStyle w:val="IASBNormalnparaL2"/>
      </w:pPr>
      <w:r>
        <w:t>(ii)</w:t>
      </w:r>
      <w:r>
        <w:tab/>
      </w:r>
      <w:bookmarkStart w:id="366" w:name="F38870499"/>
      <w:r>
        <w:t>politicile contabile semnificative aplicate (a se vedea punctul 117);</w:t>
      </w:r>
      <w:bookmarkEnd w:id="366"/>
    </w:p>
    <w:p w:rsidR="004F2778" w:rsidRDefault="004F2778">
      <w:pPr>
        <w:pStyle w:val="IASBNormalnparaL2"/>
      </w:pPr>
      <w:r>
        <w:t>(iii)</w:t>
      </w:r>
      <w:r>
        <w:tab/>
      </w:r>
      <w:bookmarkStart w:id="367" w:name="F38870501"/>
      <w:r>
        <w:t>informaţiile care stau la baza elementelor prezentate în situaţiile poziţiei financiare şi în situaţia (situaţiile) profitului sau pierderii şi altor elemente ale rezultatului global, în situaţia modificărilor capitalurilor proprii şi situaţia fluxurilor de trezorerie, în ordinea prezentării fiecărei situaţii financiare şi a fiecărui element-rând; și</w:t>
      </w:r>
      <w:bookmarkEnd w:id="367"/>
    </w:p>
    <w:p w:rsidR="004F2778" w:rsidRDefault="004F2778">
      <w:pPr>
        <w:pStyle w:val="IASBNormalnparaL3"/>
      </w:pPr>
      <w:bookmarkStart w:id="368" w:name="F38870503"/>
      <w:r>
        <w:t>alte prezentări de informaţii, inclusiv: (1)</w:t>
      </w:r>
      <w:r>
        <w:tab/>
      </w:r>
      <w:bookmarkStart w:id="369" w:name="F38870506"/>
      <w:r>
        <w:t>datoriile contingente (a se vedea IAS 37) şi angajamentele contractuale nerecunoscute; și</w:t>
      </w:r>
      <w:bookmarkEnd w:id="369"/>
    </w:p>
    <w:p w:rsidR="004F2778" w:rsidRDefault="004F2778">
      <w:pPr>
        <w:pStyle w:val="IASBNormalnparaL3"/>
      </w:pPr>
      <w:r>
        <w:t>(2)</w:t>
      </w:r>
      <w:r>
        <w:tab/>
      </w:r>
      <w:bookmarkStart w:id="370" w:name="F38870508"/>
      <w:r>
        <w:t>prezentările de informaţii nefinanciare, de exemplu, obiectivele şi politicile entităţii pentru gestionarea riscului financiar (a se vedea IFRS 7).</w:t>
      </w:r>
      <w:bookmarkEnd w:id="370"/>
    </w:p>
    <w:bookmarkEnd w:id="368"/>
    <w:p w:rsidR="004F2778" w:rsidRDefault="004F2778">
      <w:pPr>
        <w:widowControl w:val="0"/>
        <w:autoSpaceDE w:val="0"/>
        <w:autoSpaceDN w:val="0"/>
        <w:adjustRightInd w:val="0"/>
      </w:pPr>
    </w:p>
    <w:p w:rsidR="004F2778" w:rsidRDefault="004F2778">
      <w:pPr>
        <w:pStyle w:val="IASBNormalnpara"/>
      </w:pPr>
      <w:r>
        <w:t>115</w:t>
      </w:r>
      <w:r>
        <w:tab/>
      </w:r>
      <w:bookmarkStart w:id="371" w:name="F38870518"/>
      <w:r>
        <w:t>[Eliminate]</w:t>
      </w:r>
      <w:bookmarkEnd w:id="371"/>
    </w:p>
    <w:p w:rsidR="004F2778" w:rsidRDefault="004F2778">
      <w:pPr>
        <w:pStyle w:val="IASBNormalnpara"/>
      </w:pPr>
      <w:r>
        <w:t>116</w:t>
      </w:r>
      <w:r>
        <w:tab/>
      </w:r>
      <w:bookmarkStart w:id="372" w:name="F3903680"/>
      <w:r>
        <w:t>O entitate poate prezenta notele care oferă informaţii despre baza întocmirii situaţiilor financiare şi a politicilor contabile specifice ca o secţiune separată a situaţiilor financiare.</w:t>
      </w:r>
      <w:bookmarkEnd w:id="372"/>
    </w:p>
    <w:p w:rsidR="004F2778" w:rsidRDefault="004F2778">
      <w:pPr>
        <w:pStyle w:val="IASBSectionTitle3Ind"/>
      </w:pPr>
      <w:bookmarkStart w:id="373" w:name="F3903681"/>
      <w:r>
        <w:t>Prezentarea politicilor contabile</w:t>
      </w:r>
      <w:bookmarkEnd w:id="373"/>
    </w:p>
    <w:p w:rsidR="004F2778" w:rsidRDefault="004F2778">
      <w:pPr>
        <w:pStyle w:val="IASBNormalnpara"/>
        <w:rPr>
          <w:b/>
        </w:rPr>
      </w:pPr>
      <w:r>
        <w:rPr>
          <w:b/>
        </w:rPr>
        <w:t>117</w:t>
      </w:r>
      <w:r>
        <w:tab/>
      </w:r>
      <w:bookmarkStart w:id="374" w:name="F38870528"/>
      <w:r>
        <w:rPr>
          <w:b/>
        </w:rPr>
        <w:t>O entitate trebuie să își prezinte politicile contabile semnificative care cuprind:</w:t>
      </w:r>
      <w:bookmarkEnd w:id="374"/>
    </w:p>
    <w:p w:rsidR="004F2778" w:rsidRDefault="004F2778">
      <w:pPr>
        <w:pStyle w:val="IASBNormalnparaL1"/>
      </w:pPr>
      <w:r>
        <w:rPr>
          <w:b/>
        </w:rPr>
        <w:t>(a)</w:t>
      </w:r>
      <w:r>
        <w:tab/>
      </w:r>
      <w:bookmarkStart w:id="375" w:name="F38870533"/>
      <w:r>
        <w:rPr>
          <w:b/>
        </w:rPr>
        <w:t>baza (sau bazele) de evaluare utilizată (utilizate) la întocmirea situaţiilor financiare; și</w:t>
      </w:r>
      <w:bookmarkEnd w:id="375"/>
    </w:p>
    <w:p w:rsidR="004F2778" w:rsidRDefault="004F2778">
      <w:pPr>
        <w:pStyle w:val="IASBNormalnparaL1"/>
      </w:pPr>
      <w:r>
        <w:rPr>
          <w:b/>
        </w:rPr>
        <w:t>(b)</w:t>
      </w:r>
      <w:r>
        <w:tab/>
      </w:r>
      <w:bookmarkStart w:id="376" w:name="F38870536"/>
      <w:r>
        <w:rPr>
          <w:b/>
        </w:rPr>
        <w:t>celelalte politici contabile utilizate care sunt relevante pentru înţelegerea corespunzătoare a situaţiilor financiare.</w:t>
      </w:r>
      <w:bookmarkEnd w:id="376"/>
    </w:p>
    <w:p w:rsidR="004F2778" w:rsidRDefault="004F2778">
      <w:pPr>
        <w:pStyle w:val="IASBNormalnpara"/>
      </w:pPr>
      <w:r>
        <w:t>118</w:t>
      </w:r>
      <w:r>
        <w:tab/>
      </w:r>
      <w:bookmarkStart w:id="377" w:name="F3903689"/>
      <w:r>
        <w:t>Este important pentru o entitate să informeze utilizatorii asupra bazei sau bazelor de evaluare utilizată (utilizate) în situaţiile financiare (de exemplu, costul istoric, costul curent, valoarea realizabilă netă, valoarea justă sau valoarea recuperabilă), deoarece baza pe care sunt întocmite situaţiile financiare afectează în mod semnificativ analiza utilizatorilor. Atunci când o entitate utilizează mai mult de o bază de evaluare în situaţiile financiare, de exemplu, atunci când sunt reevaluate anumite clase de active, este suficientă indicarea categoriilor de active şi datorii cărora li se aplică fiecare bază de evaluare.</w:t>
      </w:r>
      <w:bookmarkEnd w:id="377"/>
    </w:p>
    <w:p w:rsidR="004F2778" w:rsidRDefault="004F2778">
      <w:pPr>
        <w:pStyle w:val="IASBNormalnpara"/>
      </w:pPr>
      <w:r>
        <w:lastRenderedPageBreak/>
        <w:t>119</w:t>
      </w:r>
      <w:r>
        <w:tab/>
      </w:r>
      <w:bookmarkStart w:id="378" w:name="F38870563"/>
      <w:r>
        <w:t xml:space="preserve">Atunci când se decide necesitatea prezentării unei anumite politici contabile, conducerea ia în considerare modalitatea în care prezentarea ar ajuta utilizatorii să înţeleagă modul în care tranzacţiile, alte evenimente şi condiţii se regăsesc în performanţa financiară şi poziţia financiară raportate. Fiecare entitate are în vedere natura operaţiunilor sale şi politicile pe care utilizatorii situaţiilor sale financiare se aşteaptă să le regăsească prezentate pentru acel tip de entitate. Prezentarea anumitor politici contabile este utilă în mod deosebit utilizatorilor atunci când acele politici sunt selectate din alternativele permise în IFRS-uri. Un exemplu este prezentarea de informații privind cazurile în care o entitate aplică valoarea justă sau modelul bazat pe cost investițiilor sale imobiliare (a se vedea IAS 40 </w:t>
      </w:r>
      <w:r>
        <w:rPr>
          <w:i/>
        </w:rPr>
        <w:t>Investiții imobiliare</w:t>
      </w:r>
      <w:r>
        <w:t>). Unele IFRS-uri prevăd în mod specific prezentarea anumitor politici contabile, inclusiv a alegerilor făcute de conducere între diferitele politici contabile permise. De exemplu, IAS 16 prevede prezentarea bazelor de evaluare utilizate pentru clasele de imobilizări corporale.</w:t>
      </w:r>
      <w:bookmarkEnd w:id="378"/>
    </w:p>
    <w:p w:rsidR="004F2778" w:rsidRDefault="004F2778">
      <w:pPr>
        <w:pStyle w:val="IASBNormalnpara"/>
      </w:pPr>
      <w:r>
        <w:t>120</w:t>
      </w:r>
      <w:r>
        <w:tab/>
      </w:r>
      <w:bookmarkStart w:id="379" w:name="F38870597"/>
      <w:r>
        <w:t>[Eliminate]</w:t>
      </w:r>
      <w:bookmarkEnd w:id="379"/>
    </w:p>
    <w:p w:rsidR="004F2778" w:rsidRDefault="004F2778">
      <w:pPr>
        <w:pStyle w:val="IASBNormalnpara"/>
      </w:pPr>
      <w:r>
        <w:t>121</w:t>
      </w:r>
      <w:r>
        <w:tab/>
      </w:r>
      <w:bookmarkStart w:id="380" w:name="F3903769"/>
      <w:r>
        <w:t>O politică contabilă poate fi semnificativă datorită naturii operaţiunilor entităţii chiar dacă valorile prezentate pentru perioada curentă și pentru perioadele anterioare nu sunt semnificative. De asemenea, este adecvată prezentarea fiecărei politici contabile semnificative care nu este prevăzută de IFRS-uri în mod special, dar pe care entitatea o selectează şi o aplică în conformitate cu IAS 8.</w:t>
      </w:r>
      <w:bookmarkEnd w:id="380"/>
    </w:p>
    <w:p w:rsidR="004F2778" w:rsidRDefault="004F2778">
      <w:pPr>
        <w:pStyle w:val="IASBNormalnpara"/>
        <w:rPr>
          <w:b/>
        </w:rPr>
      </w:pPr>
      <w:r>
        <w:rPr>
          <w:b/>
        </w:rPr>
        <w:t>122</w:t>
      </w:r>
      <w:r>
        <w:tab/>
      </w:r>
      <w:bookmarkStart w:id="381" w:name="F38870863"/>
      <w:r>
        <w:rPr>
          <w:b/>
        </w:rPr>
        <w:t>O entitate trebuie să prezinte împreună cu politicile sale contabile semnificative sau în alte note raţionamentele profesionale, în afara celor care implică estimări (a se vedea punctul 125), pe care conducerea le-a făcut în aplicarea politicilor contabile ale entităţii şi care au avut cel mai important efect asupra sumelor recunoscute în situaţiile financiare.</w:t>
      </w:r>
      <w:bookmarkEnd w:id="381"/>
    </w:p>
    <w:p w:rsidR="004F2778" w:rsidRDefault="004F2778">
      <w:pPr>
        <w:pStyle w:val="IASBNormalnpara"/>
      </w:pPr>
      <w:r>
        <w:t>123</w:t>
      </w:r>
      <w:r>
        <w:tab/>
      </w:r>
      <w:bookmarkStart w:id="382" w:name="F46464876"/>
      <w:r>
        <w:t>În procesul de aplicare a politicilor contabile ale entităţii, conducerea folosește mai multe raţionamente, în afară de cele care implică estimări, care pot afecta semnificativ sumele recunoscute în situaţiile financiare. De exemplu, conducerea face raţionamente pentru a determina:</w:t>
      </w:r>
      <w:bookmarkEnd w:id="382"/>
    </w:p>
    <w:p w:rsidR="004F2778" w:rsidRDefault="004F2778">
      <w:pPr>
        <w:pStyle w:val="IASBNormalnparaL1"/>
      </w:pPr>
      <w:r>
        <w:t>(a)</w:t>
      </w:r>
      <w:r>
        <w:tab/>
      </w:r>
      <w:bookmarkStart w:id="383" w:name="F46464879"/>
      <w:r>
        <w:t>[eliminată]</w:t>
      </w:r>
      <w:bookmarkEnd w:id="383"/>
    </w:p>
    <w:p w:rsidR="004F2778" w:rsidRDefault="004F2778">
      <w:pPr>
        <w:pStyle w:val="IASBNormalnparaL1"/>
      </w:pPr>
      <w:r>
        <w:t>(b)</w:t>
      </w:r>
      <w:r>
        <w:tab/>
      </w:r>
      <w:bookmarkStart w:id="384" w:name="F46464881"/>
      <w:r>
        <w:t>atunci când, în esență, toate riscurile şi recompensele semnificative aferente dreptului de proprietate asupra activelor financiare şi, pentru locatori, asupra activelor care fac obiectul contractelor de leasing sunt transferate altor entităţi;</w:t>
      </w:r>
      <w:bookmarkEnd w:id="384"/>
    </w:p>
    <w:p w:rsidR="004F2778" w:rsidRDefault="004F2778">
      <w:pPr>
        <w:pStyle w:val="IASBNormalnparaL1"/>
      </w:pPr>
      <w:r>
        <w:t>(c)</w:t>
      </w:r>
      <w:r>
        <w:tab/>
      </w:r>
      <w:bookmarkStart w:id="385" w:name="F46464883"/>
      <w:r>
        <w:t>dacă, în realitate, anumite vânzări de bunuri sunt angajamente de finanţare şi deci nu generează venituri; și</w:t>
      </w:r>
      <w:bookmarkEnd w:id="385"/>
    </w:p>
    <w:p w:rsidR="004F2778" w:rsidRDefault="004F2778">
      <w:pPr>
        <w:pStyle w:val="IASBNormalnparaL1"/>
      </w:pPr>
      <w:r>
        <w:t>(d)</w:t>
      </w:r>
      <w:r>
        <w:tab/>
      </w:r>
      <w:bookmarkStart w:id="386" w:name="F46464885"/>
      <w:r>
        <w:t>dacă termenele contractuale ale unui activ financiar generează, la anumite date, fluxuri de trezorerie care sunt exclusiv plăţi ale principalului şi ale dobânzii aferente valorii principalului datorat.</w:t>
      </w:r>
      <w:bookmarkEnd w:id="386"/>
    </w:p>
    <w:p w:rsidR="004F2778" w:rsidRDefault="004F2778">
      <w:pPr>
        <w:pStyle w:val="IASBNormalnpara"/>
      </w:pPr>
      <w:r>
        <w:t>124</w:t>
      </w:r>
      <w:r>
        <w:tab/>
      </w:r>
      <w:bookmarkStart w:id="387" w:name="F3903781"/>
      <w:r>
        <w:t xml:space="preserve">Unele dintre prezentările făcute în conformitate cu punctul 122 sunt prevăzute şi de alte IFRS-uri. De exemplu, IFRS 12 </w:t>
      </w:r>
      <w:r>
        <w:rPr>
          <w:i/>
        </w:rPr>
        <w:t>Prezentarea intereselor existente în alte entități</w:t>
      </w:r>
      <w:r>
        <w:t xml:space="preserve"> prevede ca o entitate să prezinte raționamentele folosite pentru a stabili dacă deține controlul altei entități. IAS 40 </w:t>
      </w:r>
      <w:r>
        <w:rPr>
          <w:i/>
        </w:rPr>
        <w:t>Investiţii imobiliare</w:t>
      </w:r>
      <w:r>
        <w:t xml:space="preserve"> prevede prezentarea criteriilor elaborate de entitate pentru a distinge investiţiile imobiliare de proprietăţile imobiliare utilizate de posesor şi de imobilizările deţinute în vederea vânzării în cursul normal al activităţilor, atunci când este dificilă clasificarea proprietăţii.</w:t>
      </w:r>
      <w:bookmarkEnd w:id="387"/>
    </w:p>
    <w:p w:rsidR="004F2778" w:rsidRDefault="004F2778">
      <w:pPr>
        <w:pStyle w:val="IASBSectionTitle3Ind"/>
      </w:pPr>
      <w:bookmarkStart w:id="388" w:name="F3903782"/>
      <w:r>
        <w:t>Surse ale incertitudinii estimărilor</w:t>
      </w:r>
      <w:bookmarkEnd w:id="388"/>
    </w:p>
    <w:p w:rsidR="004F2778" w:rsidRDefault="004F2778">
      <w:pPr>
        <w:pStyle w:val="IASBNormalnpara"/>
        <w:rPr>
          <w:b/>
        </w:rPr>
      </w:pPr>
      <w:r>
        <w:rPr>
          <w:b/>
        </w:rPr>
        <w:t>125</w:t>
      </w:r>
      <w:r>
        <w:tab/>
      </w:r>
      <w:bookmarkStart w:id="389" w:name="F3903784"/>
      <w:r>
        <w:rPr>
          <w:b/>
        </w:rPr>
        <w:t>O entitate trebuie să prezinte informaţii privind ipotezele asumate în ceea ce priveşte viitorul şi alte cauze importante ale incertitudinii estimărilor la finalul perioadei de raportare, care prezintă un risc semnificativ de a provoca o ajustare semnificativă în valorile contabile ale activelor şi datoriilor în următorul exerciţiu financiar. În privinţa acelor active şi datorii, notele trebuie să includă detalii referitoare la:</w:t>
      </w:r>
      <w:bookmarkEnd w:id="389"/>
    </w:p>
    <w:p w:rsidR="004F2778" w:rsidRDefault="004F2778">
      <w:pPr>
        <w:pStyle w:val="IASBNormalnparaL1"/>
      </w:pPr>
      <w:r>
        <w:rPr>
          <w:b/>
        </w:rPr>
        <w:t>(a)</w:t>
      </w:r>
      <w:r>
        <w:tab/>
      </w:r>
      <w:bookmarkStart w:id="390" w:name="F3903787"/>
      <w:r>
        <w:rPr>
          <w:b/>
        </w:rPr>
        <w:t>natura lor şi</w:t>
      </w:r>
      <w:bookmarkEnd w:id="390"/>
    </w:p>
    <w:p w:rsidR="004F2778" w:rsidRDefault="004F2778">
      <w:pPr>
        <w:pStyle w:val="IASBNormalnparaL1"/>
      </w:pPr>
      <w:r>
        <w:rPr>
          <w:b/>
        </w:rPr>
        <w:t>(b)</w:t>
      </w:r>
      <w:r>
        <w:tab/>
      </w:r>
      <w:bookmarkStart w:id="391" w:name="F3903789"/>
      <w:r>
        <w:rPr>
          <w:b/>
        </w:rPr>
        <w:t>valoarea lor contabilă la finalul perioadei de raportare.</w:t>
      </w:r>
      <w:bookmarkEnd w:id="391"/>
    </w:p>
    <w:p w:rsidR="004F2778" w:rsidRDefault="004F2778">
      <w:pPr>
        <w:pStyle w:val="IASBNormalnpara"/>
      </w:pPr>
      <w:r>
        <w:t>126</w:t>
      </w:r>
      <w:r>
        <w:tab/>
      </w:r>
      <w:bookmarkStart w:id="392" w:name="F3903790"/>
      <w:r>
        <w:t>Determinarea valorilor contabile ale unor active şi datorii impune estimarea efectelor unor evenimente viitoare incerte asupra acelor active şi datorii la finalul perioadei de raportare. De exemplu, în absenţa unor preţuri de piaţă recent observate, sunt necesare estimări orientate spre viitor pentru a evalua valoarea recuperabilă a claselor de imobilizări corporale, efectul uzurii morale tehnologice a stocurilor, provizioanele aferente unor rezultate viitoare ale unor litigii în curs şi datoriile pe termen lung privind beneficiile angajaţilor, cum ar fi obligaţiile privind pensiile. Aceste estimări implică ipoteze privind anumite elemente, cum ar fi ajustarea fluxurilor de trezorerie sau a ratelor de actualizare utilizate în funcţie de risc, modificările viitoare ale salariilor şi modificările viitoare ale preţurilor care vor afecta alte costuri.</w:t>
      </w:r>
      <w:bookmarkEnd w:id="392"/>
    </w:p>
    <w:p w:rsidR="004F2778" w:rsidRDefault="004F2778">
      <w:pPr>
        <w:pStyle w:val="IASBNormalnpara"/>
      </w:pPr>
      <w:r>
        <w:lastRenderedPageBreak/>
        <w:t>127</w:t>
      </w:r>
      <w:r>
        <w:tab/>
      </w:r>
      <w:bookmarkStart w:id="393" w:name="F3903791"/>
      <w:r>
        <w:t>Ipotezele şi alte surse de incertitudini în estimare, prezentate în conformitate cu punctul 125, sunt legate de estimările care impun conducerii cele mai dificile, subiective sau complexe raţionamente. În timp ce numărul de variabile şi ipoteze care afectează posibila rezolvare viitoare a incertitudinilor creşte, acele raţionamente devin din ce în ce mai subiective şi mai complexe, iar potenţialul unei ajustări semnificative la valoarea contabilă a activelor şi datoriilor ca urmare a acestora de obicei creşte proporţional.</w:t>
      </w:r>
      <w:bookmarkEnd w:id="393"/>
    </w:p>
    <w:p w:rsidR="004F2778" w:rsidRDefault="004F2778">
      <w:pPr>
        <w:pStyle w:val="IASBNormalnpara"/>
      </w:pPr>
      <w:r>
        <w:t>128</w:t>
      </w:r>
      <w:r>
        <w:tab/>
      </w:r>
      <w:bookmarkStart w:id="394" w:name="F3903792"/>
      <w:r>
        <w:t>Prezentările de informaţii de la punctul 125 nu sunt impuse pentru active şi datorii care prezintă un risc semnificativ ca valoarea lor contabilă să se schimbe considerabil pe parcursul următorului exerciţiu financiar dacă, la finalul perioadei de raportare, acestea sunt evaluate la valoarea justă pe baza unui preţ cotat pe o piaţă activă pentru un activ sau o datorie identic(ă). Aceste valori juste se pot schimba semnificativ în cursul următorului exerciţiu financiar, dar aceste modificări nu vor rezulta din ipoteze sau din alte surse de incertitudine a estimării la finalul perioadei de raportare.</w:t>
      </w:r>
      <w:bookmarkEnd w:id="394"/>
    </w:p>
    <w:p w:rsidR="004F2778" w:rsidRDefault="004F2778">
      <w:pPr>
        <w:pStyle w:val="IASBNormalnpara"/>
      </w:pPr>
      <w:r>
        <w:t>129</w:t>
      </w:r>
      <w:r>
        <w:tab/>
      </w:r>
      <w:bookmarkStart w:id="395" w:name="F3903793"/>
      <w:r>
        <w:t>O entitate prezintă informaţiile de la punctul 125 într-o manieră care ajută utilizatorii situaţiilor financiare să înţeleagă raţionamentele pe care le face conducerea cu privire la viitor şi alte surse ale incertitudinii estimării. Natura şi amploarea informaţiilor oferite variază în funcţie de natura ipotezei şi de alte situaţii. Exemple ale tipurilor de prezentări făcute de o entitate sunt:</w:t>
      </w:r>
      <w:bookmarkEnd w:id="395"/>
    </w:p>
    <w:p w:rsidR="004F2778" w:rsidRDefault="004F2778">
      <w:pPr>
        <w:pStyle w:val="IASBNormalnparaL1"/>
      </w:pPr>
      <w:r>
        <w:t>(a)</w:t>
      </w:r>
      <w:r>
        <w:tab/>
      </w:r>
      <w:bookmarkStart w:id="396" w:name="F3903796"/>
      <w:r>
        <w:t>natura ipotezei sau a altei incertitudini privind estimarea;</w:t>
      </w:r>
      <w:bookmarkEnd w:id="396"/>
    </w:p>
    <w:p w:rsidR="004F2778" w:rsidRDefault="004F2778">
      <w:pPr>
        <w:pStyle w:val="IASBNormalnparaL1"/>
      </w:pPr>
      <w:r>
        <w:t>(b)</w:t>
      </w:r>
      <w:r>
        <w:tab/>
      </w:r>
      <w:bookmarkStart w:id="397" w:name="F3903808"/>
      <w:r>
        <w:t>sensibilitatea valorilor contabile faţă de metodele, ipotezele şi estimările care stau la baza calculelor lor, inclusiv motivele acestei sensibilităţi;</w:t>
      </w:r>
      <w:bookmarkEnd w:id="397"/>
    </w:p>
    <w:p w:rsidR="004F2778" w:rsidRDefault="004F2778">
      <w:pPr>
        <w:pStyle w:val="IASBNormalnparaL1"/>
      </w:pPr>
      <w:r>
        <w:t>(c)</w:t>
      </w:r>
      <w:r>
        <w:tab/>
      </w:r>
      <w:bookmarkStart w:id="398" w:name="F3903810"/>
      <w:r>
        <w:t>soluționarea preconizată a unei incertitudini şi gama de rezultate posibile în mod rezonabil pe parcursul următorului exerciţiu financiar în ceea ce priveşte valorile contabile ale activelor şi ale datoriilor afectate; și</w:t>
      </w:r>
      <w:bookmarkEnd w:id="398"/>
    </w:p>
    <w:p w:rsidR="004F2778" w:rsidRDefault="004F2778">
      <w:pPr>
        <w:pStyle w:val="IASBNormalnparaL1"/>
      </w:pPr>
      <w:r>
        <w:t>(d)</w:t>
      </w:r>
      <w:r>
        <w:tab/>
      </w:r>
      <w:bookmarkStart w:id="399" w:name="F3903812"/>
      <w:r>
        <w:t>o explicaţie a modificărilor făcute asupra ipotezelor anterioare aferente acelor active şi datorii, dacă incertitudinea rămâne nesoluţionată.</w:t>
      </w:r>
      <w:bookmarkEnd w:id="399"/>
    </w:p>
    <w:p w:rsidR="004F2778" w:rsidRDefault="004F2778">
      <w:pPr>
        <w:pStyle w:val="IASBNormalnpara"/>
      </w:pPr>
      <w:r>
        <w:t>130</w:t>
      </w:r>
      <w:r>
        <w:tab/>
      </w:r>
      <w:bookmarkStart w:id="400" w:name="F3903813"/>
      <w:r>
        <w:t>Prezentul standard nu impune unei entităţi să prezinte informaţii privind bugetul sau prognozele atunci când face prezentările de la punctul 125.</w:t>
      </w:r>
      <w:bookmarkEnd w:id="400"/>
    </w:p>
    <w:p w:rsidR="004F2778" w:rsidRDefault="004F2778">
      <w:pPr>
        <w:pStyle w:val="IASBNormalnpara"/>
      </w:pPr>
      <w:r>
        <w:t>131</w:t>
      </w:r>
      <w:r>
        <w:tab/>
      </w:r>
      <w:bookmarkStart w:id="401" w:name="F3903814"/>
      <w:r>
        <w:t>Uneori este imposibil să se prezinte amploarea efectelor posibile ale unei ipoteze sau ale unei alte surse de incertitudine a estimărilor la finalul perioadei de raportare. În astfel de cazuri, entitatea prezintă faptul că este posibil în mod rezonabil, pe baza cunoştinţelor existente, ca rezultatele din următorul exerciţiu financiar care sunt diferite de ipoteze să necesite o ajustare semnificativă în valoarea contabilă a activului sau datoriei afectat(e). În toate cazurile, entitatea prezintă natura şi valoarea contabilă a activului sau a datoriei specific(e) (sau ale clasei de active sau datorii) afectat(e) de ipoteză.</w:t>
      </w:r>
      <w:bookmarkEnd w:id="401"/>
    </w:p>
    <w:p w:rsidR="004F2778" w:rsidRDefault="004F2778">
      <w:pPr>
        <w:pStyle w:val="IASBNormalnpara"/>
      </w:pPr>
      <w:r>
        <w:t>132</w:t>
      </w:r>
      <w:r>
        <w:tab/>
      </w:r>
      <w:bookmarkStart w:id="402" w:name="F3903815"/>
      <w:r>
        <w:t>Prezentările de informații de la punctul 122, cu privire la anumite raţionamente pe care conducerea le-a făcut în procesul de aplicare a politicilor contabile ale entităţii nu se referă la prezentările surselor de incertitudine a estimărilor de la punctul 125.</w:t>
      </w:r>
      <w:bookmarkEnd w:id="402"/>
    </w:p>
    <w:p w:rsidR="004F2778" w:rsidRDefault="004F2778">
      <w:pPr>
        <w:pStyle w:val="IASBNormalnpara"/>
      </w:pPr>
      <w:r>
        <w:t>133</w:t>
      </w:r>
      <w:r>
        <w:tab/>
      </w:r>
      <w:bookmarkStart w:id="403" w:name="F3903816"/>
      <w:r>
        <w:t xml:space="preserve">Alte IFRS-uri prevăd prezentarea informaţiilor privind unele dintre ipotezele care ar fi altminteri impuse în conformitate cu punctul 125. De exemplu, IAS 37 prevede prezentarea, în anumite situaţii, a ipotezelor majore privind evenimentele viitoare care afectează clasele de provizioane. IFRS 13 </w:t>
      </w:r>
      <w:r>
        <w:rPr>
          <w:i/>
        </w:rPr>
        <w:t>Evaluarea la valoarea justă</w:t>
      </w:r>
      <w:r>
        <w:t xml:space="preserve"> prevede prezentarea ipotezelor principale (inclusiv tehnica (tehnicile) de evaluare şi intrările de date) pe care le utilizează entitatea atunci când evaluează valoarea justă a activelor și datoriilor contabilizate la valoarea justă. </w:t>
      </w:r>
      <w:bookmarkEnd w:id="403"/>
    </w:p>
    <w:p w:rsidR="004F2778" w:rsidRDefault="004F2778">
      <w:pPr>
        <w:pStyle w:val="IASBSectionTitle3Ind"/>
      </w:pPr>
      <w:bookmarkStart w:id="404" w:name="F3903818"/>
      <w:r>
        <w:t>Capital</w:t>
      </w:r>
      <w:bookmarkEnd w:id="404"/>
    </w:p>
    <w:p w:rsidR="004F2778" w:rsidRDefault="004F2778">
      <w:pPr>
        <w:pStyle w:val="IASBNormalnpara"/>
        <w:rPr>
          <w:b/>
        </w:rPr>
      </w:pPr>
      <w:r>
        <w:rPr>
          <w:b/>
        </w:rPr>
        <w:t>134</w:t>
      </w:r>
      <w:r>
        <w:tab/>
      </w:r>
      <w:bookmarkStart w:id="405" w:name="F3903820"/>
      <w:r>
        <w:rPr>
          <w:b/>
        </w:rPr>
        <w:t>O entitate trebuie să prezinte informaţii care să le permită utilizatorilor situaţiilor sale financiare să evalueze obiectivele, politicile şi procesele entităţii de administrare a capitalului.</w:t>
      </w:r>
      <w:bookmarkEnd w:id="405"/>
    </w:p>
    <w:p w:rsidR="004F2778" w:rsidRDefault="004F2778">
      <w:pPr>
        <w:pStyle w:val="IASBNormalnpara"/>
      </w:pPr>
      <w:r>
        <w:t>135</w:t>
      </w:r>
      <w:r>
        <w:tab/>
      </w:r>
      <w:bookmarkStart w:id="406" w:name="F3904556"/>
      <w:r>
        <w:t>Pentru a se conforma punctului 134, entitatea prezintă următoarele:</w:t>
      </w:r>
      <w:bookmarkEnd w:id="406"/>
    </w:p>
    <w:p w:rsidR="004F2778" w:rsidRDefault="004F2778">
      <w:pPr>
        <w:pStyle w:val="IASBNormalnparaL1"/>
      </w:pPr>
      <w:r>
        <w:t>(a)</w:t>
      </w:r>
      <w:r>
        <w:tab/>
      </w:r>
      <w:bookmarkStart w:id="407" w:name="F3904559"/>
      <w:r>
        <w:t>informaţii calitative cu privire la obiectivele, politicile şi procesele sale de administrare a capitalului, inclusiv:</w:t>
      </w:r>
      <w:bookmarkEnd w:id="407"/>
    </w:p>
    <w:p w:rsidR="004F2778" w:rsidRDefault="004F2778">
      <w:pPr>
        <w:pStyle w:val="IASBNormalnparaL2"/>
      </w:pPr>
      <w:r>
        <w:t>(i)</w:t>
      </w:r>
      <w:r>
        <w:tab/>
      </w:r>
      <w:bookmarkStart w:id="408" w:name="F3904562"/>
      <w:r>
        <w:t>o descriere a ceea ce este administrat drept capital;</w:t>
      </w:r>
      <w:bookmarkEnd w:id="408"/>
    </w:p>
    <w:p w:rsidR="004F2778" w:rsidRDefault="004F2778">
      <w:pPr>
        <w:pStyle w:val="IASBNormalnparaL2"/>
      </w:pPr>
      <w:r>
        <w:t>(ii)</w:t>
      </w:r>
      <w:r>
        <w:tab/>
      </w:r>
      <w:bookmarkStart w:id="409" w:name="F3904564"/>
      <w:r>
        <w:t>atunci când entitatea face obiectul unor dispoziţii impuse din exterior privind capitalul, natura acelor dispoziţii şi modul în care acele dispoziţii sunt încorporate în administrarea capitalului; și</w:t>
      </w:r>
      <w:bookmarkEnd w:id="409"/>
    </w:p>
    <w:p w:rsidR="004F2778" w:rsidRDefault="004F2778">
      <w:pPr>
        <w:pStyle w:val="IASBNormalnparaL2"/>
      </w:pPr>
      <w:r>
        <w:t>(iii)</w:t>
      </w:r>
      <w:r>
        <w:tab/>
      </w:r>
      <w:bookmarkStart w:id="410" w:name="F3904566"/>
      <w:r>
        <w:t>modul în care sunt îndeplinite obiectivele sale de administrare a capitalului.</w:t>
      </w:r>
      <w:bookmarkEnd w:id="410"/>
    </w:p>
    <w:p w:rsidR="004F2778" w:rsidRDefault="004F2778">
      <w:pPr>
        <w:pStyle w:val="IASBNormalnparaL1"/>
      </w:pPr>
      <w:r>
        <w:t>(b)</w:t>
      </w:r>
      <w:r>
        <w:tab/>
      </w:r>
      <w:bookmarkStart w:id="411" w:name="F3904568"/>
      <w:r>
        <w:t xml:space="preserve">un rezumat al datelor cantitative cu privire la ceea ce administrează drept capital. Anumite entităţi consideră unele datorii financiare (de exemplu, anumite forme de datorii subordonate) ca parte a capitalului. Alte entităţi iau în considerare capitalul excluzând anumite componente de capitaluri </w:t>
      </w:r>
      <w:r>
        <w:lastRenderedPageBreak/>
        <w:t>proprii (de exemplu, componentele care rezultă din acoperirile împotriva riscului asociat fluxurilor de trezorerie).</w:t>
      </w:r>
      <w:bookmarkEnd w:id="411"/>
    </w:p>
    <w:p w:rsidR="004F2778" w:rsidRDefault="004F2778">
      <w:pPr>
        <w:pStyle w:val="IASBNormalnparaL1"/>
      </w:pPr>
      <w:r>
        <w:t>(c)</w:t>
      </w:r>
      <w:r>
        <w:tab/>
      </w:r>
      <w:bookmarkStart w:id="412" w:name="F3904570"/>
      <w:r>
        <w:t>orice modificări ale literelor (a) şi (b) din perioada anterioară.</w:t>
      </w:r>
      <w:bookmarkEnd w:id="412"/>
    </w:p>
    <w:p w:rsidR="004F2778" w:rsidRDefault="004F2778">
      <w:pPr>
        <w:pStyle w:val="IASBNormalnparaL1"/>
      </w:pPr>
      <w:r>
        <w:t>(d)</w:t>
      </w:r>
      <w:r>
        <w:tab/>
      </w:r>
      <w:bookmarkStart w:id="413" w:name="F3904572"/>
      <w:r>
        <w:t>dacă în cursul perioadei au fost respectate dispoziţiile externe privind capitalul pe care trebuie să le respecte.</w:t>
      </w:r>
      <w:bookmarkEnd w:id="413"/>
    </w:p>
    <w:p w:rsidR="004F2778" w:rsidRDefault="004F2778">
      <w:pPr>
        <w:pStyle w:val="IASBNormalnparaL1"/>
      </w:pPr>
      <w:r>
        <w:t>(e)</w:t>
      </w:r>
      <w:r>
        <w:tab/>
      </w:r>
      <w:bookmarkStart w:id="414" w:name="F3904574"/>
      <w:r>
        <w:t>dacă entitatea nu a respectat dispoziţiile externe privind capitalul, consecinţele nerespectării acestora.</w:t>
      </w:r>
      <w:bookmarkEnd w:id="414"/>
    </w:p>
    <w:p w:rsidR="004F2778" w:rsidRDefault="004F2778">
      <w:pPr>
        <w:pStyle w:val="IASBNormalnparaP"/>
      </w:pPr>
      <w:bookmarkStart w:id="415" w:name="F3905394"/>
      <w:r>
        <w:t>Entitatea îşi bazează aceste prezentări pe informaţiile furnizate la nivel intern personalului-cheie din conducere.</w:t>
      </w:r>
      <w:bookmarkEnd w:id="415"/>
    </w:p>
    <w:p w:rsidR="004F2778" w:rsidRDefault="004F2778">
      <w:pPr>
        <w:pStyle w:val="IASBNormalnpara"/>
      </w:pPr>
      <w:r>
        <w:t>136</w:t>
      </w:r>
      <w:r>
        <w:tab/>
      </w:r>
      <w:bookmarkStart w:id="416" w:name="F3905395"/>
      <w:r>
        <w:t>O entitate poate administra capitalul în mai multe moduri şi poate face obiectul mai multor dispoziţii diferite privind capitalul. De exemplu, un conglomerat poate include entităţi care întreprind activităţi de asigurare şi activităţi bancare, şi acele entităţi pot opera în mai multe jurisdicţii. Atunci când o prezentare agregată a dispoziţiilor privind capitalul şi a modului în care acesta este administrat nu oferă informaţii utile sau afectează înţelegerea de către utilizatorii situaţiilor financiare a resurselor de capital ale entităţii, entitatea trebuie să prezinte informaţii financiare distincte pentru fiecare dispoziţie privind capitalul care îi este impusă entităţii.</w:t>
      </w:r>
      <w:bookmarkEnd w:id="416"/>
    </w:p>
    <w:p w:rsidR="004F2778" w:rsidRDefault="004F2778">
      <w:pPr>
        <w:pStyle w:val="IASBSectionTitle3Ind"/>
      </w:pPr>
      <w:bookmarkStart w:id="417" w:name="F5589025"/>
      <w:r>
        <w:t>Instrumente financiare care pot fi lichidate de deţinător înainte de scadenţă clasificate drept capitaluri proprii</w:t>
      </w:r>
      <w:bookmarkEnd w:id="417"/>
    </w:p>
    <w:p w:rsidR="004F2778" w:rsidRDefault="004F2778">
      <w:pPr>
        <w:pStyle w:val="IASBNormalnpara"/>
        <w:rPr>
          <w:b/>
        </w:rPr>
      </w:pPr>
      <w:r>
        <w:rPr>
          <w:b/>
        </w:rPr>
        <w:t>136A</w:t>
      </w:r>
      <w:r>
        <w:tab/>
      </w:r>
      <w:bookmarkStart w:id="418" w:name="F5589027"/>
      <w:r>
        <w:rPr>
          <w:b/>
        </w:rPr>
        <w:t>Pentru instrumentele financiare care pot fi lichidate de deţinător înainte de scadenţă clasificate drept instrumente de capitaluri proprii, o entitate trebuie să prezinte (în măsura în care nu se prezintă în altă parte):</w:t>
      </w:r>
      <w:bookmarkEnd w:id="418"/>
    </w:p>
    <w:p w:rsidR="004F2778" w:rsidRDefault="004F2778">
      <w:pPr>
        <w:pStyle w:val="IASBNormalnparaL1"/>
      </w:pPr>
      <w:r>
        <w:rPr>
          <w:b/>
        </w:rPr>
        <w:t>(a)</w:t>
      </w:r>
      <w:r>
        <w:tab/>
      </w:r>
      <w:bookmarkStart w:id="419" w:name="F5589030"/>
      <w:r>
        <w:rPr>
          <w:b/>
        </w:rPr>
        <w:t>un rezumat al datelor cantitative cu privire la valoarea clasificată drept capitaluri proprii;</w:t>
      </w:r>
      <w:bookmarkEnd w:id="419"/>
    </w:p>
    <w:p w:rsidR="004F2778" w:rsidRDefault="004F2778">
      <w:pPr>
        <w:pStyle w:val="IASBNormalnparaL1"/>
      </w:pPr>
      <w:r>
        <w:rPr>
          <w:b/>
        </w:rPr>
        <w:t>(b)</w:t>
      </w:r>
      <w:r>
        <w:tab/>
      </w:r>
      <w:bookmarkStart w:id="420" w:name="F5589043"/>
      <w:r>
        <w:rPr>
          <w:b/>
        </w:rPr>
        <w:t>obiectivele, politicile şi procesele sale pentru administrarea obligaţiei de recumpărare sau răscumpărare a instrumentelor atunci când acest lucru este impus de către deţinătorul instrumentului, inclusiv orice modificări din perioada anterioară;</w:t>
      </w:r>
      <w:bookmarkEnd w:id="420"/>
    </w:p>
    <w:p w:rsidR="004F2778" w:rsidRDefault="004F2778">
      <w:pPr>
        <w:pStyle w:val="IASBNormalnparaL1"/>
      </w:pPr>
      <w:r>
        <w:rPr>
          <w:b/>
        </w:rPr>
        <w:t>(c)</w:t>
      </w:r>
      <w:r>
        <w:tab/>
      </w:r>
      <w:bookmarkStart w:id="421" w:name="F5589045"/>
      <w:r>
        <w:rPr>
          <w:b/>
        </w:rPr>
        <w:t>ieşirea de numerar preconizată pentru recumpărarea sau răscumpărarea clasei respective de instrumente financiare; și</w:t>
      </w:r>
      <w:bookmarkEnd w:id="421"/>
    </w:p>
    <w:p w:rsidR="004F2778" w:rsidRDefault="004F2778">
      <w:pPr>
        <w:pStyle w:val="IASBNormalnparaL1"/>
      </w:pPr>
      <w:r>
        <w:rPr>
          <w:b/>
        </w:rPr>
        <w:t>(d)</w:t>
      </w:r>
      <w:r>
        <w:tab/>
      </w:r>
      <w:bookmarkStart w:id="422" w:name="F5589047"/>
      <w:r>
        <w:rPr>
          <w:b/>
        </w:rPr>
        <w:t>informaţii despre modul în care a fost determinată ieşirea de numerar preconizată pentru recumpărare sau răscumpărare.</w:t>
      </w:r>
      <w:bookmarkEnd w:id="422"/>
    </w:p>
    <w:p w:rsidR="004F2778" w:rsidRDefault="004F2778">
      <w:pPr>
        <w:pStyle w:val="IASBSectionTitle3Ind"/>
      </w:pPr>
      <w:bookmarkStart w:id="423" w:name="F3905396"/>
      <w:r>
        <w:t>Alte prezentări de informaţii</w:t>
      </w:r>
      <w:bookmarkEnd w:id="423"/>
    </w:p>
    <w:p w:rsidR="004F2778" w:rsidRDefault="004F2778">
      <w:pPr>
        <w:pStyle w:val="IASBNormalnpara"/>
        <w:rPr>
          <w:b/>
        </w:rPr>
      </w:pPr>
      <w:r>
        <w:rPr>
          <w:b/>
        </w:rPr>
        <w:t>137</w:t>
      </w:r>
      <w:r>
        <w:tab/>
      </w:r>
      <w:bookmarkStart w:id="424" w:name="F3956921"/>
      <w:r>
        <w:rPr>
          <w:b/>
        </w:rPr>
        <w:t>O entitate trebuie să prezinte în note:</w:t>
      </w:r>
      <w:bookmarkEnd w:id="424"/>
    </w:p>
    <w:p w:rsidR="004F2778" w:rsidRDefault="004F2778">
      <w:pPr>
        <w:pStyle w:val="IASBNormalnparaL1"/>
      </w:pPr>
      <w:r>
        <w:rPr>
          <w:b/>
        </w:rPr>
        <w:t>(a)</w:t>
      </w:r>
      <w:r>
        <w:tab/>
      </w:r>
      <w:bookmarkStart w:id="425" w:name="F3956924"/>
      <w:r>
        <w:rPr>
          <w:b/>
        </w:rPr>
        <w:t>valoarea dividendelor propuse sau declarate înainte de autorizarea situaţiilor financiare pentru emitere, dar nerecunoscute ca distribuire către proprietari în timpul perioadei, şi valoarea pe acţiune aferentă acestora; și</w:t>
      </w:r>
      <w:bookmarkEnd w:id="425"/>
    </w:p>
    <w:p w:rsidR="004F2778" w:rsidRDefault="004F2778">
      <w:pPr>
        <w:pStyle w:val="IASBNormalnparaL1"/>
      </w:pPr>
      <w:r>
        <w:rPr>
          <w:b/>
        </w:rPr>
        <w:t>(b)</w:t>
      </w:r>
      <w:r>
        <w:tab/>
      </w:r>
      <w:bookmarkStart w:id="426" w:name="F3956926"/>
      <w:r>
        <w:rPr>
          <w:b/>
        </w:rPr>
        <w:t>valoarea oricăror dividende preferenţiale cumulative care nu au fost recunoscute.</w:t>
      </w:r>
      <w:bookmarkEnd w:id="426"/>
    </w:p>
    <w:p w:rsidR="004F2778" w:rsidRDefault="004F2778">
      <w:pPr>
        <w:pStyle w:val="IASBNormalnpara"/>
        <w:rPr>
          <w:b/>
        </w:rPr>
      </w:pPr>
      <w:r>
        <w:rPr>
          <w:b/>
        </w:rPr>
        <w:t>138</w:t>
      </w:r>
      <w:r>
        <w:tab/>
      </w:r>
      <w:bookmarkStart w:id="427" w:name="F3956927"/>
      <w:r>
        <w:rPr>
          <w:b/>
        </w:rPr>
        <w:t>O entitate trebuie să prezinte următoarele, dacă nu sunt prezentate în altă parte în informaţiile publicate împreună cu situaţiile financiare:</w:t>
      </w:r>
      <w:bookmarkEnd w:id="427"/>
    </w:p>
    <w:p w:rsidR="004F2778" w:rsidRDefault="004F2778">
      <w:pPr>
        <w:pStyle w:val="IASBNormalnparaL1"/>
      </w:pPr>
      <w:r>
        <w:rPr>
          <w:b/>
        </w:rPr>
        <w:t>(a)</w:t>
      </w:r>
      <w:r>
        <w:tab/>
      </w:r>
      <w:bookmarkStart w:id="428" w:name="F3956933"/>
      <w:r>
        <w:rPr>
          <w:b/>
        </w:rPr>
        <w:t>adresa şi forma juridică ale entităţii, ţara de înregistrare şi adresa sediului social (sau locul principal de activitate, dacă este diferit de sediul oficial);</w:t>
      </w:r>
      <w:bookmarkEnd w:id="428"/>
    </w:p>
    <w:p w:rsidR="004F2778" w:rsidRDefault="004F2778">
      <w:pPr>
        <w:pStyle w:val="IASBNormalnparaL1"/>
      </w:pPr>
      <w:r>
        <w:rPr>
          <w:b/>
        </w:rPr>
        <w:t>(b)</w:t>
      </w:r>
      <w:r>
        <w:tab/>
      </w:r>
      <w:bookmarkStart w:id="429" w:name="F3956935"/>
      <w:r>
        <w:rPr>
          <w:b/>
        </w:rPr>
        <w:t>o descriere a naturii activităţii şi a principalelor obiecte de activitate ale entităţii;</w:t>
      </w:r>
      <w:bookmarkEnd w:id="429"/>
    </w:p>
    <w:p w:rsidR="004F2778" w:rsidRDefault="004F2778">
      <w:pPr>
        <w:pStyle w:val="IASBNormalnparaL1"/>
      </w:pPr>
      <w:r>
        <w:rPr>
          <w:b/>
        </w:rPr>
        <w:t>(c)</w:t>
      </w:r>
      <w:r>
        <w:tab/>
      </w:r>
      <w:bookmarkStart w:id="430" w:name="F3956937"/>
      <w:r>
        <w:rPr>
          <w:b/>
        </w:rPr>
        <w:t>numele societăţii-mamă, precum şi al societăţii-mamă finale a grupului; și</w:t>
      </w:r>
      <w:bookmarkEnd w:id="430"/>
    </w:p>
    <w:p w:rsidR="004F2778" w:rsidRDefault="004F2778">
      <w:pPr>
        <w:pStyle w:val="IASBNormalnparaL1"/>
      </w:pPr>
      <w:r>
        <w:rPr>
          <w:b/>
        </w:rPr>
        <w:t>(d)</w:t>
      </w:r>
      <w:r>
        <w:tab/>
      </w:r>
      <w:bookmarkStart w:id="431" w:name="F5589049"/>
      <w:r>
        <w:rPr>
          <w:b/>
        </w:rPr>
        <w:t>dacă este o entitate cu durată de viaţă utilă limitată, informaţii despre durata sa de viaţă.</w:t>
      </w:r>
      <w:bookmarkEnd w:id="431"/>
    </w:p>
    <w:p w:rsidR="004F2778" w:rsidRDefault="004F2778">
      <w:pPr>
        <w:pStyle w:val="IASBSectionTitle1NonInd"/>
      </w:pPr>
      <w:bookmarkStart w:id="432" w:name="F3956939"/>
      <w:r>
        <w:t>Tranziţia şi data intrării în vigoare</w:t>
      </w:r>
      <w:bookmarkEnd w:id="432"/>
    </w:p>
    <w:p w:rsidR="004F2778" w:rsidRDefault="004F2778">
      <w:pPr>
        <w:pStyle w:val="IASBNormalnpara"/>
      </w:pPr>
      <w:r>
        <w:t>139</w:t>
      </w:r>
      <w:r>
        <w:tab/>
      </w:r>
      <w:bookmarkStart w:id="433" w:name="F3956940"/>
      <w:r>
        <w:t>O entitate trebuie să aplice prezentul standard pentru perioadele anuale care încep la 1 ianuarie 2009 sau ulterior acestei date. Se permite aplicarea anterior acestei date. Dacă o entitate adoptă prezentul standard pentru o perioadă anterioară, ea trebuie să prezinte acest fapt.</w:t>
      </w:r>
      <w:bookmarkEnd w:id="433"/>
    </w:p>
    <w:p w:rsidR="004F2778" w:rsidRDefault="004F2778">
      <w:pPr>
        <w:pStyle w:val="IASBNormalnpara"/>
      </w:pPr>
      <w:r>
        <w:t>139A</w:t>
      </w:r>
      <w:r>
        <w:tab/>
      </w:r>
      <w:bookmarkStart w:id="434" w:name="F4972615"/>
      <w:r>
        <w:t xml:space="preserve">IAS 27 (modificat în 2008) a modificat punctul 106. O entitate trebuie să aplice acel amendament pentru perioadele anuale care încep la 1 iulie 2009 sau ulterior acestei date. Dacă o entitate aplică IAS 27 </w:t>
      </w:r>
      <w:r>
        <w:lastRenderedPageBreak/>
        <w:t>(modificat în 2008) pentru o perioadă anterioară, amendamentul trebuie aplicat pentru acea perioadă anterioară. Amendamentul va fi aplicat retroactiv.</w:t>
      </w:r>
      <w:bookmarkEnd w:id="434"/>
    </w:p>
    <w:p w:rsidR="004F2778" w:rsidRDefault="004F2778">
      <w:pPr>
        <w:pStyle w:val="IASBNormalnpara"/>
      </w:pPr>
      <w:r>
        <w:t>139B</w:t>
      </w:r>
      <w:r>
        <w:tab/>
      </w:r>
      <w:bookmarkStart w:id="435" w:name="F5589050"/>
      <w:r>
        <w:t xml:space="preserve">Documentul </w:t>
      </w:r>
      <w:r>
        <w:rPr>
          <w:i/>
        </w:rPr>
        <w:t>Instrumente financiare care pot fi lichidate de deţinător înainte de scadenţă şi obligaţii care rezultă din lichidare</w:t>
      </w:r>
      <w:r>
        <w:t xml:space="preserve"> (Amendamente la IAS 32 şi IAS 1), emis în februarie 2008, a modificat punctul 138 şi a introdus punctele 8A, 80A şi 136A. O entitate trebuie să aplice aceste amendamente pentru perioadele anuale care încep la 1 ianuarie 2009 sau ulterior acestei date. Se permite aplicarea anterior acestei date. Dacă o entitate aplică aceste amendamente pentru o perioadă anterioară acestei date, entitatea trebuie să prezinte acest fapt şi trebuie să aplice în acelaşi timp amendamentele aferente din IAS 32, IAS 39, IFRS 7 şi IFRIC 2 </w:t>
      </w:r>
      <w:r>
        <w:rPr>
          <w:i/>
        </w:rPr>
        <w:t>Acţiunile membrilor în entităţi de tip cooperatist şi instrumente similare</w:t>
      </w:r>
      <w:r>
        <w:t>.</w:t>
      </w:r>
      <w:bookmarkEnd w:id="435"/>
    </w:p>
    <w:p w:rsidR="004F2778" w:rsidRDefault="004F2778">
      <w:pPr>
        <w:pStyle w:val="IASBNormalnpara"/>
      </w:pPr>
      <w:r>
        <w:t>139C</w:t>
      </w:r>
      <w:r>
        <w:tab/>
      </w:r>
      <w:bookmarkStart w:id="436" w:name="F6125984"/>
      <w:r>
        <w:t xml:space="preserve">Punctele 68 şi 71 au fost modificate de documentul </w:t>
      </w:r>
      <w:r>
        <w:rPr>
          <w:i/>
        </w:rPr>
        <w:t xml:space="preserve">Îmbunătăţiri la IFRS-uri </w:t>
      </w:r>
      <w:r>
        <w:t>emis în mai 2008. O entitate trebuie să aplice aceste amendamente pentru perioadele anuale care încep la 1 ianuarie 2009 sau ulterior acestei date. Se permite aplicarea anterior acestei date. Dacă o entitate aplică amendamentele pentru o perioadă anterioară, entitatea trebuie să prezinte acest fapt.</w:t>
      </w:r>
      <w:bookmarkEnd w:id="436"/>
    </w:p>
    <w:p w:rsidR="004F2778" w:rsidRDefault="004F2778">
      <w:pPr>
        <w:pStyle w:val="IASBNormalnpara"/>
      </w:pPr>
      <w:r>
        <w:t>139D</w:t>
      </w:r>
      <w:r>
        <w:tab/>
      </w:r>
      <w:bookmarkStart w:id="437" w:name="F8727261"/>
      <w:r>
        <w:t xml:space="preserve">Punctul 69 a fost modificat de documentul </w:t>
      </w:r>
      <w:r>
        <w:rPr>
          <w:i/>
        </w:rPr>
        <w:t xml:space="preserve">Îmbunătăţiri la IFRS-uri </w:t>
      </w:r>
      <w:r>
        <w:t>emis în aprilie 2009. O entitate trebuie să aplice acel amendament pentru perioadele anuale care încep la 1 ianuarie 2010 sau ulterior acestei date. Se permite aplicarea anterior acestei date. Dacă o entitate aplică amendamentul pentru o perioadă anterioară, entitatea trebuie să prezinte acest fapt.</w:t>
      </w:r>
      <w:bookmarkEnd w:id="437"/>
    </w:p>
    <w:p w:rsidR="004F2778" w:rsidRDefault="004F2778">
      <w:pPr>
        <w:pStyle w:val="IASBNormalnpara"/>
      </w:pPr>
      <w:r>
        <w:t>139E</w:t>
      </w:r>
      <w:r>
        <w:tab/>
      </w:r>
      <w:bookmarkStart w:id="438" w:name="F19039754"/>
      <w:r>
        <w:t>[Eliminate]</w:t>
      </w:r>
      <w:bookmarkEnd w:id="438"/>
    </w:p>
    <w:p w:rsidR="004F2778" w:rsidRDefault="004F2778">
      <w:pPr>
        <w:pStyle w:val="IASBNormalnpara"/>
      </w:pPr>
      <w:r>
        <w:t>139F</w:t>
      </w:r>
      <w:r>
        <w:tab/>
      </w:r>
      <w:bookmarkStart w:id="439" w:name="F14173124"/>
      <w:r>
        <w:t xml:space="preserve">Punctele 106 şi 107 au fost modificate, iar punctul 106A a fost adăugat de documentul </w:t>
      </w:r>
      <w:r>
        <w:rPr>
          <w:i/>
        </w:rPr>
        <w:t>Îmbunătăţiri la IFRS-uri</w:t>
      </w:r>
      <w:r>
        <w:t xml:space="preserve"> emis în mai 2010. O entitate trebuie să aplice aceste amendamente pentru perioadele anuale care încep la 1 ianuarie 2011 sau ulterior acestei date. Se permite aplicarea anterior acestei date.</w:t>
      </w:r>
      <w:bookmarkEnd w:id="439"/>
    </w:p>
    <w:p w:rsidR="004F2778" w:rsidRDefault="004F2778">
      <w:pPr>
        <w:pStyle w:val="IASBNormalnpara"/>
      </w:pPr>
      <w:r>
        <w:t>139G</w:t>
      </w:r>
      <w:r>
        <w:tab/>
      </w:r>
      <w:bookmarkStart w:id="440" w:name="F18763115"/>
      <w:r>
        <w:t>[Eliminate]</w:t>
      </w:r>
      <w:bookmarkEnd w:id="440"/>
    </w:p>
    <w:p w:rsidR="004F2778" w:rsidRDefault="004F2778">
      <w:pPr>
        <w:pStyle w:val="IASBNormalnpara"/>
      </w:pPr>
      <w:r>
        <w:t>139H</w:t>
      </w:r>
      <w:r>
        <w:tab/>
      </w:r>
      <w:bookmarkStart w:id="441" w:name="F16141153"/>
      <w:r>
        <w:t>IFRS 10 și IFRS 12, emise în mai 2011, au modificat punctele 4, 119, 123 și 124. O entitate trebuie să aplice amendamentele respective atunci când aplică IFRS 10 și IFRS 12.</w:t>
      </w:r>
      <w:bookmarkEnd w:id="441"/>
    </w:p>
    <w:p w:rsidR="004F2778" w:rsidRDefault="004F2778">
      <w:pPr>
        <w:pStyle w:val="IASBNormalnpara"/>
      </w:pPr>
      <w:r>
        <w:t>139I</w:t>
      </w:r>
      <w:r>
        <w:tab/>
      </w:r>
      <w:bookmarkStart w:id="442" w:name="F16141392"/>
      <w:r>
        <w:t>IFRS 13, emis în mai 2011, a modificat punctele 128 şi 133. O entitate trebuie să aplice aceste amendamente atunci când aplică IFRS 13.</w:t>
      </w:r>
      <w:bookmarkEnd w:id="442"/>
    </w:p>
    <w:p w:rsidR="004F2778" w:rsidRDefault="004F2778">
      <w:pPr>
        <w:pStyle w:val="IASBNormalnpara"/>
      </w:pPr>
      <w:r>
        <w:t>139J</w:t>
      </w:r>
      <w:r>
        <w:tab/>
      </w:r>
      <w:bookmarkStart w:id="443" w:name="F16156071"/>
      <w:r>
        <w:t xml:space="preserve">Documentul </w:t>
      </w:r>
      <w:r>
        <w:rPr>
          <w:i/>
        </w:rPr>
        <w:t>Prezentarea altor elemente ale rezultatului global</w:t>
      </w:r>
      <w:r>
        <w:t xml:space="preserve"> (Amendamente la IAS 1), emis în iunie 2011, a modificat punctele 7, 10, 82, 85-87, 90, 91, 94, 100 şi 115, a adăugat punctele 10A, 81A, 81B şi 82A şi a eliminat punctele 12, 81, 83 şi 84. O entitate trebuie să aplice aceste amendamente pentru perioadele anuale care încep la 1 iulie 2012 sau ulterior acestei date. Se permite aplicarea anterior acestei date. Dacă o entitate aplică amendamentele pentru o perioadă anterioară, entitatea trebuie să prezinte acest fapt.</w:t>
      </w:r>
      <w:bookmarkEnd w:id="443"/>
    </w:p>
    <w:p w:rsidR="004F2778" w:rsidRDefault="004F2778">
      <w:pPr>
        <w:pStyle w:val="IASBNormalnpara"/>
      </w:pPr>
      <w:r>
        <w:t>139K</w:t>
      </w:r>
      <w:r>
        <w:tab/>
      </w:r>
      <w:bookmarkStart w:id="444" w:name="F16155670"/>
      <w:r>
        <w:t xml:space="preserve">IAS 19 </w:t>
      </w:r>
      <w:r>
        <w:rPr>
          <w:i/>
        </w:rPr>
        <w:t>Beneficiile angajaţilor</w:t>
      </w:r>
      <w:r>
        <w:t xml:space="preserve"> (modificat în iunie 2011) a modificat definiţia „altor elemente ale rezultatului global” de la punctul 7 şi de la punctul 96. O entitate trebuie să aplice aceste amendamente atunci când aplică IAS 19 (modificat în iunie 2011).</w:t>
      </w:r>
      <w:bookmarkEnd w:id="444"/>
    </w:p>
    <w:p w:rsidR="004F2778" w:rsidRDefault="004F2778">
      <w:pPr>
        <w:pStyle w:val="IASBNormalnpara"/>
      </w:pPr>
      <w:r>
        <w:t>139L</w:t>
      </w:r>
      <w:r>
        <w:tab/>
      </w:r>
      <w:bookmarkStart w:id="445" w:name="F18632253"/>
      <w:r>
        <w:t xml:space="preserve">Documentul </w:t>
      </w:r>
      <w:r>
        <w:rPr>
          <w:i/>
        </w:rPr>
        <w:t>Îmbunătățiri anuale, ciclul 2009-2011</w:t>
      </w:r>
      <w:r>
        <w:t xml:space="preserve">, emis în mai 2012, a modificat punctele 10, 38 și 41, a eliminat punctele 39-40 și a adăugat punctele 38A-38D și 40A-40D. O entitate trebuie să aplice retroactiv respectivul amendament, în conformitate cu IAS 8 </w:t>
      </w:r>
      <w:r>
        <w:rPr>
          <w:i/>
        </w:rPr>
        <w:t>Politici contabile, modificări ale estimărilor contabile şi erori</w:t>
      </w:r>
      <w:r>
        <w:t xml:space="preserve"> pentru perioadele anuale care încep la 1 ianuarie 2013 sau ulterior acestei date. Se permite aplicarea anterior acestei date. Dacă o entitate aplică respectivul amendament pentru o perioadă anterioară, entitatea trebuie să prezinte acest fapt.</w:t>
      </w:r>
      <w:bookmarkEnd w:id="445"/>
    </w:p>
    <w:p w:rsidR="004F2778" w:rsidRDefault="004F2778">
      <w:pPr>
        <w:pStyle w:val="IASBNormalnpara"/>
      </w:pPr>
      <w:r>
        <w:t>139M</w:t>
      </w:r>
      <w:r>
        <w:tab/>
      </w:r>
      <w:bookmarkStart w:id="446" w:name="F29467292"/>
      <w:r>
        <w:t>[Eliminate]</w:t>
      </w:r>
      <w:bookmarkEnd w:id="446"/>
    </w:p>
    <w:p w:rsidR="004F2778" w:rsidRDefault="004F2778">
      <w:pPr>
        <w:pStyle w:val="IASBNormalnpara"/>
      </w:pPr>
      <w:r>
        <w:t>139N</w:t>
      </w:r>
      <w:r>
        <w:tab/>
      </w:r>
      <w:bookmarkStart w:id="447" w:name="F32652438"/>
      <w:r>
        <w:t xml:space="preserve">IFRS 15 </w:t>
      </w:r>
      <w:r>
        <w:rPr>
          <w:i/>
        </w:rPr>
        <w:t>Venituri din contractele cu clienții</w:t>
      </w:r>
      <w:r>
        <w:t>, emis în mai 2014, a modificat punctul 34. O entitate trebuie să aplice amendamentul respectiv atunci când aplică IFRS 15.</w:t>
      </w:r>
      <w:bookmarkEnd w:id="447"/>
    </w:p>
    <w:p w:rsidR="004F2778" w:rsidRDefault="004F2778">
      <w:pPr>
        <w:pStyle w:val="IASBNormalnpara"/>
      </w:pPr>
      <w:r>
        <w:t>139O</w:t>
      </w:r>
      <w:r>
        <w:tab/>
      </w:r>
      <w:bookmarkStart w:id="448" w:name="F36676619"/>
      <w:r>
        <w:t>IFRS 9, emis în iulie 2014, a modificat punctele 7, 68, 71, 82, 93, 95, 96, 106 şi 123 şi a eliminat punctele 139E, 139G şi 139M. O entitate trebuie să aplice aceste amendamente atunci când aplică IFRS 9.</w:t>
      </w:r>
      <w:bookmarkEnd w:id="448"/>
    </w:p>
    <w:p w:rsidR="004F2778" w:rsidRDefault="004F2778">
      <w:pPr>
        <w:pStyle w:val="IASBNormalnpara"/>
      </w:pPr>
      <w:r>
        <w:t>139P</w:t>
      </w:r>
      <w:r>
        <w:tab/>
      </w:r>
      <w:bookmarkStart w:id="449" w:name="F38870965"/>
      <w:r>
        <w:t xml:space="preserve">Documentul </w:t>
      </w:r>
      <w:r>
        <w:rPr>
          <w:i/>
        </w:rPr>
        <w:t>Inițiativa de prezentare a informațiilor</w:t>
      </w:r>
      <w:r>
        <w:t xml:space="preserve"> (Amendamente la IAS 1), emis în decembrie 2014, a modificat punctele 10, 31, 54-55, 82A, 85, 113-114, 117, 119 și 122, a adăugat punctele 30A, 55A și 85A-85B şi a eliminat punctele 115 şi 120. O entitate trebuie să aplice aceste amendamente pentru perioadele anuale care încep la 1 ianuarie 2016 sau ulterior acestei date. Se permite aplicarea anterior acestei date. Entităților nu li se impune să prezinte informațiile prevăzute la punctele 28-30 din IAS 8 referitoare la aceste amendamente.</w:t>
      </w:r>
      <w:bookmarkEnd w:id="449"/>
    </w:p>
    <w:p w:rsidR="004F2778" w:rsidRDefault="004F2778">
      <w:pPr>
        <w:pStyle w:val="IASBNormalnpara"/>
      </w:pPr>
      <w:r>
        <w:t>139Q</w:t>
      </w:r>
      <w:r>
        <w:tab/>
      </w:r>
      <w:bookmarkStart w:id="450" w:name="F46464895"/>
      <w:r>
        <w:t xml:space="preserve">IFRS 16 </w:t>
      </w:r>
      <w:r>
        <w:rPr>
          <w:i/>
        </w:rPr>
        <w:t>Contracte de leasing</w:t>
      </w:r>
      <w:r>
        <w:t>, emis în ianuarie 2016, a modificat punctul 123. O entitate trebuie să aplice amendamentul respectiv atunci când aplică IFRS 16.</w:t>
      </w:r>
      <w:bookmarkEnd w:id="450"/>
    </w:p>
    <w:p w:rsidR="004F2778" w:rsidRDefault="004F2778">
      <w:pPr>
        <w:pStyle w:val="IASBSectionTitle1NonInd"/>
      </w:pPr>
      <w:bookmarkStart w:id="451" w:name="F3956942"/>
      <w:r>
        <w:lastRenderedPageBreak/>
        <w:t>Retragerea IAS 1 (revizuit în 2003)</w:t>
      </w:r>
      <w:bookmarkEnd w:id="451"/>
    </w:p>
    <w:p w:rsidR="004F2778" w:rsidRDefault="004F2778" w:rsidP="00F92F37">
      <w:pPr>
        <w:pStyle w:val="IASBNormalnpara"/>
        <w:sectPr w:rsidR="004F2778">
          <w:footerReference w:type="even" r:id="rId10"/>
          <w:footerReference w:type="default" r:id="rId11"/>
          <w:pgSz w:w="11907" w:h="16839"/>
          <w:pgMar w:top="1440" w:right="1440" w:bottom="1440" w:left="1440" w:header="709" w:footer="709" w:gutter="0"/>
          <w:cols w:space="708"/>
          <w:docGrid w:linePitch="360"/>
        </w:sectPr>
      </w:pPr>
      <w:r>
        <w:t>140</w:t>
      </w:r>
      <w:r>
        <w:tab/>
      </w:r>
      <w:bookmarkStart w:id="452" w:name="F3956943"/>
      <w:r>
        <w:t xml:space="preserve">Prezentul standard înlocuieşte IAS 1 </w:t>
      </w:r>
      <w:r>
        <w:rPr>
          <w:i/>
        </w:rPr>
        <w:t xml:space="preserve">Prezentarea situaţiilor financiare </w:t>
      </w:r>
      <w:r>
        <w:t>revizuit în 2003 şi modificat în 2005.</w:t>
      </w:r>
      <w:bookmarkEnd w:id="452"/>
    </w:p>
    <w:p w:rsidR="004F2778" w:rsidRDefault="004F2778" w:rsidP="00F92F37">
      <w:pPr>
        <w:pStyle w:val="IASBSectionTitle1NonInd"/>
        <w:pBdr>
          <w:bottom w:val="none" w:sz="0" w:space="0" w:color="auto"/>
        </w:pBdr>
      </w:pPr>
      <w:bookmarkStart w:id="453" w:name="_GoBack"/>
      <w:bookmarkEnd w:id="453"/>
    </w:p>
    <w:sectPr w:rsidR="004F2778">
      <w:headerReference w:type="even" r:id="rId12"/>
      <w:headerReference w:type="default" r:id="rId13"/>
      <w:footerReference w:type="even" r:id="rId14"/>
      <w:footerReference w:type="default" r:id="rId15"/>
      <w:pgSz w:w="11907" w:h="1683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782F" w:rsidRDefault="004D782F">
      <w:r>
        <w:separator/>
      </w:r>
    </w:p>
  </w:endnote>
  <w:endnote w:type="continuationSeparator" w:id="0">
    <w:p w:rsidR="004D782F" w:rsidRDefault="004D7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82F" w:rsidRDefault="004D782F">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F92F37">
      <w:rPr>
        <w:noProof/>
        <w:sz w:val="17"/>
      </w:rPr>
      <w:t>18</w:t>
    </w:r>
    <w:r>
      <w:rPr>
        <w:sz w:val="17"/>
      </w:rPr>
      <w:fldChar w:fldCharType="end"/>
    </w:r>
    <w:r>
      <w:tab/>
    </w:r>
    <w:r>
      <w:rPr>
        <w:sz w:val="17"/>
        <w:vertAlign w:val="superscript"/>
      </w:rPr>
      <w:t>©</w:t>
    </w:r>
    <w:r>
      <w:rPr>
        <w:sz w:val="17"/>
      </w:rPr>
      <w:t xml:space="preserve"> Fundaţia IFRS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82F" w:rsidRDefault="004D782F">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F92F37">
      <w:rPr>
        <w:noProof/>
        <w:sz w:val="17"/>
      </w:rPr>
      <w:t>19</w:t>
    </w:r>
    <w:r>
      <w:rPr>
        <w:sz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82F" w:rsidRDefault="004D782F">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F92F37">
      <w:rPr>
        <w:noProof/>
        <w:sz w:val="17"/>
      </w:rPr>
      <w:t>24</w:t>
    </w:r>
    <w:r>
      <w:rPr>
        <w:sz w:val="17"/>
      </w:rPr>
      <w:fldChar w:fldCharType="end"/>
    </w:r>
    <w:r>
      <w:tab/>
    </w:r>
    <w:r>
      <w:rPr>
        <w:sz w:val="17"/>
        <w:vertAlign w:val="superscript"/>
      </w:rPr>
      <w:t>©</w:t>
    </w:r>
    <w:r>
      <w:rPr>
        <w:sz w:val="17"/>
      </w:rPr>
      <w:t xml:space="preserve"> Fundaţia IFRS</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82F" w:rsidRDefault="004D782F">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F92F37">
      <w:rPr>
        <w:noProof/>
        <w:sz w:val="17"/>
      </w:rPr>
      <w:t>23</w:t>
    </w:r>
    <w:r>
      <w:rPr>
        <w:sz w:val="17"/>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82F" w:rsidRDefault="004D782F">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F92F37">
      <w:rPr>
        <w:noProof/>
        <w:sz w:val="17"/>
      </w:rPr>
      <w:t>26</w:t>
    </w:r>
    <w:r>
      <w:rPr>
        <w:sz w:val="17"/>
      </w:rPr>
      <w:fldChar w:fldCharType="end"/>
    </w:r>
    <w:r>
      <w:tab/>
    </w:r>
    <w:r>
      <w:rPr>
        <w:sz w:val="17"/>
        <w:vertAlign w:val="superscript"/>
      </w:rPr>
      <w:t>©</w:t>
    </w:r>
    <w:r>
      <w:rPr>
        <w:sz w:val="17"/>
      </w:rPr>
      <w:t xml:space="preserve"> Fundaţia IFRS</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82F" w:rsidRDefault="004D782F">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F92F37">
      <w:rPr>
        <w:noProof/>
        <w:sz w:val="17"/>
      </w:rPr>
      <w:t>27</w:t>
    </w:r>
    <w:r>
      <w:rPr>
        <w:sz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782F" w:rsidRDefault="004D782F">
      <w:r>
        <w:separator/>
      </w:r>
    </w:p>
  </w:footnote>
  <w:footnote w:type="continuationSeparator" w:id="0">
    <w:p w:rsidR="004D782F" w:rsidRDefault="004D782F">
      <w:r>
        <w:continuationSeparator/>
      </w:r>
    </w:p>
  </w:footnote>
  <w:footnote w:id="1">
    <w:p w:rsidR="004D782F" w:rsidRDefault="004D782F" w:rsidP="004F2778">
      <w:pPr>
        <w:shd w:val="clear" w:color="auto" w:fill="FFFFFF"/>
        <w:rPr>
          <w:rStyle w:val="FootnoteReference"/>
          <w:sz w:val="16"/>
          <w:szCs w:val="20"/>
          <w:vertAlign w:val="baseline"/>
          <w:lang w:val="en-US"/>
        </w:rPr>
      </w:pPr>
      <w:r>
        <w:rPr>
          <w:rStyle w:val="FootnoteReference"/>
        </w:rPr>
        <w:footnoteRef/>
      </w:r>
      <w:r>
        <w:tab/>
      </w:r>
      <w:r>
        <w:rPr>
          <w:rStyle w:val="FootnoteReference"/>
          <w:sz w:val="16"/>
          <w:vertAlign w:val="baseline"/>
        </w:rPr>
        <w:t>Definiţia IFRS-urilor a fost modificată după schimbările titlurilor introduse prin Constituţia revizuită a Fundaţiei IFRS în 2010.</w:t>
      </w:r>
    </w:p>
  </w:footnote>
  <w:footnote w:id="2">
    <w:p w:rsidR="004D782F" w:rsidRDefault="004D782F" w:rsidP="004F2778">
      <w:pPr>
        <w:shd w:val="clear" w:color="auto" w:fill="FFFFFF"/>
        <w:ind w:left="709" w:hanging="709"/>
        <w:rPr>
          <w:rStyle w:val="FootnoteReference"/>
          <w:sz w:val="16"/>
          <w:szCs w:val="20"/>
          <w:vertAlign w:val="baseline"/>
          <w:lang w:val="en-US"/>
        </w:rPr>
      </w:pPr>
      <w:r>
        <w:rPr>
          <w:rStyle w:val="FootnoteReference"/>
        </w:rPr>
        <w:footnoteRef/>
      </w:r>
      <w:r>
        <w:tab/>
      </w:r>
      <w:r>
        <w:rPr>
          <w:rStyle w:val="FootnoteReference"/>
          <w:sz w:val="16"/>
          <w:vertAlign w:val="baseline"/>
        </w:rPr>
        <w:t xml:space="preserve">În septembrie 2010, IASB a înlocuit </w:t>
      </w:r>
      <w:r>
        <w:rPr>
          <w:rStyle w:val="FootnoteReference"/>
          <w:i/>
          <w:sz w:val="16"/>
          <w:vertAlign w:val="baseline"/>
        </w:rPr>
        <w:t>Cadrul general</w:t>
      </w:r>
      <w:r>
        <w:rPr>
          <w:rStyle w:val="FootnoteReference"/>
          <w:sz w:val="16"/>
          <w:vertAlign w:val="baseline"/>
        </w:rPr>
        <w:t xml:space="preserve"> cu </w:t>
      </w:r>
      <w:r>
        <w:rPr>
          <w:rStyle w:val="FootnoteReference"/>
          <w:i/>
          <w:sz w:val="16"/>
          <w:vertAlign w:val="baseline"/>
        </w:rPr>
        <w:t>Cadrul general conceptual de raportare financiară</w:t>
      </w:r>
      <w:r>
        <w:rPr>
          <w:rStyle w:val="FootnoteReference"/>
          <w:sz w:val="16"/>
          <w:vertAlign w:val="baseline"/>
        </w:rPr>
        <w:t xml:space="preserve">. Punctul 25 a fost înlocuit de Capitolul 3 din </w:t>
      </w:r>
      <w:r>
        <w:rPr>
          <w:rStyle w:val="FootnoteReference"/>
          <w:i/>
          <w:sz w:val="16"/>
          <w:vertAlign w:val="baseline"/>
        </w:rPr>
        <w:t>Cadrul general conceptual</w:t>
      </w:r>
      <w:r>
        <w:rPr>
          <w:rStyle w:val="FootnoteReference"/>
          <w:sz w:val="16"/>
          <w:vertAlign w:val="baseline"/>
        </w:rPr>
        <w:t>.</w:t>
      </w:r>
    </w:p>
  </w:footnote>
  <w:footnote w:id="3">
    <w:p w:rsidR="004D782F" w:rsidRDefault="004D782F" w:rsidP="004F2778">
      <w:pPr>
        <w:shd w:val="clear" w:color="auto" w:fill="FFFFFF"/>
        <w:ind w:left="709" w:hanging="709"/>
        <w:rPr>
          <w:rStyle w:val="FootnoteReference"/>
          <w:sz w:val="16"/>
          <w:szCs w:val="20"/>
          <w:vertAlign w:val="baseline"/>
          <w:lang w:val="en-US"/>
        </w:rPr>
      </w:pPr>
      <w:r>
        <w:rPr>
          <w:rStyle w:val="FootnoteReference"/>
        </w:rPr>
        <w:footnoteRef/>
      </w:r>
      <w:r>
        <w:tab/>
      </w:r>
      <w:r>
        <w:rPr>
          <w:rStyle w:val="FootnoteReference"/>
          <w:sz w:val="16"/>
          <w:vertAlign w:val="baseline"/>
        </w:rPr>
        <w:t xml:space="preserve">Punctele 15-24 cuprind referinţe la obiectivele situaţiilor financiare stabilite în </w:t>
      </w:r>
      <w:r>
        <w:rPr>
          <w:rStyle w:val="FootnoteReference"/>
          <w:i/>
          <w:sz w:val="16"/>
          <w:vertAlign w:val="baseline"/>
        </w:rPr>
        <w:t>Cadrul general [pentru întocmirea şi prezentarea situaţiilor financiare]</w:t>
      </w:r>
      <w:r>
        <w:rPr>
          <w:rStyle w:val="FootnoteReference"/>
          <w:sz w:val="16"/>
          <w:vertAlign w:val="baseline"/>
        </w:rPr>
        <w:t xml:space="preserve">. În septembrie 2010, IASB a înlocuit </w:t>
      </w:r>
      <w:r>
        <w:rPr>
          <w:rStyle w:val="FootnoteReference"/>
          <w:i/>
          <w:sz w:val="16"/>
          <w:vertAlign w:val="baseline"/>
        </w:rPr>
        <w:t>Cadrul general</w:t>
      </w:r>
      <w:r>
        <w:rPr>
          <w:rStyle w:val="FootnoteReference"/>
          <w:sz w:val="16"/>
          <w:vertAlign w:val="baseline"/>
        </w:rPr>
        <w:t xml:space="preserve"> cu </w:t>
      </w:r>
      <w:r>
        <w:rPr>
          <w:rStyle w:val="FootnoteReference"/>
          <w:i/>
          <w:sz w:val="16"/>
          <w:vertAlign w:val="baseline"/>
        </w:rPr>
        <w:t>Cadrul general conceptual de raportare financiară</w:t>
      </w:r>
      <w:r>
        <w:rPr>
          <w:rStyle w:val="FootnoteReference"/>
          <w:sz w:val="16"/>
          <w:vertAlign w:val="baseline"/>
        </w:rPr>
        <w:t xml:space="preserve">, care a înlocuit obiectivul situaţiilor financiare cu obiectivul raportării financiare cu scop general: a se vedea Capitolul 1 din </w:t>
      </w:r>
      <w:r>
        <w:rPr>
          <w:rStyle w:val="FootnoteReference"/>
          <w:i/>
          <w:sz w:val="16"/>
          <w:vertAlign w:val="baseline"/>
        </w:rPr>
        <w:t>Cadrul general conceptual</w:t>
      </w:r>
      <w:r>
        <w:rPr>
          <w:rStyle w:val="FootnoteReference"/>
          <w:sz w:val="16"/>
          <w:vertAlign w:val="baseline"/>
        </w:rPr>
        <w:t>.</w:t>
      </w:r>
    </w:p>
  </w:footnote>
  <w:footnote w:id="4">
    <w:p w:rsidR="004D782F" w:rsidRDefault="004D782F" w:rsidP="004F2778">
      <w:pPr>
        <w:shd w:val="clear" w:color="auto" w:fill="FFFFFF"/>
        <w:rPr>
          <w:rStyle w:val="FootnoteReference"/>
          <w:sz w:val="16"/>
          <w:szCs w:val="20"/>
          <w:vertAlign w:val="baseline"/>
          <w:lang w:val="en-US"/>
        </w:rPr>
      </w:pPr>
      <w:r>
        <w:rPr>
          <w:rStyle w:val="FootnoteReference"/>
        </w:rPr>
        <w:footnoteRef/>
      </w:r>
      <w:r>
        <w:tab/>
      </w:r>
      <w:r>
        <w:rPr>
          <w:rStyle w:val="FootnoteReference"/>
          <w:sz w:val="16"/>
          <w:vertAlign w:val="baseline"/>
        </w:rPr>
        <w:t xml:space="preserve">înlocuit de </w:t>
      </w:r>
      <w:r>
        <w:rPr>
          <w:rStyle w:val="FootnoteReference"/>
          <w:i/>
          <w:sz w:val="16"/>
          <w:vertAlign w:val="baseline"/>
        </w:rPr>
        <w:t>Cadrul general conceptual</w:t>
      </w:r>
      <w:r>
        <w:rPr>
          <w:rStyle w:val="FootnoteReference"/>
          <w:sz w:val="16"/>
          <w:vertAlign w:val="baseline"/>
        </w:rPr>
        <w:t xml:space="preserve"> în septembrie 2010</w:t>
      </w:r>
    </w:p>
  </w:footnote>
  <w:footnote w:id="5">
    <w:p w:rsidR="004D782F" w:rsidRDefault="004D782F" w:rsidP="004F2778">
      <w:pPr>
        <w:shd w:val="clear" w:color="auto" w:fill="FFFFFF"/>
        <w:rPr>
          <w:rStyle w:val="FootnoteReference"/>
          <w:sz w:val="16"/>
          <w:szCs w:val="20"/>
          <w:vertAlign w:val="baseline"/>
          <w:lang w:val="en-US"/>
        </w:rPr>
      </w:pPr>
      <w:r>
        <w:rPr>
          <w:rStyle w:val="FootnoteReference"/>
        </w:rPr>
        <w:footnoteRef/>
      </w:r>
      <w:r>
        <w:tab/>
      </w:r>
      <w:r>
        <w:rPr>
          <w:rStyle w:val="FootnoteReference"/>
          <w:sz w:val="16"/>
          <w:vertAlign w:val="baseline"/>
        </w:rPr>
        <w:t xml:space="preserve">În septembrie 2010, IASB a înlocuit </w:t>
      </w:r>
      <w:r>
        <w:rPr>
          <w:rStyle w:val="FootnoteReference"/>
          <w:i/>
          <w:sz w:val="16"/>
          <w:vertAlign w:val="baseline"/>
        </w:rPr>
        <w:t>Cadrul general</w:t>
      </w:r>
      <w:r>
        <w:rPr>
          <w:rStyle w:val="FootnoteReference"/>
          <w:sz w:val="16"/>
          <w:vertAlign w:val="baseline"/>
        </w:rPr>
        <w:t xml:space="preserve"> cu </w:t>
      </w:r>
      <w:r>
        <w:rPr>
          <w:rStyle w:val="FootnoteReference"/>
          <w:i/>
          <w:sz w:val="16"/>
          <w:vertAlign w:val="baseline"/>
        </w:rPr>
        <w:t>Cadrul general conceptual de raportare financiară</w:t>
      </w:r>
      <w:r>
        <w:rPr>
          <w:rStyle w:val="FootnoteReference"/>
          <w:sz w:val="16"/>
          <w:vertAlign w:val="baseli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82F" w:rsidRDefault="004D782F">
    <w:pPr>
      <w:pStyle w:val="IASBNormalnparaL1P"/>
      <w:tabs>
        <w:tab w:val="right" w:pos="9354"/>
      </w:tabs>
      <w:spacing w:before="0"/>
      <w:ind w:left="0"/>
      <w:jc w:val="left"/>
      <w:rPr>
        <w:sz w:val="20"/>
      </w:rPr>
    </w:pPr>
    <w:r>
      <w:rPr>
        <w:sz w:val="20"/>
      </w:rPr>
      <w:t>IAS 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82F" w:rsidRDefault="004D782F">
    <w:pPr>
      <w:pStyle w:val="IASBNormalnparaL1P"/>
      <w:tabs>
        <w:tab w:val="right" w:pos="9354"/>
      </w:tabs>
      <w:spacing w:before="0"/>
      <w:ind w:left="0"/>
      <w:jc w:val="left"/>
      <w:rPr>
        <w:sz w:val="20"/>
      </w:rPr>
    </w:pPr>
    <w:r>
      <w:tab/>
    </w:r>
    <w:r>
      <w:rPr>
        <w:sz w:val="20"/>
      </w:rPr>
      <w:t>IAS 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82F" w:rsidRDefault="004D782F">
    <w:pPr>
      <w:pStyle w:val="IASBNormalnparaL1P"/>
      <w:tabs>
        <w:tab w:val="right" w:pos="9354"/>
      </w:tabs>
      <w:spacing w:before="0"/>
      <w:ind w:left="0"/>
      <w:jc w:val="left"/>
      <w:rPr>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82F" w:rsidRDefault="004D782F">
    <w:pPr>
      <w:pStyle w:val="IASBNormalnparaL1P"/>
      <w:tabs>
        <w:tab w:val="right" w:pos="9354"/>
      </w:tabs>
      <w:spacing w:before="0"/>
      <w:ind w:left="0"/>
      <w:jc w:val="left"/>
      <w:rPr>
        <w:sz w:val="20"/>
      </w:rPr>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373"/>
    <w:rsid w:val="00090E1E"/>
    <w:rsid w:val="000B4EC8"/>
    <w:rsid w:val="00230801"/>
    <w:rsid w:val="00366985"/>
    <w:rsid w:val="003A31FE"/>
    <w:rsid w:val="003F0277"/>
    <w:rsid w:val="004D782F"/>
    <w:rsid w:val="004F2778"/>
    <w:rsid w:val="005F7281"/>
    <w:rsid w:val="006F4515"/>
    <w:rsid w:val="00736422"/>
    <w:rsid w:val="0093192F"/>
    <w:rsid w:val="009B0373"/>
    <w:rsid w:val="00A76ED7"/>
    <w:rsid w:val="00B860A4"/>
    <w:rsid w:val="00BB06F0"/>
    <w:rsid w:val="00DA70C9"/>
    <w:rsid w:val="00F92F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A1574D"/>
  <w14:defaultImageDpi w14:val="0"/>
  <w15:docId w15:val="{9BB757C1-FFB6-4C70-9628-BB9A39836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ro-RO"/>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51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ASBNormal">
    <w:name w:val="IASB Normal"/>
    <w:rsid w:val="00184EE0"/>
    <w:pPr>
      <w:tabs>
        <w:tab w:val="left" w:pos="4253"/>
      </w:tabs>
      <w:spacing w:before="100" w:after="100"/>
      <w:jc w:val="both"/>
    </w:pPr>
    <w:rPr>
      <w:sz w:val="19"/>
    </w:rPr>
  </w:style>
  <w:style w:type="paragraph" w:customStyle="1" w:styleId="IASBNormalnpara">
    <w:name w:val="IASB Normal npara"/>
    <w:basedOn w:val="IASBNormal"/>
    <w:rsid w:val="003F6914"/>
    <w:pPr>
      <w:tabs>
        <w:tab w:val="clear" w:pos="4253"/>
      </w:tabs>
      <w:spacing w:after="0"/>
      <w:ind w:left="782" w:hanging="782"/>
    </w:pPr>
  </w:style>
  <w:style w:type="paragraph" w:customStyle="1" w:styleId="IASBSectionTitle1Ind">
    <w:name w:val="IASB Section Title 1 Ind"/>
    <w:basedOn w:val="Normal"/>
    <w:rsid w:val="005A1600"/>
    <w:pPr>
      <w:keepNext/>
      <w:keepLines/>
      <w:pBdr>
        <w:bottom w:val="single" w:sz="4" w:space="0" w:color="auto"/>
      </w:pBdr>
      <w:spacing w:before="400" w:after="200"/>
      <w:ind w:left="782"/>
    </w:pPr>
    <w:rPr>
      <w:rFonts w:ascii="Arial" w:hAnsi="Arial" w:cs="Arial"/>
      <w:b/>
      <w:sz w:val="26"/>
      <w:szCs w:val="20"/>
    </w:rPr>
  </w:style>
  <w:style w:type="paragraph" w:customStyle="1" w:styleId="IASBSectionTitle1NonInd">
    <w:name w:val="IASB Section Title 1 NonInd"/>
    <w:basedOn w:val="Normal"/>
    <w:rsid w:val="005A1600"/>
    <w:pPr>
      <w:keepNext/>
      <w:keepLines/>
      <w:pBdr>
        <w:bottom w:val="single" w:sz="4" w:space="0" w:color="auto"/>
      </w:pBdr>
      <w:spacing w:before="400" w:after="200"/>
    </w:pPr>
    <w:rPr>
      <w:rFonts w:ascii="Arial" w:hAnsi="Arial" w:cs="Arial"/>
      <w:b/>
      <w:sz w:val="26"/>
      <w:szCs w:val="20"/>
    </w:rPr>
  </w:style>
  <w:style w:type="paragraph" w:customStyle="1" w:styleId="IASBSectionTitle2NonInd">
    <w:name w:val="IASB Section Title 2 NonInd"/>
    <w:basedOn w:val="Normal"/>
    <w:rsid w:val="005A1600"/>
    <w:pPr>
      <w:keepNext/>
      <w:keepLines/>
      <w:spacing w:before="300" w:after="200"/>
    </w:pPr>
    <w:rPr>
      <w:rFonts w:ascii="Arial" w:hAnsi="Arial" w:cs="Arial"/>
      <w:b/>
      <w:sz w:val="26"/>
      <w:szCs w:val="20"/>
    </w:rPr>
  </w:style>
  <w:style w:type="paragraph" w:customStyle="1" w:styleId="IASBSectionTitle2Ind">
    <w:name w:val="IASB Section Title 2 Ind"/>
    <w:basedOn w:val="IASBSectionTitle2NonInd"/>
    <w:rsid w:val="005A1600"/>
    <w:pPr>
      <w:spacing w:before="240"/>
      <w:ind w:left="782"/>
    </w:pPr>
  </w:style>
  <w:style w:type="paragraph" w:customStyle="1" w:styleId="IASBSectionTitle3NonInd">
    <w:name w:val="IASB Section Title 3 NonInd"/>
    <w:basedOn w:val="Normal"/>
    <w:rsid w:val="005A1600"/>
    <w:pPr>
      <w:keepNext/>
      <w:keepLines/>
      <w:spacing w:before="300" w:after="200"/>
    </w:pPr>
    <w:rPr>
      <w:rFonts w:ascii="Arial" w:hAnsi="Arial" w:cs="Arial"/>
      <w:b/>
      <w:sz w:val="22"/>
      <w:szCs w:val="20"/>
    </w:rPr>
  </w:style>
  <w:style w:type="paragraph" w:customStyle="1" w:styleId="IASBSectionTitle3Ind">
    <w:name w:val="IASB Section Title 3 Ind"/>
    <w:basedOn w:val="IASBSectionTitle3NonInd"/>
    <w:rsid w:val="005A1600"/>
    <w:pPr>
      <w:spacing w:before="240"/>
      <w:ind w:left="782"/>
    </w:pPr>
  </w:style>
  <w:style w:type="paragraph" w:customStyle="1" w:styleId="IASBSectionTitle4NonInd">
    <w:name w:val="IASB Section Title 4 NonInd"/>
    <w:basedOn w:val="Normal"/>
    <w:rsid w:val="005A1600"/>
    <w:pPr>
      <w:keepNext/>
      <w:keepLines/>
      <w:spacing w:before="300" w:after="200"/>
    </w:pPr>
    <w:rPr>
      <w:rFonts w:ascii="Arial" w:hAnsi="Arial" w:cs="Arial"/>
      <w:i/>
      <w:sz w:val="22"/>
      <w:szCs w:val="20"/>
    </w:rPr>
  </w:style>
  <w:style w:type="paragraph" w:customStyle="1" w:styleId="IASBSectionTitle4Ind">
    <w:name w:val="IASB Section Title 4 Ind"/>
    <w:basedOn w:val="IASBSectionTitle4NonInd"/>
    <w:rsid w:val="005A1600"/>
    <w:pPr>
      <w:ind w:left="782"/>
    </w:pPr>
  </w:style>
  <w:style w:type="paragraph" w:customStyle="1" w:styleId="IASBSectionTitle5NonInd">
    <w:name w:val="IASB Section Title 5 NonInd"/>
    <w:basedOn w:val="Normal"/>
    <w:rsid w:val="005A1600"/>
    <w:pPr>
      <w:keepNext/>
      <w:keepLines/>
      <w:spacing w:before="300" w:after="200"/>
    </w:pPr>
    <w:rPr>
      <w:rFonts w:ascii="Arial" w:hAnsi="Arial" w:cs="Arial"/>
      <w:b/>
      <w:sz w:val="20"/>
      <w:szCs w:val="20"/>
    </w:rPr>
  </w:style>
  <w:style w:type="paragraph" w:customStyle="1" w:styleId="IASBSectionTitle5Ind">
    <w:name w:val="IASB Section Title 5 Ind"/>
    <w:basedOn w:val="IASBSectionTitle5NonInd"/>
    <w:rsid w:val="005A1600"/>
    <w:pPr>
      <w:ind w:left="782"/>
    </w:pPr>
  </w:style>
  <w:style w:type="paragraph" w:customStyle="1" w:styleId="IASBSectionTitle6NonInd">
    <w:name w:val="IASB Section Title 6 NonInd"/>
    <w:basedOn w:val="IASBSectionTitle5NonInd"/>
    <w:rsid w:val="00C8465C"/>
    <w:rPr>
      <w:b w:val="0"/>
      <w:i/>
    </w:rPr>
  </w:style>
  <w:style w:type="paragraph" w:customStyle="1" w:styleId="IASBSectionTitle6Ind">
    <w:name w:val="IASB Section Title 6 Ind"/>
    <w:basedOn w:val="IASBSectionTitle6NonInd"/>
    <w:rsid w:val="00C8465C"/>
    <w:pPr>
      <w:ind w:left="782"/>
    </w:pPr>
  </w:style>
  <w:style w:type="paragraph" w:customStyle="1" w:styleId="IASBTitle">
    <w:name w:val="IASB Title"/>
    <w:rsid w:val="00424540"/>
    <w:pPr>
      <w:keepNext/>
      <w:keepLines/>
      <w:spacing w:before="300" w:after="400"/>
    </w:pPr>
    <w:rPr>
      <w:rFonts w:cs="Arial"/>
      <w:sz w:val="36"/>
    </w:rPr>
  </w:style>
  <w:style w:type="paragraph" w:customStyle="1" w:styleId="IASBNormalnparaL1">
    <w:name w:val="IASB Normal nparaL1"/>
    <w:basedOn w:val="IASBNormalnpara"/>
    <w:rsid w:val="00225741"/>
    <w:pPr>
      <w:ind w:left="1564"/>
    </w:pPr>
  </w:style>
  <w:style w:type="paragraph" w:customStyle="1" w:styleId="IASBNormalnparaP">
    <w:name w:val="IASB Normal nparaP"/>
    <w:basedOn w:val="IASBNormal"/>
    <w:rsid w:val="00225741"/>
    <w:pPr>
      <w:ind w:left="782"/>
    </w:pPr>
  </w:style>
  <w:style w:type="paragraph" w:customStyle="1" w:styleId="IASBIdentifier">
    <w:name w:val="IASB Identifier"/>
    <w:basedOn w:val="IASBTitle"/>
    <w:rsid w:val="005D06EB"/>
    <w:pPr>
      <w:spacing w:after="200"/>
    </w:pPr>
    <w:rPr>
      <w:rFonts w:ascii="Arial" w:hAnsi="Arial"/>
      <w:b/>
      <w:sz w:val="23"/>
    </w:rPr>
  </w:style>
  <w:style w:type="paragraph" w:customStyle="1" w:styleId="IASBTOCPrimary">
    <w:name w:val="IASB TOC Primary"/>
    <w:basedOn w:val="Normal"/>
    <w:rsid w:val="005D06EB"/>
    <w:pPr>
      <w:tabs>
        <w:tab w:val="right" w:pos="8647"/>
      </w:tabs>
      <w:spacing w:before="100" w:after="100"/>
    </w:pPr>
    <w:rPr>
      <w:rFonts w:ascii="Arial" w:hAnsi="Arial" w:cs="Arial"/>
      <w:b/>
      <w:caps/>
      <w:sz w:val="18"/>
      <w:szCs w:val="20"/>
    </w:rPr>
  </w:style>
  <w:style w:type="paragraph" w:customStyle="1" w:styleId="IASBTOCParagraph">
    <w:name w:val="IASB TOC Paragraph"/>
    <w:basedOn w:val="Normal"/>
    <w:rsid w:val="005D06EB"/>
    <w:pPr>
      <w:spacing w:before="30" w:after="30"/>
    </w:pPr>
    <w:rPr>
      <w:rFonts w:ascii="Arial" w:hAnsi="Arial" w:cs="Arial"/>
      <w:i/>
      <w:sz w:val="18"/>
      <w:szCs w:val="20"/>
    </w:rPr>
  </w:style>
  <w:style w:type="paragraph" w:customStyle="1" w:styleId="IASBTOCSecondary">
    <w:name w:val="IASB TOC Secondary"/>
    <w:basedOn w:val="Normal"/>
    <w:rsid w:val="005D06EB"/>
    <w:pPr>
      <w:tabs>
        <w:tab w:val="right" w:pos="8647"/>
      </w:tabs>
      <w:spacing w:before="30" w:after="30"/>
    </w:pPr>
    <w:rPr>
      <w:rFonts w:ascii="Arial" w:hAnsi="Arial" w:cs="Arial"/>
      <w:b/>
      <w:sz w:val="18"/>
      <w:szCs w:val="20"/>
    </w:rPr>
  </w:style>
  <w:style w:type="paragraph" w:customStyle="1" w:styleId="IASBTOCTertiary">
    <w:name w:val="IASB TOC Tertiary"/>
    <w:basedOn w:val="Normal"/>
    <w:rsid w:val="005D06EB"/>
    <w:pPr>
      <w:tabs>
        <w:tab w:val="right" w:pos="8647"/>
      </w:tabs>
      <w:spacing w:before="30" w:after="30"/>
      <w:ind w:left="390"/>
    </w:pPr>
    <w:rPr>
      <w:rFonts w:ascii="Arial" w:hAnsi="Arial" w:cs="Arial"/>
      <w:sz w:val="18"/>
      <w:szCs w:val="20"/>
    </w:rPr>
  </w:style>
  <w:style w:type="paragraph" w:customStyle="1" w:styleId="IASBTOCExternal">
    <w:name w:val="IASB TOC External"/>
    <w:basedOn w:val="Normal"/>
    <w:rsid w:val="005D06EB"/>
    <w:pPr>
      <w:pBdr>
        <w:top w:val="single" w:sz="4" w:space="1" w:color="auto"/>
        <w:left w:val="single" w:sz="4" w:space="4" w:color="auto"/>
        <w:bottom w:val="single" w:sz="4" w:space="1" w:color="auto"/>
        <w:right w:val="single" w:sz="4" w:space="4" w:color="auto"/>
      </w:pBdr>
      <w:spacing w:before="30" w:after="30"/>
    </w:pPr>
    <w:rPr>
      <w:rFonts w:ascii="Arial" w:hAnsi="Arial" w:cs="Arial"/>
      <w:b/>
      <w:sz w:val="18"/>
      <w:szCs w:val="20"/>
    </w:rPr>
  </w:style>
  <w:style w:type="paragraph" w:customStyle="1" w:styleId="IASBRubric">
    <w:name w:val="IASB Rubric"/>
    <w:basedOn w:val="IASBNormal"/>
    <w:rsid w:val="00F57224"/>
    <w:pPr>
      <w:pBdr>
        <w:top w:val="single" w:sz="2" w:space="8" w:color="auto"/>
        <w:left w:val="single" w:sz="2" w:space="5" w:color="auto"/>
        <w:bottom w:val="single" w:sz="2" w:space="5" w:color="auto"/>
        <w:right w:val="single" w:sz="2" w:space="5" w:color="auto"/>
      </w:pBdr>
    </w:pPr>
  </w:style>
  <w:style w:type="paragraph" w:customStyle="1" w:styleId="IASBNote">
    <w:name w:val="IASB Note"/>
    <w:basedOn w:val="IASBNormal"/>
    <w:rsid w:val="00F57224"/>
    <w:rPr>
      <w:i/>
    </w:rPr>
  </w:style>
  <w:style w:type="paragraph" w:customStyle="1" w:styleId="IASBBlockquote">
    <w:name w:val="IASB Blockquote"/>
    <w:basedOn w:val="IASBNormal"/>
    <w:rsid w:val="00550AE9"/>
    <w:pPr>
      <w:ind w:left="1565"/>
    </w:pPr>
    <w:rPr>
      <w:sz w:val="16"/>
    </w:rPr>
  </w:style>
  <w:style w:type="character" w:customStyle="1" w:styleId="IASBEduinsert">
    <w:name w:val="IASB Edu insert"/>
    <w:qFormat/>
    <w:rsid w:val="00EB08D7"/>
  </w:style>
  <w:style w:type="character" w:styleId="FootnoteReference">
    <w:name w:val="footnote reference"/>
    <w:uiPriority w:val="99"/>
    <w:semiHidden/>
    <w:unhideWhenUsed/>
    <w:rsid w:val="00F57224"/>
    <w:rPr>
      <w:vertAlign w:val="superscript"/>
    </w:rPr>
  </w:style>
  <w:style w:type="paragraph" w:styleId="FootnoteText">
    <w:name w:val="footnote text"/>
    <w:basedOn w:val="IASBSectionTitle2Ind"/>
    <w:next w:val="IASBBlockquote"/>
    <w:link w:val="FootnoteTextChar"/>
    <w:uiPriority w:val="99"/>
    <w:semiHidden/>
    <w:rsid w:val="00713675"/>
    <w:pPr>
      <w:keepNext w:val="0"/>
      <w:keepLines w:val="0"/>
      <w:shd w:val="clear" w:color="auto" w:fill="99CCFF"/>
      <w:spacing w:before="0" w:after="0"/>
      <w:ind w:left="0"/>
    </w:pPr>
    <w:rPr>
      <w:rFonts w:ascii="Times New Roman" w:hAnsi="Times New Roman" w:cs="Times New Roman"/>
      <w:b w:val="0"/>
      <w:sz w:val="16"/>
    </w:rPr>
  </w:style>
  <w:style w:type="character" w:customStyle="1" w:styleId="FootnoteTextChar">
    <w:name w:val="Footnote Text Char"/>
    <w:link w:val="FootnoteText"/>
    <w:uiPriority w:val="99"/>
    <w:semiHidden/>
    <w:rPr>
      <w:sz w:val="20"/>
      <w:szCs w:val="20"/>
      <w:lang w:eastAsia="ro-RO"/>
    </w:rPr>
  </w:style>
  <w:style w:type="paragraph" w:customStyle="1" w:styleId="IASBNormalL1">
    <w:name w:val="IASB Normal L1"/>
    <w:basedOn w:val="IASBNormalnpara"/>
    <w:rsid w:val="002F1EE3"/>
  </w:style>
  <w:style w:type="paragraph" w:styleId="Header">
    <w:name w:val="header"/>
    <w:basedOn w:val="Normal"/>
    <w:link w:val="HeaderChar"/>
    <w:uiPriority w:val="99"/>
    <w:rsid w:val="00EC6A1F"/>
    <w:pPr>
      <w:tabs>
        <w:tab w:val="center" w:pos="4320"/>
        <w:tab w:val="right" w:pos="8640"/>
      </w:tabs>
    </w:pPr>
  </w:style>
  <w:style w:type="character" w:customStyle="1" w:styleId="HeaderChar">
    <w:name w:val="Header Char"/>
    <w:link w:val="Header"/>
    <w:uiPriority w:val="99"/>
    <w:semiHidden/>
    <w:rPr>
      <w:sz w:val="24"/>
      <w:szCs w:val="24"/>
      <w:lang w:eastAsia="ro-RO"/>
    </w:rPr>
  </w:style>
  <w:style w:type="paragraph" w:styleId="Footer">
    <w:name w:val="footer"/>
    <w:basedOn w:val="Normal"/>
    <w:link w:val="FooterChar"/>
    <w:uiPriority w:val="99"/>
    <w:rsid w:val="00EC6A1F"/>
    <w:pPr>
      <w:tabs>
        <w:tab w:val="center" w:pos="4320"/>
        <w:tab w:val="right" w:pos="8640"/>
      </w:tabs>
    </w:pPr>
  </w:style>
  <w:style w:type="character" w:customStyle="1" w:styleId="FooterChar">
    <w:name w:val="Footer Char"/>
    <w:link w:val="Footer"/>
    <w:uiPriority w:val="99"/>
    <w:semiHidden/>
    <w:rPr>
      <w:sz w:val="24"/>
      <w:szCs w:val="24"/>
      <w:lang w:eastAsia="ro-RO"/>
    </w:rPr>
  </w:style>
  <w:style w:type="paragraph" w:customStyle="1" w:styleId="IASBRubricL1">
    <w:name w:val="IASB RubricL1"/>
    <w:basedOn w:val="IASBRubric"/>
    <w:rsid w:val="00AE7B5D"/>
    <w:pPr>
      <w:ind w:left="782" w:hanging="782"/>
      <w:jc w:val="left"/>
    </w:pPr>
  </w:style>
  <w:style w:type="paragraph" w:customStyle="1" w:styleId="IASBRubricL2">
    <w:name w:val="IASB RubricL2"/>
    <w:basedOn w:val="IASBRubricL1"/>
    <w:rsid w:val="00AE7B5D"/>
    <w:pPr>
      <w:tabs>
        <w:tab w:val="left" w:pos="782"/>
      </w:tabs>
      <w:ind w:left="1565" w:hanging="1565"/>
    </w:pPr>
  </w:style>
  <w:style w:type="paragraph" w:customStyle="1" w:styleId="IASBRubricL3">
    <w:name w:val="IASB RubricL3"/>
    <w:basedOn w:val="IASBRubricL2"/>
    <w:rsid w:val="00AE7B5D"/>
    <w:pPr>
      <w:tabs>
        <w:tab w:val="clear" w:pos="782"/>
        <w:tab w:val="left" w:pos="1565"/>
      </w:tabs>
      <w:ind w:left="2347" w:hanging="2347"/>
    </w:pPr>
  </w:style>
  <w:style w:type="paragraph" w:customStyle="1" w:styleId="IASBNormalnparaL2">
    <w:name w:val="IASB Normal nparaL2"/>
    <w:basedOn w:val="IASBNormalnparaL1"/>
    <w:rsid w:val="00225741"/>
    <w:pPr>
      <w:ind w:left="2347"/>
    </w:pPr>
  </w:style>
  <w:style w:type="paragraph" w:customStyle="1" w:styleId="IASBNormalnparaL3">
    <w:name w:val="IASB Normal nparaL3"/>
    <w:basedOn w:val="IASBNormalnparaL2"/>
    <w:rsid w:val="00225741"/>
    <w:pPr>
      <w:ind w:left="3129"/>
    </w:pPr>
  </w:style>
  <w:style w:type="paragraph" w:customStyle="1" w:styleId="IASBNormalnparaL4">
    <w:name w:val="IASB Normal nparaL4"/>
    <w:basedOn w:val="IASBNormalnparaL3"/>
    <w:rsid w:val="00225741"/>
    <w:pPr>
      <w:ind w:left="3912"/>
    </w:pPr>
  </w:style>
  <w:style w:type="paragraph" w:customStyle="1" w:styleId="IASBNormalnparaL5">
    <w:name w:val="IASB Normal nparaL5"/>
    <w:basedOn w:val="IASBNormalnparaL4"/>
    <w:rsid w:val="00225741"/>
    <w:pPr>
      <w:ind w:left="4694"/>
    </w:pPr>
  </w:style>
  <w:style w:type="paragraph" w:customStyle="1" w:styleId="IASBNormalnparaL1P">
    <w:name w:val="IASB Normal nparaL1P"/>
    <w:basedOn w:val="IASBNormalnparaL2"/>
    <w:rsid w:val="00225741"/>
    <w:pPr>
      <w:ind w:left="1565" w:firstLine="0"/>
    </w:pPr>
  </w:style>
  <w:style w:type="paragraph" w:customStyle="1" w:styleId="IASBNormalnparaL2P">
    <w:name w:val="IASB Normal nparaL2P"/>
    <w:basedOn w:val="IASBNormalnparaL1P"/>
    <w:rsid w:val="00225741"/>
    <w:pPr>
      <w:ind w:left="2347"/>
    </w:pPr>
  </w:style>
  <w:style w:type="paragraph" w:customStyle="1" w:styleId="IASBNormalnparaL3P">
    <w:name w:val="IASB Normal nparaL3P"/>
    <w:basedOn w:val="IASBNormalnparaL2P"/>
    <w:rsid w:val="00225741"/>
    <w:pPr>
      <w:ind w:left="3130"/>
    </w:pPr>
  </w:style>
  <w:style w:type="paragraph" w:customStyle="1" w:styleId="IASBNormalnparaL4P">
    <w:name w:val="IASB Normal nparaL4P"/>
    <w:basedOn w:val="IASBNormalnparaL3P"/>
    <w:rsid w:val="00225741"/>
    <w:pPr>
      <w:ind w:left="3912"/>
    </w:pPr>
  </w:style>
  <w:style w:type="paragraph" w:customStyle="1" w:styleId="IASBNormalnparaL5P">
    <w:name w:val="IASB Normal nparaL5P"/>
    <w:basedOn w:val="IASBNormalnparaL4P"/>
    <w:rsid w:val="00225741"/>
    <w:pPr>
      <w:ind w:left="4751"/>
    </w:pPr>
  </w:style>
  <w:style w:type="paragraph" w:customStyle="1" w:styleId="IASBBlockquoteL1">
    <w:name w:val="IASB BlockquoteL1"/>
    <w:basedOn w:val="IASBBlockquote"/>
    <w:rsid w:val="00550AE9"/>
    <w:pPr>
      <w:ind w:left="2347" w:hanging="782"/>
    </w:pPr>
  </w:style>
  <w:style w:type="paragraph" w:customStyle="1" w:styleId="IASBBlockquoteL2">
    <w:name w:val="IASB BlockquoteL2"/>
    <w:basedOn w:val="IASBBlockquoteL1"/>
    <w:rsid w:val="00550AE9"/>
    <w:pPr>
      <w:ind w:left="3129"/>
    </w:pPr>
  </w:style>
  <w:style w:type="paragraph" w:customStyle="1" w:styleId="IASBNormalL2">
    <w:name w:val="IASB Normal L2"/>
    <w:basedOn w:val="IASBNormalL1"/>
    <w:rsid w:val="005B533E"/>
    <w:pPr>
      <w:ind w:left="1564"/>
    </w:pPr>
  </w:style>
  <w:style w:type="paragraph" w:customStyle="1" w:styleId="IASBTOCQuartery">
    <w:name w:val="IASB TOC Quartery"/>
    <w:basedOn w:val="IASBTOCTertiary"/>
    <w:rsid w:val="005D06EB"/>
    <w:pPr>
      <w:ind w:left="851"/>
    </w:pPr>
  </w:style>
  <w:style w:type="paragraph" w:customStyle="1" w:styleId="IASBNoteTitle">
    <w:name w:val="IASB Note Title"/>
    <w:basedOn w:val="IASBTOCPrimary"/>
    <w:rsid w:val="00A52AD8"/>
    <w:pPr>
      <w:jc w:val="center"/>
    </w:pPr>
    <w:rPr>
      <w:b w:val="0"/>
      <w:caps w:val="0"/>
      <w:sz w:val="24"/>
    </w:rPr>
  </w:style>
  <w:style w:type="paragraph" w:customStyle="1" w:styleId="IASBNormalL1P">
    <w:name w:val="IASB Normal L1P"/>
    <w:basedOn w:val="IASBNormalL1"/>
    <w:qFormat/>
    <w:rsid w:val="00A50330"/>
    <w:pPr>
      <w:ind w:firstLine="0"/>
    </w:pPr>
  </w:style>
  <w:style w:type="paragraph" w:customStyle="1" w:styleId="IASBNormalL2P">
    <w:name w:val="IASB Normal L2P"/>
    <w:basedOn w:val="IASBNormalL1P"/>
    <w:qFormat/>
    <w:rsid w:val="00A50330"/>
    <w:pPr>
      <w:ind w:left="1565"/>
    </w:pPr>
  </w:style>
  <w:style w:type="paragraph" w:customStyle="1" w:styleId="IASBNormalnparaC">
    <w:name w:val="IASB Normal nparaC"/>
    <w:basedOn w:val="IASBNormalnpara"/>
    <w:qFormat/>
    <w:rsid w:val="00B37F2B"/>
    <w:pPr>
      <w:spacing w:before="0"/>
    </w:pPr>
  </w:style>
  <w:style w:type="paragraph" w:customStyle="1" w:styleId="IASBEdupara">
    <w:name w:val="IASB Edu para"/>
    <w:basedOn w:val="IASBNormal"/>
    <w:qFormat/>
    <w:rsid w:val="00EB08D7"/>
  </w:style>
  <w:style w:type="paragraph" w:customStyle="1" w:styleId="IASBTableBoldTNR">
    <w:name w:val="IASB Table Bold TNR"/>
    <w:basedOn w:val="Normal"/>
    <w:qFormat/>
    <w:rsid w:val="003656D2"/>
    <w:pPr>
      <w:spacing w:before="120"/>
    </w:pPr>
    <w:rPr>
      <w:b/>
      <w:sz w:val="19"/>
      <w:szCs w:val="20"/>
    </w:rPr>
  </w:style>
  <w:style w:type="paragraph" w:customStyle="1" w:styleId="IASBTableHeaderTNR">
    <w:name w:val="IASB Table Header TNR"/>
    <w:basedOn w:val="Normal"/>
    <w:qFormat/>
    <w:rsid w:val="003656D2"/>
    <w:pPr>
      <w:keepNext/>
      <w:spacing w:before="120" w:after="200" w:line="276" w:lineRule="auto"/>
    </w:pPr>
    <w:rPr>
      <w:sz w:val="19"/>
      <w:szCs w:val="20"/>
    </w:rPr>
  </w:style>
  <w:style w:type="paragraph" w:customStyle="1" w:styleId="IASBTableTNR">
    <w:name w:val="IASB Table TNR"/>
    <w:basedOn w:val="Normal"/>
    <w:qFormat/>
    <w:rsid w:val="003656D2"/>
    <w:pPr>
      <w:spacing w:before="120"/>
    </w:pPr>
    <w:rPr>
      <w:sz w:val="19"/>
      <w:szCs w:val="20"/>
    </w:rPr>
  </w:style>
  <w:style w:type="paragraph" w:customStyle="1" w:styleId="IASBTableArial">
    <w:name w:val="IASB Table Arial"/>
    <w:basedOn w:val="Normal"/>
    <w:rsid w:val="00B90BDB"/>
    <w:pPr>
      <w:spacing w:before="120"/>
    </w:pPr>
    <w:rPr>
      <w:rFonts w:ascii="Arial" w:hAnsi="Arial"/>
      <w:sz w:val="18"/>
      <w:szCs w:val="20"/>
    </w:rPr>
  </w:style>
  <w:style w:type="paragraph" w:customStyle="1" w:styleId="IASBTableBoldArial">
    <w:name w:val="IASB Table Bold Arial"/>
    <w:basedOn w:val="IASBTableArial"/>
    <w:qFormat/>
    <w:rsid w:val="00B90BDB"/>
    <w:rPr>
      <w:b/>
    </w:rPr>
  </w:style>
  <w:style w:type="paragraph" w:customStyle="1" w:styleId="IASBTableHeaderArial">
    <w:name w:val="IASB Table Header Arial"/>
    <w:basedOn w:val="IASBTableArial"/>
    <w:qFormat/>
    <w:rsid w:val="00B90BDB"/>
    <w:pPr>
      <w:keepNext/>
      <w:spacing w:after="200" w:line="276" w:lineRule="auto"/>
    </w:pPr>
  </w:style>
  <w:style w:type="character" w:styleId="EndnoteReference">
    <w:name w:val="endnote reference"/>
    <w:uiPriority w:val="99"/>
    <w:semiHidden/>
    <w:unhideWhenUsed/>
    <w:rsid w:val="009B037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26</Pages>
  <Words>14380</Words>
  <Characters>81971</Characters>
  <Application>Microsoft Office Word</Application>
  <DocSecurity>0</DocSecurity>
  <Lines>683</Lines>
  <Paragraphs>192</Paragraphs>
  <ScaleCrop>false</ScaleCrop>
  <HeadingPairs>
    <vt:vector size="2" baseType="variant">
      <vt:variant>
        <vt:lpstr>Title</vt:lpstr>
      </vt:variant>
      <vt:variant>
        <vt:i4>1</vt:i4>
      </vt:variant>
    </vt:vector>
  </HeadingPairs>
  <TitlesOfParts>
    <vt:vector size="1" baseType="lpstr">
      <vt:lpstr/>
    </vt:vector>
  </TitlesOfParts>
  <Company>IFRS</Company>
  <LinksUpToDate>false</LinksUpToDate>
  <CharactersWithSpaces>96159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Jeacock, Jacqueline</dc:creator>
  <cp:lastModifiedBy>Hemmant, Anna</cp:lastModifiedBy>
  <cp:revision>3</cp:revision>
  <dcterms:created xsi:type="dcterms:W3CDTF">2017-03-13T12:31:00Z</dcterms:created>
  <dcterms:modified xsi:type="dcterms:W3CDTF">2018-01-02T14:29:00Z</dcterms:modified>
</cp:coreProperties>
</file>