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F27" w:rsidRDefault="00504F27">
      <w:pPr>
        <w:pStyle w:val="IASBSectionTitle2NonInd"/>
      </w:pPr>
      <w:bookmarkStart w:id="0" w:name="SL147141"/>
      <w:r>
        <w:t>Standardul Internaţional de Contabilitate 32</w:t>
      </w:r>
      <w:r>
        <w:br/>
      </w:r>
      <w:r>
        <w:rPr>
          <w:i/>
        </w:rPr>
        <w:t>Instrumente financiare: prezentare</w:t>
      </w:r>
      <w:bookmarkEnd w:id="0"/>
    </w:p>
    <w:p w:rsidR="00504F27" w:rsidRDefault="00504F27">
      <w:pPr>
        <w:pStyle w:val="IASBSectionTitle1NonInd"/>
      </w:pPr>
      <w:bookmarkStart w:id="1" w:name="SL147143"/>
      <w:r>
        <w:t>Obiectiv</w:t>
      </w:r>
      <w:bookmarkEnd w:id="1"/>
    </w:p>
    <w:p w:rsidR="00504F27" w:rsidRDefault="00504F27">
      <w:pPr>
        <w:pStyle w:val="IASBNormalnpara"/>
      </w:pPr>
      <w:r>
        <w:t>1</w:t>
      </w:r>
      <w:r>
        <w:tab/>
      </w:r>
      <w:bookmarkStart w:id="2" w:name="SL31519"/>
      <w:r>
        <w:t>[Eliminat]</w:t>
      </w:r>
      <w:bookmarkEnd w:id="2"/>
    </w:p>
    <w:p w:rsidR="00504F27" w:rsidRDefault="00504F27">
      <w:pPr>
        <w:pStyle w:val="IASBNormalnpara"/>
      </w:pPr>
      <w:r>
        <w:t>2</w:t>
      </w:r>
      <w:r>
        <w:tab/>
      </w:r>
      <w:bookmarkStart w:id="3" w:name="SL31520"/>
      <w:r>
        <w:t>Obiectivul prezentului standard este de a stabili principii pentru prezentarea instrumentelor financiare drept datorii sau capitaluri proprii şi pentru compensarea activelor financiare şi a datoriilor financiare. Standardul se aplică pentru clasificarea instrumentelor financiare, din perspectiva emitentului, în active financiare, datorii financiare şi instrumente de capitaluri proprii; pentru clasificarea dobânzilor, dividendelor, pierderilor şi câştigurilor asociate acestora; precum şi în circumstanţele în care activele financiare şi datoriile financiare trebuie compensate.</w:t>
      </w:r>
      <w:bookmarkEnd w:id="3"/>
    </w:p>
    <w:p w:rsidR="00504F27" w:rsidRDefault="00504F27">
      <w:pPr>
        <w:pStyle w:val="IASBNormalnpara"/>
      </w:pPr>
      <w:r>
        <w:t>3</w:t>
      </w:r>
      <w:r>
        <w:tab/>
      </w:r>
      <w:bookmarkStart w:id="4" w:name="SL19040404"/>
      <w:r>
        <w:t xml:space="preserve">Principiile din prezentul standard completează principiile de recunoaştere şi evaluare a activelor financiare şi datoriilor financiare din IFRS 9 </w:t>
      </w:r>
      <w:r>
        <w:rPr>
          <w:i/>
        </w:rPr>
        <w:t>Instrumente financiare</w:t>
      </w:r>
      <w:r>
        <w:t xml:space="preserve">, precum şi pe cele privind prezentările de informaţii din IFRS 7 </w:t>
      </w:r>
      <w:r>
        <w:rPr>
          <w:i/>
        </w:rPr>
        <w:t>Instrumente financiare: informaţii de furnizat</w:t>
      </w:r>
      <w:r>
        <w:t>.</w:t>
      </w:r>
      <w:bookmarkEnd w:id="4"/>
    </w:p>
    <w:p w:rsidR="00504F27" w:rsidRDefault="00504F27">
      <w:pPr>
        <w:pStyle w:val="IASBSectionTitle1NonInd"/>
      </w:pPr>
      <w:bookmarkStart w:id="5" w:name="SL147144"/>
      <w:r>
        <w:t>Domeniu de aplicare</w:t>
      </w:r>
      <w:bookmarkEnd w:id="5"/>
    </w:p>
    <w:p w:rsidR="00504F27" w:rsidRDefault="00504F27">
      <w:pPr>
        <w:pStyle w:val="IASBNormalnpara"/>
        <w:rPr>
          <w:b/>
        </w:rPr>
      </w:pPr>
      <w:r>
        <w:rPr>
          <w:b/>
        </w:rPr>
        <w:t>4</w:t>
      </w:r>
      <w:r>
        <w:tab/>
      </w:r>
      <w:bookmarkStart w:id="6" w:name="SL31522"/>
      <w:r>
        <w:rPr>
          <w:b/>
        </w:rPr>
        <w:t xml:space="preserve">Prezentul standard trebuie aplicat de către toate entităţile, pentru toate tipurile de instrumente financiare, cu excepţia: </w:t>
      </w:r>
      <w:bookmarkEnd w:id="6"/>
    </w:p>
    <w:p w:rsidR="00504F27" w:rsidRDefault="00504F27">
      <w:pPr>
        <w:pStyle w:val="IASBNormalnparaL1"/>
        <w:rPr>
          <w:b/>
        </w:rPr>
      </w:pPr>
      <w:r>
        <w:rPr>
          <w:b/>
        </w:rPr>
        <w:t>(a)</w:t>
      </w:r>
      <w:r>
        <w:tab/>
      </w:r>
      <w:bookmarkStart w:id="7" w:name="SL147147"/>
      <w:r>
        <w:rPr>
          <w:b/>
        </w:rPr>
        <w:t xml:space="preserve">acelor participaţii în filiale, entități asociate sau asocieri în participație contabilizate în conformitate cu IFRS 10 </w:t>
      </w:r>
      <w:r>
        <w:rPr>
          <w:b/>
          <w:i/>
        </w:rPr>
        <w:t>Situații financiare consolidate</w:t>
      </w:r>
      <w:r>
        <w:rPr>
          <w:b/>
        </w:rPr>
        <w:t xml:space="preserve">, IAS 27 </w:t>
      </w:r>
      <w:r>
        <w:rPr>
          <w:b/>
          <w:i/>
        </w:rPr>
        <w:t>Situații financiare individuale</w:t>
      </w:r>
      <w:r>
        <w:rPr>
          <w:b/>
        </w:rPr>
        <w:t xml:space="preserve"> sau IAS 28</w:t>
      </w:r>
      <w:r>
        <w:rPr>
          <w:b/>
          <w:i/>
        </w:rPr>
        <w:t xml:space="preserve"> Investiții în entitățile asociate şi în asocierile în participaţie</w:t>
      </w:r>
      <w:r>
        <w:rPr>
          <w:b/>
        </w:rPr>
        <w:t>. Totuşi, în unele cazuri, IFRS 10, IAS 27 sau IAS 28 impun sau permit unei entităţi să contabilizeze o participaţie într-o filială, entitate asociată sau asociere în participaţie folosind IFRS 9; în aceste cazuri, entităţile trebuie să aplice dispoziţiile prezentului standard. De asemenea, entităţile trebuie să aplice prezentul standard în cazul tuturor instrumentelor financiare derivate aferente participaţiilor în filiale, entităţi asociate sau asocieri în participaţie.</w:t>
      </w:r>
      <w:bookmarkEnd w:id="7"/>
    </w:p>
    <w:p w:rsidR="00504F27" w:rsidRDefault="00504F27">
      <w:pPr>
        <w:pStyle w:val="IASBNormalnparaL1"/>
        <w:rPr>
          <w:b/>
        </w:rPr>
      </w:pPr>
      <w:r>
        <w:rPr>
          <w:b/>
        </w:rPr>
        <w:t>(b)</w:t>
      </w:r>
      <w:bookmarkStart w:id="8" w:name="SL147149"/>
      <w:r w:rsidR="002A0F7F">
        <w:rPr>
          <w:b/>
        </w:rPr>
        <w:tab/>
      </w:r>
      <w:r>
        <w:rPr>
          <w:b/>
        </w:rPr>
        <w:t xml:space="preserve">drepturilor şi obligaţiilor angajatorilor conform planurilor de beneficii ale angajaţilor, la care se aplică IAS 19 </w:t>
      </w:r>
      <w:r>
        <w:rPr>
          <w:b/>
          <w:i/>
        </w:rPr>
        <w:t>Beneficiile angajaţilor</w:t>
      </w:r>
      <w:r>
        <w:rPr>
          <w:b/>
        </w:rPr>
        <w:t>.</w:t>
      </w:r>
      <w:bookmarkEnd w:id="8"/>
    </w:p>
    <w:p w:rsidR="00504F27" w:rsidRDefault="00504F27">
      <w:pPr>
        <w:pStyle w:val="IASBNormalnparaL1"/>
      </w:pPr>
      <w:r>
        <w:rPr>
          <w:b/>
        </w:rPr>
        <w:t>(c)</w:t>
      </w:r>
      <w:bookmarkStart w:id="9" w:name="SL147151"/>
      <w:r w:rsidR="002A0F7F">
        <w:rPr>
          <w:b/>
        </w:rPr>
        <w:tab/>
      </w:r>
      <w:r>
        <w:t>[eliminată]</w:t>
      </w:r>
      <w:bookmarkEnd w:id="9"/>
    </w:p>
    <w:p w:rsidR="00504F27" w:rsidRDefault="00504F27">
      <w:pPr>
        <w:pStyle w:val="IASBNormalnparaL1"/>
        <w:rPr>
          <w:b/>
        </w:rPr>
      </w:pPr>
      <w:r>
        <w:rPr>
          <w:b/>
        </w:rPr>
        <w:t>(d)</w:t>
      </w:r>
      <w:bookmarkStart w:id="10" w:name="SL147153"/>
      <w:r w:rsidR="002A0F7F">
        <w:rPr>
          <w:b/>
        </w:rPr>
        <w:tab/>
      </w:r>
      <w:r>
        <w:rPr>
          <w:b/>
        </w:rPr>
        <w:t xml:space="preserve">contractelor de asigurare, aşa cum sunt definite în IFRS 4 </w:t>
      </w:r>
      <w:r>
        <w:rPr>
          <w:b/>
          <w:i/>
        </w:rPr>
        <w:t>Contracte de asigurare</w:t>
      </w:r>
      <w:r>
        <w:rPr>
          <w:b/>
        </w:rPr>
        <w:t>. Totuşi, prezentul standard se aplică instrumentelor derivate incluse în contractele de asigurare dacă IFRS 9 impune entităţii să le contabilizeze separat. Mai mult, un emitent trebuie să aplice prezentul standard contractelor de garanţie financiară dacă emitentul aplică IFRS 9 pentru recunoaşterea şi evaluarea contractelor, dar trebuie să aplice IFRS 4 dacă emitentul alege, în conformitate cu punctul 4 litera (d) din IFRS 4, să aplice IFRS 4 la recunoaşterea şi evaluarea lor.</w:t>
      </w:r>
      <w:bookmarkEnd w:id="10"/>
    </w:p>
    <w:p w:rsidR="00504F27" w:rsidRDefault="00504F27">
      <w:pPr>
        <w:pStyle w:val="IASBNormalnparaL1"/>
        <w:rPr>
          <w:b/>
        </w:rPr>
      </w:pPr>
      <w:r>
        <w:rPr>
          <w:b/>
        </w:rPr>
        <w:t>(e)</w:t>
      </w:r>
      <w:bookmarkStart w:id="11" w:name="SL147155"/>
      <w:r w:rsidR="002A0F7F">
        <w:rPr>
          <w:b/>
        </w:rPr>
        <w:tab/>
      </w:r>
      <w:r>
        <w:rPr>
          <w:b/>
        </w:rPr>
        <w:t>instrumentelor financiare care intră sub incidenţa IFRS 4, deoarece conțin o caracteristică de participare discreţionară. Emitentul acestor instrumente este scutit de la aplicarea în cazul acestor caracteristici a punctelor 15-32 şi AG25-AG35 din prezentul standard referitoare la distincţia dintre datoriile financiare şi instrumentele de capitaluri proprii. Totuşi, aceste instrumente fac obiectul tuturor celorlalte dispoziţii ale prezentului standard. Mai mult, prezentul standard se aplică instrumentelor derivate încorporate în aceste instrumente (a se vedea IFRS 9).</w:t>
      </w:r>
      <w:bookmarkEnd w:id="11"/>
    </w:p>
    <w:p w:rsidR="00504F27" w:rsidRDefault="00504F27">
      <w:pPr>
        <w:pStyle w:val="IASBNormalnparaL1"/>
        <w:rPr>
          <w:b/>
        </w:rPr>
      </w:pPr>
      <w:r>
        <w:rPr>
          <w:b/>
        </w:rPr>
        <w:t>(f)</w:t>
      </w:r>
      <w:bookmarkStart w:id="12" w:name="SL147157"/>
      <w:r w:rsidR="002A0F7F">
        <w:rPr>
          <w:b/>
        </w:rPr>
        <w:tab/>
      </w:r>
      <w:r>
        <w:rPr>
          <w:b/>
        </w:rPr>
        <w:t xml:space="preserve">instrumentelor financiare, contractelor şi obligaţiilor pentru tranzacţiile cu plata pe bază de acţiuni, pentru care se aplică IFRS 2 </w:t>
      </w:r>
      <w:r>
        <w:rPr>
          <w:b/>
          <w:i/>
        </w:rPr>
        <w:t>Plata pe bază de acţiuni</w:t>
      </w:r>
      <w:r>
        <w:rPr>
          <w:b/>
        </w:rPr>
        <w:t>, cu excepţia:</w:t>
      </w:r>
      <w:bookmarkEnd w:id="12"/>
    </w:p>
    <w:p w:rsidR="00504F27" w:rsidRDefault="00504F27">
      <w:pPr>
        <w:pStyle w:val="IASBNormalnparaL2"/>
        <w:rPr>
          <w:b/>
        </w:rPr>
      </w:pPr>
      <w:r>
        <w:rPr>
          <w:b/>
        </w:rPr>
        <w:t>(i)</w:t>
      </w:r>
      <w:bookmarkStart w:id="13" w:name="SL147160"/>
      <w:r>
        <w:rPr>
          <w:b/>
        </w:rPr>
        <w:t>contractelor care intră sub incidenţa punctelor 8-10 din prezentul standard, la care se aplică prezentul standard,</w:t>
      </w:r>
      <w:bookmarkEnd w:id="13"/>
    </w:p>
    <w:p w:rsidR="00504F27" w:rsidRDefault="00504F27">
      <w:pPr>
        <w:pStyle w:val="IASBNormalnparaL2"/>
        <w:rPr>
          <w:b/>
        </w:rPr>
      </w:pPr>
      <w:r>
        <w:rPr>
          <w:b/>
        </w:rPr>
        <w:t>(ii)</w:t>
      </w:r>
      <w:bookmarkStart w:id="14" w:name="SL147162"/>
      <w:r>
        <w:rPr>
          <w:b/>
        </w:rPr>
        <w:t>punctelor 33 şi 34 din prezentul standard, care trebuie aplicate pentru acţiunile de trezorerie cumpărate, vândute, emise sau anulate în legătură cu planurile de opţiuni pe acţiuni pentru angajaţi, planurile de cumpărare de acţiuni de către angajaţi şi toate celelalte angajamente de plată pe bază de acţiuni.</w:t>
      </w:r>
      <w:bookmarkEnd w:id="14"/>
    </w:p>
    <w:p w:rsidR="00504F27" w:rsidRDefault="00504F27">
      <w:pPr>
        <w:pStyle w:val="IASBNormalnpara"/>
      </w:pPr>
      <w:r>
        <w:t>5-</w:t>
      </w:r>
    </w:p>
    <w:p w:rsidR="00504F27" w:rsidRDefault="00504F27">
      <w:pPr>
        <w:pStyle w:val="IASBNormalnparaC"/>
      </w:pPr>
      <w:r>
        <w:lastRenderedPageBreak/>
        <w:t>7</w:t>
      </w:r>
      <w:r>
        <w:tab/>
      </w:r>
      <w:bookmarkStart w:id="15" w:name="SL31523"/>
      <w:r>
        <w:t>[Eliminate]</w:t>
      </w:r>
      <w:bookmarkEnd w:id="15"/>
    </w:p>
    <w:p w:rsidR="00504F27" w:rsidRDefault="00504F27">
      <w:pPr>
        <w:pStyle w:val="IASBNormalnpara"/>
        <w:rPr>
          <w:b/>
        </w:rPr>
      </w:pPr>
      <w:r>
        <w:rPr>
          <w:b/>
        </w:rPr>
        <w:t>8</w:t>
      </w:r>
      <w:bookmarkStart w:id="16" w:name="SL28554986"/>
      <w:r w:rsidR="002A0F7F">
        <w:rPr>
          <w:b/>
        </w:rPr>
        <w:tab/>
      </w:r>
      <w:r>
        <w:rPr>
          <w:b/>
        </w:rPr>
        <w:t xml:space="preserve">Prezentul standard trebuie aplicat acelor contracte de cumpărare sau de vânzare a unui element nefinanciar care pot fi decontate net în numerar, într-un alt instrument financiar sau prin schimbul de instrumente financiare, ca şi când contractele ar fi instrumente financiare, cu excepţia contractelor încheiate şi menţinute în vigoare în vederea obţinerii sau furnizării unui element nefinanciar, în conformitate cu dispoziţiile preconizate de cumpărare, vânzare sau utilizare ale entităţii. Cu toate acestea, prezentul standard trebuie aplicat în cazul acelor contracte pe care entitatea le desemnează ca fiind evaluate la valoarea justă prin profit sau pierdere, în conformitate cu punctul 2.5 din IFRS 9 </w:t>
      </w:r>
      <w:r>
        <w:rPr>
          <w:b/>
          <w:i/>
        </w:rPr>
        <w:t>Instrumente financiare</w:t>
      </w:r>
      <w:r>
        <w:rPr>
          <w:b/>
        </w:rPr>
        <w:t>.</w:t>
      </w:r>
      <w:bookmarkEnd w:id="16"/>
    </w:p>
    <w:p w:rsidR="00504F27" w:rsidRDefault="00504F27">
      <w:pPr>
        <w:pStyle w:val="IASBNormalnpara"/>
      </w:pPr>
      <w:r>
        <w:t>9</w:t>
      </w:r>
      <w:r>
        <w:tab/>
      </w:r>
      <w:bookmarkStart w:id="17" w:name="SL31527"/>
      <w:r>
        <w:t xml:space="preserve">Există diferite moduri în care un contract de cumpărare sau de vânzare a unui element nefinanciar poate fi decontat net în numerar, într-un alt instrument financiar sau prin schimbul de instrumente financiare. Acestea sunt: </w:t>
      </w:r>
      <w:bookmarkEnd w:id="17"/>
    </w:p>
    <w:p w:rsidR="00504F27" w:rsidRDefault="00504F27">
      <w:pPr>
        <w:pStyle w:val="IASBNormalnparaL1"/>
      </w:pPr>
      <w:r>
        <w:t>(a)</w:t>
      </w:r>
      <w:r>
        <w:tab/>
      </w:r>
      <w:bookmarkStart w:id="18" w:name="SL147165"/>
      <w:r>
        <w:t>atunci când termenele unui contract permit oricărei părţi să îl deconteze net în numerar, într-un alt instrument financiar sau prin schimbul de instrumente financiare;</w:t>
      </w:r>
      <w:bookmarkEnd w:id="18"/>
    </w:p>
    <w:p w:rsidR="00504F27" w:rsidRDefault="00504F27">
      <w:pPr>
        <w:pStyle w:val="IASBNormalnparaL1"/>
      </w:pPr>
      <w:r>
        <w:t>(b)</w:t>
      </w:r>
      <w:r>
        <w:tab/>
      </w:r>
      <w:bookmarkStart w:id="19" w:name="SL147167"/>
      <w:r>
        <w:t>atunci când capacitatea de decontare netă în numerar, într-un alt instrument financiar sau prin schimbul de instrumente financiare nu este explicită în termenele contractului, dar entitatea are experienţa decontării unor contracte similare net în numerar, într-un alt instrument financiar sau prin schimbul de instrumente financiare (fie împreună cu partenerul, fie prin încheierea unor contracte de compensare, fie prin vânzarea contractului înainte de exercitarea sau expirarea lui);</w:t>
      </w:r>
      <w:bookmarkEnd w:id="19"/>
    </w:p>
    <w:p w:rsidR="00504F27" w:rsidRDefault="00504F27">
      <w:pPr>
        <w:pStyle w:val="IASBNormalnparaL1"/>
      </w:pPr>
      <w:r>
        <w:t>(c)</w:t>
      </w:r>
      <w:r>
        <w:tab/>
      </w:r>
      <w:bookmarkStart w:id="20" w:name="SL147169"/>
      <w:r>
        <w:t>atunci când, pentru contracte similare, entitatea are o practică de acceptare a livrării activului-suport şi de vânzare a acestuia la scurt timp după livrare, în scopul generării unui profit din fluctuaţiile preţului pe termen scurt sau a marjei dealerului; și</w:t>
      </w:r>
      <w:bookmarkEnd w:id="20"/>
    </w:p>
    <w:p w:rsidR="00504F27" w:rsidRDefault="00504F27">
      <w:pPr>
        <w:pStyle w:val="IASBNormalnparaL1"/>
      </w:pPr>
      <w:r>
        <w:t>(d)</w:t>
      </w:r>
      <w:r>
        <w:tab/>
      </w:r>
      <w:bookmarkStart w:id="21" w:name="SL147171"/>
      <w:r>
        <w:t>atunci când elementul nefinanciar care face obiectul contractului poate fi convertit fără dificultate în numerar.</w:t>
      </w:r>
      <w:bookmarkEnd w:id="21"/>
    </w:p>
    <w:p w:rsidR="00504F27" w:rsidRDefault="00504F27">
      <w:pPr>
        <w:pStyle w:val="IASBNormalnparaP"/>
      </w:pPr>
      <w:bookmarkStart w:id="22" w:name="SL147172"/>
      <w:r>
        <w:t>Un contract căruia i se aplică litera (b) sau litera (c) nu este încheiat în scopul primirii sau livrării unui element nefinanciar în conformitate cu dispoziţiile preconizate de cumpărare, vânzare sau utilizare ale entităţii şi, în consecinţă, intră sub incidenţa prezentului standard. Alte contracte pentru care se aplică punctul 8 sunt evaluate pentru a se determina dacă au fost încheiate şi sunt menţinute în vigoare în scopul primirii sau livrării unui element nefinanciar în conformitate cu dispoziţiile preconizate de cumpărare, vânzare sau utilizare ale entităţii şi, în consecinţă, pentru a se determina dacă intră sub incidenţa prezentului standard.</w:t>
      </w:r>
      <w:bookmarkEnd w:id="22"/>
    </w:p>
    <w:p w:rsidR="00504F27" w:rsidRDefault="00504F27">
      <w:pPr>
        <w:pStyle w:val="IASBNormalnpara"/>
      </w:pPr>
      <w:r>
        <w:t>10</w:t>
      </w:r>
      <w:r>
        <w:tab/>
      </w:r>
      <w:bookmarkStart w:id="23" w:name="SL31528"/>
      <w:r>
        <w:t xml:space="preserve">O opţiune emisă de cumpărare sau de vânzare a unui element nefinanciar care poate fi decontată net în numerar, într-un alt instrument financiar sau prin schimbul unor instrumente financiare, în conformitate cu punctul 9 litera (a) sau litera (d), intră sub incidenţa prezentului standard. Un astfel de contract nu poate fi încheiat în scopul primirii sau livrării elementului nefinanciar în conformitate cu dispoziţiile de cumpărare, vânzare sau utilizare preconizate ale entității. </w:t>
      </w:r>
      <w:bookmarkEnd w:id="23"/>
    </w:p>
    <w:p w:rsidR="00504F27" w:rsidRDefault="00504F27">
      <w:pPr>
        <w:pStyle w:val="IASBSectionTitle1NonInd"/>
      </w:pPr>
      <w:bookmarkStart w:id="24" w:name="SL147173"/>
      <w:r>
        <w:t>Definiţii (a se vedea şi punctele AG3-AG23)</w:t>
      </w:r>
      <w:bookmarkEnd w:id="24"/>
    </w:p>
    <w:p w:rsidR="00504F27" w:rsidRDefault="00504F27">
      <w:pPr>
        <w:pStyle w:val="IASBNormalnpara"/>
        <w:rPr>
          <w:b/>
        </w:rPr>
      </w:pPr>
      <w:r>
        <w:rPr>
          <w:b/>
        </w:rPr>
        <w:t>11</w:t>
      </w:r>
      <w:bookmarkStart w:id="25" w:name="SL37522959"/>
      <w:r w:rsidR="002A0F7F">
        <w:rPr>
          <w:b/>
        </w:rPr>
        <w:tab/>
      </w:r>
      <w:r>
        <w:rPr>
          <w:b/>
        </w:rPr>
        <w:t xml:space="preserve">Următorii termeni sunt utilizaţi în prezentul standard cu înţelesul specificat în continuare: </w:t>
      </w:r>
      <w:bookmarkEnd w:id="25"/>
    </w:p>
    <w:p w:rsidR="00504F27" w:rsidRDefault="00504F27">
      <w:pPr>
        <w:pStyle w:val="IASBNormalnparaP"/>
      </w:pPr>
      <w:bookmarkStart w:id="26" w:name="SL37522960"/>
      <w:r>
        <w:rPr>
          <w:b/>
        </w:rPr>
        <w:t xml:space="preserve">Un </w:t>
      </w:r>
      <w:r>
        <w:rPr>
          <w:b/>
          <w:i/>
        </w:rPr>
        <w:t>instrument financiar</w:t>
      </w:r>
      <w:r>
        <w:rPr>
          <w:b/>
        </w:rPr>
        <w:t xml:space="preserve"> este orice contract care generează simultan un activ financiar al unei entităţi şi o datorie financiară sau un instrument de capitaluri proprii al unei alte entităţi. </w:t>
      </w:r>
      <w:bookmarkEnd w:id="26"/>
    </w:p>
    <w:p w:rsidR="00504F27" w:rsidRDefault="00504F27">
      <w:pPr>
        <w:pStyle w:val="IASBNormalnparaP"/>
      </w:pPr>
      <w:bookmarkStart w:id="27" w:name="SL37522973"/>
      <w:r>
        <w:rPr>
          <w:b/>
        </w:rPr>
        <w:t xml:space="preserve">Un </w:t>
      </w:r>
      <w:r>
        <w:rPr>
          <w:b/>
          <w:i/>
        </w:rPr>
        <w:t>activ financiar</w:t>
      </w:r>
      <w:r>
        <w:rPr>
          <w:b/>
        </w:rPr>
        <w:t xml:space="preserve"> reprezintă orice activ care este:</w:t>
      </w:r>
      <w:bookmarkEnd w:id="27"/>
    </w:p>
    <w:p w:rsidR="00504F27" w:rsidRDefault="00504F27">
      <w:pPr>
        <w:pStyle w:val="IASBNormalnparaL1"/>
      </w:pPr>
      <w:r>
        <w:rPr>
          <w:b/>
        </w:rPr>
        <w:t>(a)</w:t>
      </w:r>
      <w:bookmarkStart w:id="28" w:name="SL37522981"/>
      <w:r w:rsidR="002A0F7F">
        <w:rPr>
          <w:b/>
        </w:rPr>
        <w:tab/>
      </w:r>
      <w:r>
        <w:rPr>
          <w:b/>
        </w:rPr>
        <w:t>numerar;</w:t>
      </w:r>
      <w:bookmarkEnd w:id="28"/>
    </w:p>
    <w:p w:rsidR="00504F27" w:rsidRDefault="00504F27">
      <w:pPr>
        <w:pStyle w:val="IASBNormalnparaL1"/>
      </w:pPr>
      <w:r>
        <w:rPr>
          <w:b/>
        </w:rPr>
        <w:t>(b)</w:t>
      </w:r>
      <w:bookmarkStart w:id="29" w:name="SL37522986"/>
      <w:r w:rsidR="002A0F7F">
        <w:rPr>
          <w:b/>
        </w:rPr>
        <w:tab/>
      </w:r>
      <w:r>
        <w:rPr>
          <w:b/>
        </w:rPr>
        <w:t>un instrument de capitaluri proprii al unei alte entităţi;</w:t>
      </w:r>
      <w:bookmarkEnd w:id="29"/>
    </w:p>
    <w:p w:rsidR="00504F27" w:rsidRDefault="00504F27">
      <w:pPr>
        <w:pStyle w:val="IASBNormalnparaL1"/>
      </w:pPr>
      <w:r>
        <w:rPr>
          <w:b/>
        </w:rPr>
        <w:t>(c)</w:t>
      </w:r>
      <w:bookmarkStart w:id="30" w:name="SL37522990"/>
      <w:r w:rsidR="002A0F7F">
        <w:rPr>
          <w:b/>
        </w:rPr>
        <w:tab/>
      </w:r>
      <w:r>
        <w:rPr>
          <w:b/>
        </w:rPr>
        <w:t>un drept contractual:</w:t>
      </w:r>
      <w:bookmarkEnd w:id="30"/>
    </w:p>
    <w:p w:rsidR="00504F27" w:rsidRDefault="00504F27">
      <w:pPr>
        <w:pStyle w:val="IASBNormalnparaL2"/>
      </w:pPr>
      <w:r>
        <w:rPr>
          <w:b/>
        </w:rPr>
        <w:t>(i)</w:t>
      </w:r>
      <w:bookmarkStart w:id="31" w:name="SL37522997"/>
      <w:r w:rsidR="002A0F7F">
        <w:rPr>
          <w:b/>
        </w:rPr>
        <w:tab/>
      </w:r>
      <w:r>
        <w:rPr>
          <w:b/>
        </w:rPr>
        <w:t>de a primi numerar sau un alt activ financiar de la o altă entitate; sau</w:t>
      </w:r>
      <w:bookmarkEnd w:id="31"/>
    </w:p>
    <w:p w:rsidR="00504F27" w:rsidRDefault="00504F27">
      <w:pPr>
        <w:pStyle w:val="IASBNormalnparaL2"/>
      </w:pPr>
      <w:r>
        <w:rPr>
          <w:b/>
        </w:rPr>
        <w:t>(ii)</w:t>
      </w:r>
      <w:bookmarkStart w:id="32" w:name="SL37523002"/>
      <w:r w:rsidR="002A0F7F">
        <w:rPr>
          <w:b/>
        </w:rPr>
        <w:tab/>
      </w:r>
      <w:r>
        <w:rPr>
          <w:b/>
        </w:rPr>
        <w:t>de a schimba active financiare sau datorii financiare cu o altă entitate în condiţii care sunt potenţial favorabile entităţii; sau</w:t>
      </w:r>
      <w:bookmarkEnd w:id="32"/>
    </w:p>
    <w:p w:rsidR="00504F27" w:rsidRDefault="00504F27">
      <w:pPr>
        <w:pStyle w:val="IASBNormalnparaL1"/>
      </w:pPr>
      <w:r>
        <w:rPr>
          <w:b/>
        </w:rPr>
        <w:t>(d)</w:t>
      </w:r>
      <w:bookmarkStart w:id="33" w:name="SL37523009"/>
      <w:r w:rsidR="002A0F7F">
        <w:rPr>
          <w:b/>
        </w:rPr>
        <w:tab/>
      </w:r>
      <w:r>
        <w:rPr>
          <w:b/>
        </w:rPr>
        <w:t>un contract care va fi sau poate fi decontat în propriile instrumente de capitaluri proprii ale entităţii şi este:</w:t>
      </w:r>
      <w:bookmarkEnd w:id="33"/>
    </w:p>
    <w:p w:rsidR="00504F27" w:rsidRDefault="00504F27">
      <w:pPr>
        <w:pStyle w:val="IASBNormalnparaL2"/>
      </w:pPr>
      <w:r>
        <w:rPr>
          <w:b/>
        </w:rPr>
        <w:t>(i)</w:t>
      </w:r>
      <w:bookmarkStart w:id="34" w:name="SL37523017"/>
      <w:r w:rsidR="002A0F7F">
        <w:rPr>
          <w:b/>
        </w:rPr>
        <w:tab/>
      </w:r>
      <w:r>
        <w:rPr>
          <w:b/>
        </w:rPr>
        <w:t>un instrument nederivat pentru care entitatea este sau poate fi obligată să primească un număr variabil din propriile instrumente de capitaluri proprii; sau</w:t>
      </w:r>
      <w:bookmarkEnd w:id="34"/>
    </w:p>
    <w:p w:rsidR="00504F27" w:rsidRDefault="00504F27">
      <w:pPr>
        <w:pStyle w:val="IASBNormalnparaL2"/>
      </w:pPr>
      <w:r>
        <w:rPr>
          <w:b/>
        </w:rPr>
        <w:lastRenderedPageBreak/>
        <w:t>(ii)</w:t>
      </w:r>
      <w:bookmarkStart w:id="35" w:name="SL37523020"/>
      <w:r w:rsidR="002A0F7F">
        <w:rPr>
          <w:b/>
        </w:rPr>
        <w:tab/>
      </w:r>
      <w:r>
        <w:rPr>
          <w:b/>
        </w:rPr>
        <w:t>un instrument derivat care va fi sau poate fi decontat altfel decât prin schimbul unei sume fixe de numerar sau al unui alt activ financiar cu un număr fix din propriile instrumente de capitaluri proprii ale entităţii. În acest scop, propriile instrumente de capitaluri proprii ale entităţii nu cuprind instrumentele financiare care pot fi lichidate de deţinător înainte de scadenţă clasificate drept instrumente de capitaluri proprii în conformitate cu punctele 16A şi 16B, instrumentele care impun entităţii o obligaţie de a livra unei alte entități o parte proporţională din activele nete ale entităţii numai la lichidare şi care sunt clasificate drept instrumente de capitaluri proprii în conformitate cu punctele 16C şi 16D sau instrumentele care reprezintă contracte pentru primirea sau furnizarea viitoare de instrumente de capitaluri proprii ale entităţii.</w:t>
      </w:r>
      <w:bookmarkEnd w:id="35"/>
    </w:p>
    <w:p w:rsidR="00504F27" w:rsidRDefault="00504F27">
      <w:pPr>
        <w:pStyle w:val="IASBNormalnparaP"/>
      </w:pPr>
      <w:bookmarkStart w:id="36" w:name="SL37523036"/>
      <w:r>
        <w:rPr>
          <w:b/>
        </w:rPr>
        <w:t xml:space="preserve">O </w:t>
      </w:r>
      <w:r>
        <w:rPr>
          <w:b/>
          <w:i/>
        </w:rPr>
        <w:t>datorie financiară</w:t>
      </w:r>
      <w:r>
        <w:rPr>
          <w:b/>
        </w:rPr>
        <w:t xml:space="preserve"> este orice datorie care reprezintă:</w:t>
      </w:r>
      <w:bookmarkEnd w:id="36"/>
    </w:p>
    <w:p w:rsidR="00504F27" w:rsidRDefault="00504F27">
      <w:pPr>
        <w:pStyle w:val="IASBNormalnparaL1"/>
      </w:pPr>
      <w:r>
        <w:rPr>
          <w:b/>
        </w:rPr>
        <w:t>(a)</w:t>
      </w:r>
      <w:bookmarkStart w:id="37" w:name="SL37523044"/>
      <w:r w:rsidR="002A0F7F">
        <w:rPr>
          <w:b/>
        </w:rPr>
        <w:tab/>
      </w:r>
      <w:r>
        <w:rPr>
          <w:b/>
        </w:rPr>
        <w:t>o obligaţie contractuală:</w:t>
      </w:r>
      <w:bookmarkEnd w:id="37"/>
    </w:p>
    <w:p w:rsidR="00504F27" w:rsidRDefault="00504F27">
      <w:pPr>
        <w:pStyle w:val="IASBNormalnparaL2"/>
      </w:pPr>
      <w:r>
        <w:rPr>
          <w:b/>
        </w:rPr>
        <w:t>(i)</w:t>
      </w:r>
      <w:bookmarkStart w:id="38" w:name="SL37523051"/>
      <w:r>
        <w:rPr>
          <w:b/>
        </w:rPr>
        <w:t>de a livra numerar sau un alt activ financiar unei alte entităţi;</w:t>
      </w:r>
      <w:r>
        <w:t xml:space="preserve"> </w:t>
      </w:r>
      <w:r>
        <w:rPr>
          <w:b/>
        </w:rPr>
        <w:t>sau</w:t>
      </w:r>
      <w:bookmarkEnd w:id="38"/>
    </w:p>
    <w:p w:rsidR="00504F27" w:rsidRDefault="00504F27">
      <w:pPr>
        <w:pStyle w:val="IASBNormalnparaL2"/>
      </w:pPr>
      <w:r>
        <w:rPr>
          <w:b/>
        </w:rPr>
        <w:t>(ii)</w:t>
      </w:r>
      <w:bookmarkStart w:id="39" w:name="SL37523066"/>
      <w:r>
        <w:rPr>
          <w:b/>
        </w:rPr>
        <w:t>de a schimba active financiare sau datorii financiare cu o altă entitate în condiţii care sunt potenţial nefavorabile entităţii; sau</w:t>
      </w:r>
      <w:bookmarkEnd w:id="39"/>
    </w:p>
    <w:p w:rsidR="00504F27" w:rsidRDefault="00504F27">
      <w:pPr>
        <w:pStyle w:val="IASBNormalnparaL1"/>
      </w:pPr>
      <w:r>
        <w:rPr>
          <w:b/>
        </w:rPr>
        <w:t>(b)</w:t>
      </w:r>
      <w:bookmarkStart w:id="40" w:name="SL37523075"/>
      <w:r w:rsidR="002A0F7F">
        <w:rPr>
          <w:b/>
        </w:rPr>
        <w:tab/>
      </w:r>
      <w:r>
        <w:rPr>
          <w:b/>
        </w:rPr>
        <w:t>un contract care va fi sau poate fi decontat în propriile instrumente de capitaluri proprii ale entităţii şi este:</w:t>
      </w:r>
      <w:bookmarkEnd w:id="40"/>
    </w:p>
    <w:p w:rsidR="00504F27" w:rsidRDefault="00504F27">
      <w:pPr>
        <w:pStyle w:val="IASBNormalnparaL2"/>
      </w:pPr>
      <w:r>
        <w:rPr>
          <w:b/>
        </w:rPr>
        <w:t>(i)</w:t>
      </w:r>
      <w:bookmarkStart w:id="41" w:name="SL37523080"/>
      <w:r w:rsidR="002A0F7F">
        <w:rPr>
          <w:b/>
        </w:rPr>
        <w:tab/>
      </w:r>
      <w:r>
        <w:rPr>
          <w:b/>
        </w:rPr>
        <w:t>un instrument nederivat pentru care entitatea este sau poate fi obligată să livreze un număr variabil din propriile instrumente de capitaluri proprii; sau</w:t>
      </w:r>
      <w:bookmarkEnd w:id="41"/>
    </w:p>
    <w:p w:rsidR="00504F27" w:rsidRDefault="00504F27">
      <w:pPr>
        <w:pStyle w:val="IASBNormalnparaL2"/>
      </w:pPr>
      <w:r>
        <w:rPr>
          <w:b/>
        </w:rPr>
        <w:t>(ii)</w:t>
      </w:r>
      <w:bookmarkStart w:id="42" w:name="SL37523083"/>
      <w:r w:rsidR="002A0F7F">
        <w:rPr>
          <w:b/>
        </w:rPr>
        <w:tab/>
      </w:r>
      <w:r>
        <w:rPr>
          <w:b/>
        </w:rPr>
        <w:t>un instrument derivat care va fi sau poate fi decontat altfel decât prin schimbul unei sume fixe de numerar sau al unui alt activ financiar cu un număr fix din propriile instrumente de capitaluri proprii ale entităţii. În acest sens, drepturile, opţiunile sau warantele pentru dobândirea unui număr fix din propriile instrumente de capitaluri proprii ale entităţii în schimbul unei sume fixe în orice monedă reprezintă instrumente de capitaluri proprii dacă entitatea oferă drepturile, opţiunile sau warantele proporţional tuturor proprietarilor existenţi de instrumente nederivate de capitaluri proprii din aceeaşi categorie.</w:t>
      </w:r>
      <w:r>
        <w:t xml:space="preserve"> </w:t>
      </w:r>
      <w:r>
        <w:rPr>
          <w:b/>
        </w:rPr>
        <w:t>De asemenea, în acest scop, propriile instrumente de capitaluri proprii ale entităţii nu cuprind instrumentele financiare care pot fi lichidate de deţinător înainte de scadenţă clasificate drept instrumente de capitaluri proprii în conformitate cu punctele 16A şi 16B, instrumentele care impun entităţii o obligaţie de a livra unei alte entități o parte proporţională din activele nete ale entităţii numai la lichidare şi care sunt clasificate drept instrumente de capitaluri proprii în conformitate cu punctele 16C şi 16D sau instrumentele care reprezintă contracte pentru primirea sau furnizarea viitoare de instrumente de capitaluri proprii ale entităţii.</w:t>
      </w:r>
      <w:bookmarkEnd w:id="42"/>
    </w:p>
    <w:p w:rsidR="00504F27" w:rsidRDefault="00504F27">
      <w:pPr>
        <w:pStyle w:val="IASBNormalnparaL1P"/>
      </w:pPr>
      <w:bookmarkStart w:id="43" w:name="F37523104"/>
      <w:r>
        <w:rPr>
          <w:b/>
        </w:rPr>
        <w:t>Ca excepţie, un instrument care corespunde definiţiei unei datorii financiare este clasificat drept instrument de capitaluri proprii dacă are toate caracteristicile şi îndeplineşte toate condiţiile de la punctele 16A şi 16B sau de la punctele 16C şi 16D.</w:t>
      </w:r>
      <w:bookmarkEnd w:id="43"/>
    </w:p>
    <w:p w:rsidR="00504F27" w:rsidRDefault="00504F27">
      <w:pPr>
        <w:pStyle w:val="IASBNormalnparaP"/>
      </w:pPr>
      <w:bookmarkStart w:id="44" w:name="SL37523115"/>
      <w:r>
        <w:rPr>
          <w:b/>
        </w:rPr>
        <w:t xml:space="preserve">Un </w:t>
      </w:r>
      <w:r>
        <w:rPr>
          <w:b/>
          <w:i/>
        </w:rPr>
        <w:t>instrument de capitaluri proprii</w:t>
      </w:r>
      <w:r>
        <w:rPr>
          <w:b/>
        </w:rPr>
        <w:t xml:space="preserve"> este orice contract care certifică existenţa unui interes rezidual în activele entităţii după deducerea tuturor datoriilor sale.</w:t>
      </w:r>
      <w:bookmarkEnd w:id="44"/>
    </w:p>
    <w:p w:rsidR="00504F27" w:rsidRDefault="00504F27">
      <w:pPr>
        <w:pStyle w:val="IASBNormalnparaP"/>
      </w:pPr>
      <w:bookmarkStart w:id="45" w:name="SL37523131"/>
      <w:r>
        <w:rPr>
          <w:b/>
          <w:i/>
        </w:rPr>
        <w:t>Valoarea justă</w:t>
      </w:r>
      <w:r>
        <w:t xml:space="preserve"> </w:t>
      </w:r>
      <w:r>
        <w:rPr>
          <w:b/>
        </w:rPr>
        <w:t xml:space="preserve">reprezintă preţul care ar fi încasat pentru vânzarea unui activ sau plătit pentru transferul unei datorii într-o tranzacţie reglementată între participanţii de pe piaţă, la data evaluării. (A se vedea IFRS 13 </w:t>
      </w:r>
      <w:r>
        <w:rPr>
          <w:b/>
          <w:i/>
        </w:rPr>
        <w:t>Evaluarea la valoarea justă</w:t>
      </w:r>
      <w:r>
        <w:rPr>
          <w:b/>
        </w:rPr>
        <w:t>.)</w:t>
      </w:r>
      <w:bookmarkEnd w:id="45"/>
    </w:p>
    <w:p w:rsidR="00504F27" w:rsidRDefault="00504F27">
      <w:pPr>
        <w:pStyle w:val="IASBNormalnparaP"/>
      </w:pPr>
      <w:bookmarkStart w:id="46" w:name="F37523136"/>
      <w:r>
        <w:rPr>
          <w:b/>
        </w:rPr>
        <w:t xml:space="preserve">Un </w:t>
      </w:r>
      <w:r>
        <w:rPr>
          <w:b/>
          <w:i/>
        </w:rPr>
        <w:t>instrument care poate fi lichidat de deţinător înainte de scadenţă</w:t>
      </w:r>
      <w:r>
        <w:rPr>
          <w:b/>
        </w:rPr>
        <w:t xml:space="preserve"> este un instrument financiar care îi dă deţinătorului dreptul de a înapoia instrumentul emitentului în schimbul numerarului sau al unui alt activ financiar sau este înapoiat automat emitentului la producerea unui eveniment viitor incert sau a decesului sau pensionării deţinătorului instrumentului.</w:t>
      </w:r>
      <w:bookmarkEnd w:id="46"/>
    </w:p>
    <w:p w:rsidR="00504F27" w:rsidRDefault="00504F27">
      <w:pPr>
        <w:pStyle w:val="IASBNormalnpara"/>
      </w:pPr>
      <w:r>
        <w:t>12</w:t>
      </w:r>
      <w:r>
        <w:tab/>
      </w:r>
      <w:bookmarkStart w:id="47" w:name="SL19040442"/>
      <w:r>
        <w:t xml:space="preserve">Următorii termeni sunt definiţi în Anexa A din IFRS 9 sau la punctul 9 din IAS 39 </w:t>
      </w:r>
      <w:r>
        <w:rPr>
          <w:i/>
        </w:rPr>
        <w:t>Instrumente financiare: recunoaştere şi evaluare</w:t>
      </w:r>
      <w:r>
        <w:t xml:space="preserve"> şi sunt utilizaţi în prezentul standard cu înţelesul specificat în IAS 39 şi în IFRS 9. </w:t>
      </w:r>
      <w:bookmarkEnd w:id="47"/>
    </w:p>
    <w:p w:rsidR="00504F27" w:rsidRDefault="00504F27">
      <w:pPr>
        <w:pStyle w:val="IASBNormalnparaL1"/>
      </w:pPr>
      <w:r>
        <w:t>•</w:t>
      </w:r>
      <w:r>
        <w:tab/>
      </w:r>
      <w:bookmarkStart w:id="48" w:name="SL19040449"/>
      <w:r>
        <w:t>costul amortizat al unui activ financiar sau al unei datorii financiare</w:t>
      </w:r>
      <w:bookmarkEnd w:id="48"/>
    </w:p>
    <w:p w:rsidR="00504F27" w:rsidRDefault="00504F27">
      <w:pPr>
        <w:pStyle w:val="IASBNormalnparaL1"/>
      </w:pPr>
      <w:r>
        <w:t>•</w:t>
      </w:r>
      <w:r>
        <w:tab/>
      </w:r>
      <w:bookmarkStart w:id="49" w:name="SL19040452"/>
      <w:r>
        <w:t>derecunoaştere</w:t>
      </w:r>
      <w:bookmarkEnd w:id="49"/>
    </w:p>
    <w:p w:rsidR="00504F27" w:rsidRDefault="00504F27">
      <w:pPr>
        <w:pStyle w:val="IASBNormalnparaL1"/>
      </w:pPr>
      <w:r>
        <w:t>•</w:t>
      </w:r>
      <w:r>
        <w:tab/>
      </w:r>
      <w:bookmarkStart w:id="50" w:name="SL19040456"/>
      <w:r>
        <w:t>instrument derivat</w:t>
      </w:r>
      <w:bookmarkEnd w:id="50"/>
    </w:p>
    <w:p w:rsidR="00504F27" w:rsidRDefault="00504F27">
      <w:pPr>
        <w:pStyle w:val="IASBNormalnparaL1"/>
      </w:pPr>
      <w:r>
        <w:t>•</w:t>
      </w:r>
      <w:r>
        <w:tab/>
      </w:r>
      <w:bookmarkStart w:id="51" w:name="SL19040460"/>
      <w:r>
        <w:t>metoda dobânzii efective</w:t>
      </w:r>
      <w:bookmarkEnd w:id="51"/>
    </w:p>
    <w:p w:rsidR="00504F27" w:rsidRDefault="00504F27">
      <w:pPr>
        <w:pStyle w:val="IASBNormalnparaL1"/>
      </w:pPr>
      <w:r>
        <w:t>•</w:t>
      </w:r>
      <w:r>
        <w:tab/>
      </w:r>
      <w:bookmarkStart w:id="52" w:name="SL19040463"/>
      <w:r>
        <w:t>contract de garanţie financiară</w:t>
      </w:r>
      <w:bookmarkEnd w:id="52"/>
    </w:p>
    <w:p w:rsidR="00504F27" w:rsidRDefault="00504F27">
      <w:pPr>
        <w:pStyle w:val="IASBNormalnparaL1"/>
      </w:pPr>
      <w:r>
        <w:lastRenderedPageBreak/>
        <w:t>•</w:t>
      </w:r>
      <w:r>
        <w:tab/>
      </w:r>
      <w:bookmarkStart w:id="53" w:name="SL19040467"/>
      <w:r>
        <w:t>datorie financiară la valoarea justă prin profit sau pierdere</w:t>
      </w:r>
      <w:bookmarkEnd w:id="53"/>
    </w:p>
    <w:p w:rsidR="00504F27" w:rsidRDefault="00504F27">
      <w:pPr>
        <w:pStyle w:val="IASBNormalnparaL1"/>
      </w:pPr>
      <w:r>
        <w:t>•</w:t>
      </w:r>
      <w:r>
        <w:tab/>
      </w:r>
      <w:bookmarkStart w:id="54" w:name="SL19040471"/>
      <w:r>
        <w:t>angajament ferm</w:t>
      </w:r>
      <w:bookmarkEnd w:id="54"/>
    </w:p>
    <w:p w:rsidR="00504F27" w:rsidRDefault="00504F27">
      <w:pPr>
        <w:pStyle w:val="IASBNormalnparaL1"/>
      </w:pPr>
      <w:r>
        <w:t>•</w:t>
      </w:r>
      <w:r>
        <w:tab/>
      </w:r>
      <w:bookmarkStart w:id="55" w:name="SL19040474"/>
      <w:r>
        <w:t>tranzacţie prognozată</w:t>
      </w:r>
      <w:bookmarkEnd w:id="55"/>
    </w:p>
    <w:p w:rsidR="00504F27" w:rsidRDefault="00504F27">
      <w:pPr>
        <w:pStyle w:val="IASBNormalnparaL1"/>
      </w:pPr>
      <w:r>
        <w:t>•</w:t>
      </w:r>
      <w:r>
        <w:tab/>
      </w:r>
      <w:bookmarkStart w:id="56" w:name="SL19040477"/>
      <w:r>
        <w:t>eficacitatea acoperirii împotriva riscurilor</w:t>
      </w:r>
      <w:bookmarkEnd w:id="56"/>
    </w:p>
    <w:p w:rsidR="00504F27" w:rsidRDefault="00504F27">
      <w:pPr>
        <w:pStyle w:val="IASBNormalnparaL1"/>
      </w:pPr>
      <w:r>
        <w:t>•</w:t>
      </w:r>
      <w:r>
        <w:tab/>
      </w:r>
      <w:bookmarkStart w:id="57" w:name="SL19040480"/>
      <w:r>
        <w:t>element acoperit împotriva riscurilor</w:t>
      </w:r>
      <w:bookmarkEnd w:id="57"/>
    </w:p>
    <w:p w:rsidR="00504F27" w:rsidRDefault="00504F27">
      <w:pPr>
        <w:pStyle w:val="IASBNormalnparaL1"/>
      </w:pPr>
      <w:r>
        <w:t>•</w:t>
      </w:r>
      <w:r>
        <w:tab/>
      </w:r>
      <w:bookmarkStart w:id="58" w:name="SL19040483"/>
      <w:r>
        <w:t>instrument de acoperire împotriva riscurilor</w:t>
      </w:r>
      <w:bookmarkEnd w:id="58"/>
    </w:p>
    <w:p w:rsidR="00504F27" w:rsidRDefault="00504F27">
      <w:pPr>
        <w:pStyle w:val="IASBNormalnparaL1"/>
      </w:pPr>
      <w:r>
        <w:t>•</w:t>
      </w:r>
      <w:r>
        <w:tab/>
      </w:r>
      <w:bookmarkStart w:id="59" w:name="SL19040487"/>
      <w:r>
        <w:t>deţinut în vederea tranzacţionării</w:t>
      </w:r>
      <w:bookmarkEnd w:id="59"/>
    </w:p>
    <w:p w:rsidR="00504F27" w:rsidRDefault="00504F27">
      <w:pPr>
        <w:pStyle w:val="IASBNormalnparaL1"/>
      </w:pPr>
      <w:r>
        <w:t>•</w:t>
      </w:r>
      <w:r>
        <w:tab/>
      </w:r>
      <w:bookmarkStart w:id="60" w:name="SL19040490"/>
      <w:r>
        <w:t>cumpărare sau vânzare standard</w:t>
      </w:r>
      <w:bookmarkEnd w:id="60"/>
    </w:p>
    <w:p w:rsidR="00504F27" w:rsidRDefault="00504F27">
      <w:pPr>
        <w:pStyle w:val="IASBNormalnparaL1"/>
      </w:pPr>
      <w:r>
        <w:t>•</w:t>
      </w:r>
      <w:r>
        <w:tab/>
      </w:r>
      <w:bookmarkStart w:id="61" w:name="SL19040493"/>
      <w:r>
        <w:t>costurile tranzacţiei.</w:t>
      </w:r>
      <w:bookmarkEnd w:id="61"/>
    </w:p>
    <w:p w:rsidR="00504F27" w:rsidRDefault="00504F27">
      <w:pPr>
        <w:pStyle w:val="IASBNormalnpara"/>
      </w:pPr>
      <w:r>
        <w:t>13</w:t>
      </w:r>
      <w:r>
        <w:tab/>
      </w:r>
      <w:bookmarkStart w:id="62" w:name="SL31531"/>
      <w:r>
        <w:t>În prezentul standard, „contract” şi „contractual” se referă la un acord între două sau mai multe părţi care are consecinţe economice clare, pe care părţile au posibilitatea redusă sau nu au deloc posibilitatea de a le evita, de obicei din cauza faptului că acordul are titlu executoriu. Contractele, şi prin urmare instrumentele financiare, pot lua diverse forme şi nu este obligatoriu să fie sub formă scrisă.</w:t>
      </w:r>
      <w:bookmarkEnd w:id="62"/>
    </w:p>
    <w:p w:rsidR="00504F27" w:rsidRDefault="00504F27">
      <w:pPr>
        <w:pStyle w:val="IASBNormalnpara"/>
      </w:pPr>
      <w:r>
        <w:t>14</w:t>
      </w:r>
      <w:r>
        <w:tab/>
      </w:r>
      <w:bookmarkStart w:id="63" w:name="SL31532"/>
      <w:r>
        <w:t>În prezentul standard, termenul „entitate” include persoanele fizice, parteneriatele, organismele încorporate, trusturile şi agenţiile guvernamentale.</w:t>
      </w:r>
      <w:bookmarkEnd w:id="63"/>
    </w:p>
    <w:p w:rsidR="00504F27" w:rsidRDefault="00504F27">
      <w:pPr>
        <w:pStyle w:val="IASBSectionTitle1NonInd"/>
      </w:pPr>
      <w:bookmarkStart w:id="64" w:name="SL147246"/>
      <w:r>
        <w:t>Prezentare</w:t>
      </w:r>
      <w:bookmarkEnd w:id="64"/>
    </w:p>
    <w:p w:rsidR="00504F27" w:rsidRDefault="00504F27">
      <w:pPr>
        <w:pStyle w:val="IASBSectionTitle2Ind"/>
      </w:pPr>
      <w:bookmarkStart w:id="65" w:name="SL147247"/>
      <w:r>
        <w:t>Datorii şi capitaluri proprii (a se vedea și punctele AG13–AG14J și AG25–AG29A)</w:t>
      </w:r>
      <w:bookmarkEnd w:id="65"/>
    </w:p>
    <w:p w:rsidR="00504F27" w:rsidRDefault="00504F27">
      <w:pPr>
        <w:pStyle w:val="IASBNormalnpara"/>
        <w:rPr>
          <w:b/>
        </w:rPr>
      </w:pPr>
      <w:r>
        <w:rPr>
          <w:b/>
        </w:rPr>
        <w:t>15</w:t>
      </w:r>
      <w:bookmarkStart w:id="66" w:name="SL31533"/>
      <w:r w:rsidR="002A0F7F">
        <w:rPr>
          <w:b/>
        </w:rPr>
        <w:tab/>
      </w:r>
      <w:r>
        <w:rPr>
          <w:b/>
        </w:rPr>
        <w:t>Emitentul unui instrument financiar trebuie să clasifice instrumentul sau părţile componente ale acestuia la recunoaşterea iniţială ca o datorie financiară, un activ financiar sau un instrument de capitaluri proprii, în conformitate cu fondul angajamentului contractual şi cu definiţiile datoriei financiare, activului financiar şi instrumentului de capitaluri proprii.</w:t>
      </w:r>
      <w:bookmarkEnd w:id="66"/>
    </w:p>
    <w:p w:rsidR="00504F27" w:rsidRDefault="00504F27">
      <w:pPr>
        <w:pStyle w:val="IASBNormalnpara"/>
      </w:pPr>
      <w:r>
        <w:t>16</w:t>
      </w:r>
      <w:r>
        <w:tab/>
      </w:r>
      <w:bookmarkStart w:id="67" w:name="SL31534"/>
      <w:r>
        <w:t xml:space="preserve">Atunci când un emitent aplică definiţiile de la punctul 11 pentru a determina dacă un instrument financiar este un instrument de capitaluri proprii, şi nu o datorie financiară, instrumentul este un instrument de capitaluri proprii dacă şi numai dacă sunt îndeplinite ambele condiţii de la literele (a) şi (b) de mai jos. </w:t>
      </w:r>
      <w:bookmarkEnd w:id="67"/>
    </w:p>
    <w:p w:rsidR="00504F27" w:rsidRDefault="00504F27">
      <w:pPr>
        <w:pStyle w:val="IASBNormalnparaL1"/>
      </w:pPr>
      <w:r>
        <w:t>(a)</w:t>
      </w:r>
      <w:r>
        <w:tab/>
      </w:r>
      <w:bookmarkStart w:id="68" w:name="SL147250"/>
      <w:r>
        <w:t>Instrumentul nu include nicio obligaţie contractuală:</w:t>
      </w:r>
      <w:bookmarkEnd w:id="68"/>
    </w:p>
    <w:p w:rsidR="00504F27" w:rsidRDefault="00504F27">
      <w:pPr>
        <w:pStyle w:val="IASBNormalnparaL2"/>
      </w:pPr>
      <w:r>
        <w:t>(i)</w:t>
      </w:r>
      <w:r>
        <w:tab/>
      </w:r>
      <w:bookmarkStart w:id="69" w:name="SL147253"/>
      <w:r>
        <w:t>de a livra numerar sau un alt activ financiar unei alte entităţi; sau</w:t>
      </w:r>
      <w:bookmarkEnd w:id="69"/>
    </w:p>
    <w:p w:rsidR="00504F27" w:rsidRDefault="00504F27">
      <w:pPr>
        <w:pStyle w:val="IASBNormalnparaL2"/>
      </w:pPr>
      <w:r>
        <w:t>(ii)</w:t>
      </w:r>
      <w:r>
        <w:tab/>
      </w:r>
      <w:bookmarkStart w:id="70" w:name="SL147255"/>
      <w:r>
        <w:t>de a schimba active financiare sau datorii financiare cu o altă entitate în condiţii care sunt potenţial nefavorabile emitentului.</w:t>
      </w:r>
      <w:bookmarkEnd w:id="70"/>
    </w:p>
    <w:p w:rsidR="00504F27" w:rsidRDefault="00504F27">
      <w:pPr>
        <w:pStyle w:val="IASBNormalnparaL1"/>
      </w:pPr>
      <w:r>
        <w:t>(b)</w:t>
      </w:r>
      <w:r>
        <w:tab/>
      </w:r>
      <w:bookmarkStart w:id="71" w:name="SL147257"/>
      <w:r>
        <w:t>Dacă instrumentul va fi sau poate fi decontat în propriile instrumente de capitaluri proprii ale emitentului, acesta este:</w:t>
      </w:r>
      <w:bookmarkEnd w:id="71"/>
    </w:p>
    <w:p w:rsidR="00504F27" w:rsidRDefault="00504F27">
      <w:pPr>
        <w:pStyle w:val="IASBNormalnparaL2"/>
      </w:pPr>
      <w:r>
        <w:t>(i)</w:t>
      </w:r>
      <w:r>
        <w:tab/>
      </w:r>
      <w:bookmarkStart w:id="72" w:name="SL147260"/>
      <w:r>
        <w:t>un instrument nederivat care nu include nicio obligaţie contractuală pentru emitent de a livra un număr variabil din propriile instrumente de capitaluri proprii; sau</w:t>
      </w:r>
      <w:bookmarkEnd w:id="72"/>
    </w:p>
    <w:p w:rsidR="00504F27" w:rsidRDefault="00504F27">
      <w:pPr>
        <w:pStyle w:val="IASBNormalnparaL2"/>
      </w:pPr>
      <w:r>
        <w:t>(ii)</w:t>
      </w:r>
      <w:r>
        <w:tab/>
      </w:r>
      <w:bookmarkStart w:id="73" w:name="SL147262"/>
      <w:r>
        <w:t>un instrument derivat care va fi decontat numai de către emitent prin schimbarea unei sume fixe de numerar sau a unui alt activ financiar pentru un număr fix din propriile sale instrumente de capitaluri proprii. În acest sens, drepturile, opţiunile sau warantele pentru dobândirea unui număr fix din propriile instrumente de capitaluri proprii ale entităţii în schimbul unei sume fixe în orice monedă reprezintă instrumente de capitaluri proprii dacă entitatea oferă drepturile, opţiunile sau warantele proporţional tuturor proprietarilor existenţi de instrumente nederivate de capitaluri proprii din aceeaşi categorie. De asemenea, în acest sens, propriile instrumente de capitaluri proprii ale emitentului nu cuprind instrumentele care au toate caracteristicile şi care îndeplinesc condiţiile descrise la punctele 16A şi 16B sau la punctele 16C şi 16D sau instrumentele care reprezintă contracte pentru primirea sau livrarea viitoare a propriilor instrumente de capitaluri proprii ale emitentului.</w:t>
      </w:r>
      <w:bookmarkEnd w:id="73"/>
    </w:p>
    <w:p w:rsidR="00504F27" w:rsidRDefault="00504F27">
      <w:pPr>
        <w:pStyle w:val="IASBNormalnparaP"/>
      </w:pPr>
      <w:bookmarkStart w:id="74" w:name="SL147263"/>
      <w:r>
        <w:t xml:space="preserve">O obligaţie contractuală, inclusiv una care apare dintr-un instrument financiar derivat, care va avea sau care poate avea drept rezultat primirea sau livrarea propriilor instrumente de capitaluri proprii ale emitentului, dar care nu îndeplineşte condiţiile de la literele (a) şi (b) de mai sus, nu este un instrument de capitaluri proprii. Ca excepţie, un instrument care corespunde definiţiei unei datorii financiare este clasificat drept </w:t>
      </w:r>
      <w:r>
        <w:lastRenderedPageBreak/>
        <w:t>instrument de capitaluri proprii dacă are toate caracteristicile şi îndeplineşte toate condiţiile de la punctele 16A şi 16B sau de la punctele 16C şi 16D.</w:t>
      </w:r>
      <w:bookmarkEnd w:id="74"/>
    </w:p>
    <w:p w:rsidR="00504F27" w:rsidRDefault="00504F27">
      <w:pPr>
        <w:pStyle w:val="IASBSectionTitle3Ind"/>
      </w:pPr>
      <w:bookmarkStart w:id="75" w:name="F5588624"/>
      <w:r>
        <w:t>Instrumente care pot fi lichidate de deţinător înainte de scadenţă</w:t>
      </w:r>
      <w:bookmarkEnd w:id="75"/>
    </w:p>
    <w:p w:rsidR="00504F27" w:rsidRDefault="00504F27">
      <w:pPr>
        <w:pStyle w:val="IASBNormalnpara"/>
      </w:pPr>
      <w:r>
        <w:t>16A</w:t>
      </w:r>
      <w:r>
        <w:tab/>
      </w:r>
      <w:bookmarkStart w:id="76" w:name="F5588626"/>
      <w:r>
        <w:t xml:space="preserve">Un instrument financiar care poate fi lichidat de deţinător înainte de scadenţă cuprinde o obligaţie contractuală pentru emitent de a răscumpăra sau schimba acel instrument pentru numerar sau un alt activ financiar la exercitarea opţiunii de vânzare. Ca excepţie de la definiţia unei datorii financiare, un instrument care cuprinde o astfel de obligaţie este clasificat drept instrument de capitaluri proprii dacă are toate caracteristicile următoare: </w:t>
      </w:r>
      <w:bookmarkEnd w:id="76"/>
    </w:p>
    <w:p w:rsidR="00504F27" w:rsidRDefault="00504F27">
      <w:pPr>
        <w:pStyle w:val="IASBNormalnparaL1"/>
      </w:pPr>
      <w:r>
        <w:t>(a)</w:t>
      </w:r>
      <w:r>
        <w:tab/>
      </w:r>
      <w:bookmarkStart w:id="77" w:name="F5588631"/>
      <w:r>
        <w:t>Dă dreptul deţinătorului la o parte proporţională din activele nete ale entităţii în eventualitatea lichidării entităţii. Activele nete ale entităţii sunt acele active care rămân după deducerea tuturor celorlalte pretenţii asupra activelor sale. O parte proporţională este determinată prin:</w:t>
      </w:r>
      <w:bookmarkEnd w:id="77"/>
    </w:p>
    <w:p w:rsidR="00504F27" w:rsidRDefault="00504F27">
      <w:pPr>
        <w:pStyle w:val="IASBNormalnparaL2"/>
      </w:pPr>
      <w:r>
        <w:t>(i)</w:t>
      </w:r>
      <w:r>
        <w:tab/>
      </w:r>
      <w:bookmarkStart w:id="78" w:name="F5588634"/>
      <w:r>
        <w:t>împărţirea activelor nete ale entităţii la lichidare în unităţi cu valoare egală; și</w:t>
      </w:r>
      <w:bookmarkEnd w:id="78"/>
    </w:p>
    <w:p w:rsidR="00504F27" w:rsidRDefault="00504F27">
      <w:pPr>
        <w:pStyle w:val="IASBNormalnparaL2"/>
      </w:pPr>
      <w:r>
        <w:t>(ii)</w:t>
      </w:r>
      <w:r>
        <w:tab/>
      </w:r>
      <w:bookmarkStart w:id="79" w:name="F5588636"/>
      <w:r>
        <w:t>înmulţirea acestei valori cu numărul de unităţi deţinute de deţinătorul instrumentului financiar.</w:t>
      </w:r>
      <w:bookmarkEnd w:id="79"/>
    </w:p>
    <w:p w:rsidR="00504F27" w:rsidRDefault="00504F27">
      <w:pPr>
        <w:pStyle w:val="IASBNormalnparaL1"/>
      </w:pPr>
      <w:r>
        <w:t>(b)</w:t>
      </w:r>
      <w:r>
        <w:tab/>
      </w:r>
      <w:bookmarkStart w:id="80" w:name="F5588638"/>
      <w:r>
        <w:t>Instrumentul face parte din clasa de instrumente subordonată tuturor celorlalte clase de instrumente. Pentru a face parte dintr-o astfel de clasă, instrumentul:</w:t>
      </w:r>
      <w:bookmarkEnd w:id="80"/>
    </w:p>
    <w:p w:rsidR="00504F27" w:rsidRDefault="00504F27">
      <w:pPr>
        <w:pStyle w:val="IASBNormalnparaL2"/>
      </w:pPr>
      <w:r>
        <w:t>(i)</w:t>
      </w:r>
      <w:r>
        <w:tab/>
      </w:r>
      <w:bookmarkStart w:id="81" w:name="F5588641"/>
      <w:r>
        <w:t>nu are prioritate asupra pretenţiilor care vizează activele entităţii la lichidare, şi</w:t>
      </w:r>
      <w:bookmarkEnd w:id="81"/>
    </w:p>
    <w:p w:rsidR="00504F27" w:rsidRDefault="00504F27">
      <w:pPr>
        <w:pStyle w:val="IASBNormalnparaL2"/>
      </w:pPr>
      <w:r>
        <w:t>(ii)</w:t>
      </w:r>
      <w:r>
        <w:tab/>
      </w:r>
      <w:bookmarkStart w:id="82" w:name="F5588643"/>
      <w:r>
        <w:t>nu este necesar să fie convertit într-un alt instrument înainte de a face parte din clasa de instrumente care este subordonată tuturor celorlalte clase de instrumente.</w:t>
      </w:r>
      <w:bookmarkEnd w:id="82"/>
    </w:p>
    <w:p w:rsidR="00504F27" w:rsidRDefault="00504F27">
      <w:pPr>
        <w:pStyle w:val="IASBNormalnparaL1"/>
      </w:pPr>
      <w:r>
        <w:t>(c)</w:t>
      </w:r>
      <w:r>
        <w:tab/>
      </w:r>
      <w:bookmarkStart w:id="83" w:name="F5588645"/>
      <w:r>
        <w:t>Toate instrumentele financiare din clasa de instrumente care este subordonată tuturor celorlalte clase de instrumente au caracteristici identice. De exemplu, ele trebuie să poată fi lichidate de deţinător înainte de scadenţă, iar formula sau altă metodă utilizată pentru a calcula preţul de recumpărare sau de răscumpărare este aceeaşi pentru toate elementele din acea clasă.</w:t>
      </w:r>
      <w:bookmarkEnd w:id="83"/>
    </w:p>
    <w:p w:rsidR="00504F27" w:rsidRDefault="00504F27">
      <w:pPr>
        <w:pStyle w:val="IASBNormalnparaL1"/>
      </w:pPr>
      <w:r>
        <w:t>(d)</w:t>
      </w:r>
      <w:r>
        <w:tab/>
      </w:r>
      <w:bookmarkStart w:id="84" w:name="F5588647"/>
      <w:r>
        <w:t>În afară de obligaţia contractuală a emitentului de a recumpăra sau răscumpăra instrumentul în schimbul numerarului sau al unui alt activ financiar, instrumentul nu cuprinde nicio obligaţie contractuală de a livra numerar sau alt activ financiar unei alte entităţi sau de a schimba active financiare sau datorii financiare cu o altă entitate în condiţii care sunt potenţial nefavorabile entităţii şi nu este un contract care va fi sau care poate fi decontat în propriile instrumente de capitaluri proprii ale entităţii, conform subpunctului (b) al definiţiei unei datorii financiare.</w:t>
      </w:r>
      <w:bookmarkEnd w:id="84"/>
    </w:p>
    <w:p w:rsidR="00504F27" w:rsidRDefault="00504F27">
      <w:pPr>
        <w:pStyle w:val="IASBNormalnparaL1"/>
      </w:pPr>
      <w:r>
        <w:t>(e)</w:t>
      </w:r>
      <w:r>
        <w:tab/>
      </w:r>
      <w:bookmarkStart w:id="85" w:name="F5588649"/>
      <w:r>
        <w:t>Fluxurile totale de trezorerie preconizate care pot fi atribuite instrumentului pe durata de viaţă utilă a acestuia se bazează în mare parte pe profit sau pierdere, pe modificarea activelor nete recunoscute sau pe modificarea valorii juste a activelor nete recunoscute şi nerecunoscute ale entităţii pe durata de viaţă utilă a instrumentului (excluzând orice efecte ale instrumentului).</w:t>
      </w:r>
      <w:bookmarkEnd w:id="85"/>
    </w:p>
    <w:p w:rsidR="00504F27" w:rsidRDefault="00504F27">
      <w:pPr>
        <w:pStyle w:val="IASBNormalnpara"/>
      </w:pPr>
      <w:r>
        <w:t>16B</w:t>
      </w:r>
      <w:r>
        <w:tab/>
      </w:r>
      <w:bookmarkStart w:id="86" w:name="F5588650"/>
      <w:r>
        <w:t xml:space="preserve">Pentru ca un instrument să fie clasificat drept instrument de capitaluri proprii, în afară de instrumentul care are toate caracteristicile de mai sus, trebuie ca emitentul să nu deţină alt instrument financiar sau contract care să aibă: </w:t>
      </w:r>
      <w:bookmarkEnd w:id="86"/>
    </w:p>
    <w:p w:rsidR="00504F27" w:rsidRDefault="00504F27">
      <w:pPr>
        <w:pStyle w:val="IASBNormalnparaL1"/>
      </w:pPr>
      <w:r>
        <w:t>(a)</w:t>
      </w:r>
      <w:r>
        <w:tab/>
      </w:r>
      <w:bookmarkStart w:id="87" w:name="F5588653"/>
      <w:r>
        <w:t>fluxuri totale de trezorerie bazate în mare parte pe profit sau pierdere, pe modificarea activelor nete recunoscute sau pe modificarea valorii juste a activelor nete recunoscute şi nerecunoscute ale entităţii (excluzând orice efecte ale unui astfel de instrument sau contract) şi</w:t>
      </w:r>
      <w:bookmarkEnd w:id="87"/>
    </w:p>
    <w:p w:rsidR="00504F27" w:rsidRDefault="00504F27">
      <w:pPr>
        <w:pStyle w:val="IASBNormalnparaL1"/>
      </w:pPr>
      <w:r>
        <w:t>(b)</w:t>
      </w:r>
      <w:r>
        <w:tab/>
      </w:r>
      <w:bookmarkStart w:id="88" w:name="F5588655"/>
      <w:r>
        <w:t>efectul restricţionării substanţiale sau fixării rentabilităţii reziduale pentru deţinătorii de instrumente care pot fi lichidate înainte de scadenţă.</w:t>
      </w:r>
      <w:bookmarkEnd w:id="88"/>
    </w:p>
    <w:p w:rsidR="00504F27" w:rsidRDefault="00504F27">
      <w:pPr>
        <w:pStyle w:val="IASBNormalnparaP"/>
      </w:pPr>
      <w:bookmarkStart w:id="89" w:name="F5588656"/>
      <w:r>
        <w:t>În sensul aplicării acestei condiţii, entitatea nu trebuie să ia în considerare contractele nefinanciare cu un deţinător al unui instrument descris la punctul 16A care au termenele contractuale şi condiţii similare cu termenele contractuale şi condiţiile unui contract echivalent care ar putea apărea între un deţinător fără instrumente şi entitatea emitentă. Dacă entitatea nu poate determina dacă această condiţie este îndeplinită sau nu, ea nu trebuie să clasifice instrumentul care poate fi lichidat de deţinător înainte de scadenţă drept instrument de capitaluri proprii.</w:t>
      </w:r>
      <w:bookmarkEnd w:id="89"/>
    </w:p>
    <w:p w:rsidR="00504F27" w:rsidRDefault="00504F27">
      <w:pPr>
        <w:pStyle w:val="IASBSectionTitle3Ind"/>
      </w:pPr>
      <w:bookmarkStart w:id="90" w:name="F5588657"/>
      <w:r>
        <w:t>Instrumente sau componente de instrumente care impun entităţii o obligaţie de a furniza unei alte entităţi o parte proporţională din activele nete ale entităţii numai la lichidare</w:t>
      </w:r>
      <w:bookmarkEnd w:id="90"/>
    </w:p>
    <w:p w:rsidR="00504F27" w:rsidRDefault="00504F27">
      <w:pPr>
        <w:pStyle w:val="IASBNormalnpara"/>
      </w:pPr>
      <w:r>
        <w:t>16C</w:t>
      </w:r>
      <w:r>
        <w:tab/>
      </w:r>
      <w:bookmarkStart w:id="91" w:name="F5588659"/>
      <w:r>
        <w:t xml:space="preserve">Unele instrumente financiare cuprind o obligaţie contractuală pentru entitatea emitentă de a furniza unei alte entităţi o parte proporţională din activele sale nete numai la lichidare. Obligaţia rezultă deoarece lichidarea fie va avea loc sigur şi în afara controlului entităţii (de exemplu, o entitate cu durată de viaţă utilă limitată), </w:t>
      </w:r>
      <w:r>
        <w:lastRenderedPageBreak/>
        <w:t xml:space="preserve">fie este posibil să nu aibă loc, dar constituie opţiunea deţinătorului instrumentului. Ca excepţie de la definiţia unei datorii financiare, un instrument care cuprinde o astfel de obligaţie este clasificat drept instrument de capitaluri proprii dacă are toate caracteristicile următoare: </w:t>
      </w:r>
      <w:bookmarkEnd w:id="91"/>
    </w:p>
    <w:p w:rsidR="00504F27" w:rsidRDefault="00504F27">
      <w:pPr>
        <w:pStyle w:val="IASBNormalnparaL1"/>
      </w:pPr>
      <w:r>
        <w:t>(a)</w:t>
      </w:r>
      <w:r>
        <w:tab/>
      </w:r>
      <w:bookmarkStart w:id="92" w:name="F5588662"/>
      <w:r>
        <w:t>Dă dreptul deţinătorului la o parte proporţională din activele nete ale entităţii în eventualitatea lichidării entităţii. Activele nete ale entităţii sunt acele active care rămân după deducerea tuturor celorlalte pretenţii asupra activelor sale. O parte proporţională este determinată prin:</w:t>
      </w:r>
      <w:bookmarkEnd w:id="92"/>
    </w:p>
    <w:p w:rsidR="00504F27" w:rsidRDefault="00504F27">
      <w:pPr>
        <w:pStyle w:val="IASBNormalnparaL2"/>
      </w:pPr>
      <w:r>
        <w:t>(i)</w:t>
      </w:r>
      <w:r>
        <w:tab/>
      </w:r>
      <w:bookmarkStart w:id="93" w:name="F5588675"/>
      <w:r>
        <w:t>împărţirea activelor nete ale entităţii la lichidare în unităţi cu valoare egală; și</w:t>
      </w:r>
      <w:bookmarkEnd w:id="93"/>
    </w:p>
    <w:p w:rsidR="00504F27" w:rsidRDefault="00504F27">
      <w:pPr>
        <w:pStyle w:val="IASBNormalnparaL2"/>
      </w:pPr>
      <w:r>
        <w:t>(ii)</w:t>
      </w:r>
      <w:r>
        <w:tab/>
      </w:r>
      <w:bookmarkStart w:id="94" w:name="F5588677"/>
      <w:r>
        <w:t>înmulţirea acestei valori cu numărul de unităţi deţinute de deţinătorul instrumentului financiar.</w:t>
      </w:r>
      <w:bookmarkEnd w:id="94"/>
    </w:p>
    <w:p w:rsidR="00504F27" w:rsidRDefault="00504F27">
      <w:pPr>
        <w:pStyle w:val="IASBNormalnparaL1"/>
      </w:pPr>
      <w:r>
        <w:t>(b)</w:t>
      </w:r>
      <w:r>
        <w:tab/>
      </w:r>
      <w:bookmarkStart w:id="95" w:name="F5588679"/>
      <w:r>
        <w:t>Instrumentul face parte din clasa de instrumente subordonată tuturor celorlalte clase de instrumente. Pentru a face parte dintr-o astfel de clasă, instrumentul:</w:t>
      </w:r>
      <w:bookmarkEnd w:id="95"/>
    </w:p>
    <w:p w:rsidR="00504F27" w:rsidRDefault="00504F27">
      <w:pPr>
        <w:pStyle w:val="IASBNormalnparaL2"/>
      </w:pPr>
      <w:r>
        <w:t>(i)</w:t>
      </w:r>
      <w:r>
        <w:tab/>
      </w:r>
      <w:bookmarkStart w:id="96" w:name="F5588682"/>
      <w:r>
        <w:t>nu are prioritate asupra pretenţiilor care vizează activele entităţii la lichidare, şi</w:t>
      </w:r>
      <w:bookmarkEnd w:id="96"/>
    </w:p>
    <w:p w:rsidR="00504F27" w:rsidRDefault="00504F27">
      <w:pPr>
        <w:pStyle w:val="IASBNormalnparaL2"/>
      </w:pPr>
      <w:r>
        <w:t>(ii)</w:t>
      </w:r>
      <w:r>
        <w:tab/>
      </w:r>
      <w:bookmarkStart w:id="97" w:name="F5588684"/>
      <w:r>
        <w:t>nu este necesar să fie convertit într-un alt instrument înainte de a face parte din clasa de instrumente care este subordonată tuturor celorlalte clase de instrumente.</w:t>
      </w:r>
      <w:bookmarkEnd w:id="97"/>
    </w:p>
    <w:p w:rsidR="00504F27" w:rsidRDefault="00504F27">
      <w:pPr>
        <w:pStyle w:val="IASBNormalnparaL1"/>
      </w:pPr>
      <w:r>
        <w:t>(c)</w:t>
      </w:r>
      <w:r>
        <w:tab/>
      </w:r>
      <w:bookmarkStart w:id="98" w:name="F5588686"/>
      <w:r>
        <w:t>Toate instrumentele financiare din clasa de instrumente care este subordonată tuturor celorlalte clase de instrumente trebuie să aibă o obligaţie contractuală identică pentru entitatea emitentă de a furniza o parte proporţională din activele sale nete la lichidare.</w:t>
      </w:r>
      <w:bookmarkEnd w:id="98"/>
    </w:p>
    <w:p w:rsidR="00504F27" w:rsidRDefault="00504F27">
      <w:pPr>
        <w:pStyle w:val="IASBNormalnpara"/>
      </w:pPr>
      <w:r>
        <w:t>16D</w:t>
      </w:r>
      <w:r>
        <w:tab/>
      </w:r>
      <w:bookmarkStart w:id="99" w:name="F5588687"/>
      <w:r>
        <w:t xml:space="preserve">Pentru ca un instrument să fie clasificat drept instrument de capitaluri proprii, în afară de instrumentul care are toate caracteristicile de mai sus, trebuie ca emitentul să nu deţină alt instrument financiar sau contract care să aibă: </w:t>
      </w:r>
      <w:bookmarkEnd w:id="99"/>
    </w:p>
    <w:p w:rsidR="00504F27" w:rsidRDefault="00504F27">
      <w:pPr>
        <w:pStyle w:val="IASBNormalnparaL1"/>
      </w:pPr>
      <w:r>
        <w:t>(a)</w:t>
      </w:r>
      <w:r>
        <w:tab/>
      </w:r>
      <w:bookmarkStart w:id="100" w:name="F5588690"/>
      <w:r>
        <w:t>fluxuri totale de trezorerie bazate în mare parte pe profit sau pierdere, pe modificarea activelor nete recunoscute sau pe modificarea valorii juste a activelor nete recunoscute şi nerecunoscute ale entităţii (excluzând orice efecte ale unui astfel de instrument sau contract) şi</w:t>
      </w:r>
      <w:bookmarkEnd w:id="100"/>
    </w:p>
    <w:p w:rsidR="00504F27" w:rsidRDefault="00504F27">
      <w:pPr>
        <w:pStyle w:val="IASBNormalnparaL1"/>
      </w:pPr>
      <w:r>
        <w:t>(b)</w:t>
      </w:r>
      <w:r>
        <w:tab/>
      </w:r>
      <w:bookmarkStart w:id="101" w:name="F5588692"/>
      <w:r>
        <w:t>efectul restricţionării substanţiale sau fixării rentabilităţii reziduale pentru deţinătorii de instrumente.</w:t>
      </w:r>
      <w:bookmarkEnd w:id="101"/>
    </w:p>
    <w:p w:rsidR="00504F27" w:rsidRDefault="00504F27">
      <w:pPr>
        <w:pStyle w:val="IASBNormalnparaP"/>
      </w:pPr>
      <w:bookmarkStart w:id="102" w:name="F5588693"/>
      <w:r>
        <w:t>În sensul aplicării acestei condiţii, entitatea nu trebuie să ia în considerare contractele nefinanciare cu un deţinător al unui instrument descris la punctul 16C care au termene contractuale şi condiţii similare cu termenele contractuale şi condiţiile unui contract echivalent care ar putea apărea între un deţinător fără instrumente şi entitatea emitentă. Dacă entitatea nu poate determina îndeplinirea acestei condiţii, ea nu trebuie să clasifice instrumentul drept instrument de capitaluri proprii.</w:t>
      </w:r>
      <w:bookmarkEnd w:id="102"/>
    </w:p>
    <w:p w:rsidR="00504F27" w:rsidRDefault="00504F27">
      <w:pPr>
        <w:pStyle w:val="IASBSectionTitle3Ind"/>
      </w:pPr>
      <w:bookmarkStart w:id="103" w:name="F5588694"/>
      <w:r>
        <w:t>Reclasificarea instrumentelor care pot fi lichidate de deţinător înainte de scadenţă şi a instrumentelor care impun entităţii o obligaţie de a furniza unei alte entităţi o parte proporţională din activele nete ale entităţii numai la lichidare</w:t>
      </w:r>
      <w:bookmarkEnd w:id="103"/>
    </w:p>
    <w:p w:rsidR="00504F27" w:rsidRDefault="00504F27">
      <w:pPr>
        <w:pStyle w:val="IASBNormalnpara"/>
      </w:pPr>
      <w:r>
        <w:t>16E</w:t>
      </w:r>
      <w:r>
        <w:tab/>
      </w:r>
      <w:bookmarkStart w:id="104" w:name="F5588696"/>
      <w:r>
        <w:t>O entitate trebuie să clasifice un instrument financiar drept instrument de capitaluri proprii în conformitate cu punctele 16A şi 16B sau cu punctele 16C şi 16D de la data la care instrumentul are toate caracteristicile şi îndeplineşte condiţiile stabilite la aceste puncte. O entitate trebuie să reclasifice un instrument financiar de la data la care instrumentul încetează să mai aibă toate caracteristicile sau să îndeplinească toate condiţiile stabilite la acele puncte. De exemplu, dacă o entitate îşi răscumpără toate instrumentele emise care nu pot fi lichidate de deţinător înainte de scadenţă, iar toate instrumentele care pot fi lichidate de deţinător înainte de scadenţă care rămân în circulaţie au toate caracteristicile şi îndeplinesc toate condiţiile de la punctele 16A şi 16B, entitatea trebuie să reclasifice instrumentele care pot fi lichidate de deţinător înainte de scadenţă drept instrumente de capitaluri proprii de la data la care răscumpără instrumentele care nu pot fi lichidate de deţinător înainte de scadenţă.</w:t>
      </w:r>
      <w:bookmarkEnd w:id="104"/>
    </w:p>
    <w:p w:rsidR="00504F27" w:rsidRDefault="00504F27">
      <w:pPr>
        <w:pStyle w:val="IASBNormalnpara"/>
      </w:pPr>
      <w:r>
        <w:t>16F</w:t>
      </w:r>
      <w:r>
        <w:tab/>
      </w:r>
      <w:bookmarkStart w:id="105" w:name="F5588697"/>
      <w:r>
        <w:t>O entitate trebuie să contabilizeze reclasificarea unui instrument în conformitate cu punctul 16E astfel:</w:t>
      </w:r>
      <w:bookmarkEnd w:id="105"/>
    </w:p>
    <w:p w:rsidR="00504F27" w:rsidRDefault="00504F27">
      <w:pPr>
        <w:pStyle w:val="IASBNormalnparaL1"/>
      </w:pPr>
      <w:r>
        <w:t>(a)</w:t>
      </w:r>
      <w:r>
        <w:tab/>
      </w:r>
      <w:bookmarkStart w:id="106" w:name="F5588700"/>
      <w:r>
        <w:t>Ea trebuie să reclasifice un instrument de capitaluri proprii drept datorie financiară de la data la care instrumentul încetează să aibă toate caracteristicile sau să îndeplinească condiţiile de la punctele 16A şi 16B sau de la punctele 16C şi 16D. Datoria financiară trebuie evaluată la valoarea justă a instrumentului de la data reclasificării. Entitatea trebuie să recunoască în capitalurile proprii orice diferenţă dintre valoarea contabilă a instrumentului de capitaluri proprii şi valoarea justă a datoriei financiare de la data reclasificării.</w:t>
      </w:r>
      <w:bookmarkEnd w:id="106"/>
    </w:p>
    <w:p w:rsidR="00504F27" w:rsidRDefault="00504F27">
      <w:pPr>
        <w:pStyle w:val="IASBNormalnparaL1"/>
      </w:pPr>
      <w:r>
        <w:t>(b)</w:t>
      </w:r>
      <w:r>
        <w:tab/>
      </w:r>
      <w:bookmarkStart w:id="107" w:name="F5588702"/>
      <w:r>
        <w:t xml:space="preserve">Ea trebuie să reclasifice o datorie financiară drept capitaluri proprii de la data la care instrumentul prezintă toate caracteristicile şi îndeplineşte condiţiile stabilite la punctele 16A şi 16B sau la </w:t>
      </w:r>
      <w:r>
        <w:lastRenderedPageBreak/>
        <w:t>punctele 16C şi 16D. Un instrument de capitaluri proprii trebuie evaluat la valoarea contabilă a datoriei financiare de la data reclasificării.</w:t>
      </w:r>
      <w:bookmarkEnd w:id="107"/>
    </w:p>
    <w:p w:rsidR="00504F27" w:rsidRDefault="00504F27">
      <w:pPr>
        <w:pStyle w:val="IASBSectionTitle3Ind"/>
      </w:pPr>
      <w:bookmarkStart w:id="108" w:name="SL147264"/>
      <w:r>
        <w:t>Fără obligaţii contractuale de a plăti în numerar sau prin alt activ financiar (punctul 16 litera (a))</w:t>
      </w:r>
      <w:bookmarkEnd w:id="108"/>
    </w:p>
    <w:p w:rsidR="00504F27" w:rsidRDefault="00504F27">
      <w:pPr>
        <w:pStyle w:val="IASBNormalnpara"/>
      </w:pPr>
      <w:r>
        <w:t>17</w:t>
      </w:r>
      <w:r>
        <w:tab/>
      </w:r>
      <w:bookmarkStart w:id="109" w:name="SL31535"/>
      <w:r>
        <w:t>Cu excepţia situaţiilor descrise la punctele 16A şi 16B sau la punctele 16C şi 16D, o caracteristică importantă pentru distingerea unei datorii financiare de un instrument de capitaluri proprii este existenţa unei obligaţii contractuale pentru unul dintre participanţii la instrumentul financiar (emitentul) de a ceda fie numerar, fie un alt activ financiar celeilalte părţi (deţinătorul) sau de a schimba active financiare sau datorii financiare cu deţinătorul în condiţii potenţial nefavorabile pentru emitent. Deşi deţinătorul unui instrument de capitaluri proprii poate fi îndreptăţit să primească o parte proporţională din dividende sau alte distribuiri din capitalurile proprii, emitentul nu are obligaţia contractuală de a face astfel de distribuiri, deoarece nu i se poate impune să plătească numerar sau un alt activ financiar unei alte părți.</w:t>
      </w:r>
      <w:bookmarkEnd w:id="109"/>
    </w:p>
    <w:p w:rsidR="00504F27" w:rsidRDefault="00504F27">
      <w:pPr>
        <w:pStyle w:val="IASBNormalnpara"/>
      </w:pPr>
      <w:r>
        <w:t>18</w:t>
      </w:r>
      <w:r>
        <w:tab/>
      </w:r>
      <w:bookmarkStart w:id="110" w:name="SL31536"/>
      <w:r>
        <w:t xml:space="preserve">Fondul economic al unui instrument financiar, mai degrabă decât forma sa legală, este acela care influenţează clasificarea sa în situaţia poziţiei financiare a entităţii. Fondul economic şi forma legală sunt, în general, consecvente, dar nu întotdeauna. Unele instrumente financiare iau forma legală a capitalurilor proprii, dar sunt datorii în fond, iar altele pot combina caracteristici asociate instrumentelor de capitaluri proprii cu cele asociate datoriilor financiare. De exemplu: </w:t>
      </w:r>
      <w:bookmarkEnd w:id="110"/>
    </w:p>
    <w:p w:rsidR="00504F27" w:rsidRDefault="00504F27">
      <w:pPr>
        <w:pStyle w:val="IASBNormalnparaL1"/>
      </w:pPr>
      <w:r>
        <w:t>(a)</w:t>
      </w:r>
      <w:r>
        <w:tab/>
      </w:r>
      <w:bookmarkStart w:id="111" w:name="SL147267"/>
      <w:r>
        <w:t>o acţiune preferenţială care are o clauză de răscumpărare obligatorie de către emitent, în schimbul unei sume fixe sau determinabile la o dată viitoare fixă sau determinabilă, sau care îi dă dreptul deţinătorului de a impune emitentului să răscumpere instrumentul la sau după o anumită dată pentru o sumă fixă sau determinabilă este o datorie financiară.</w:t>
      </w:r>
      <w:bookmarkEnd w:id="111"/>
    </w:p>
    <w:p w:rsidR="00504F27" w:rsidRDefault="00504F27">
      <w:pPr>
        <w:pStyle w:val="IASBNormalnparaL1"/>
      </w:pPr>
      <w:r>
        <w:t>(b)</w:t>
      </w:r>
      <w:r>
        <w:tab/>
      </w:r>
      <w:bookmarkStart w:id="112" w:name="SL147269"/>
      <w:r>
        <w:t>un instrument financiar care îi dă deţinătorului dreptul de a-l revinde emitentului în schimbul numerarului sau al unui alt activ financiar (un „instrument care poate fi lichidat de deţinător înainte de scadenţă”) este o datorie financiară, cu excepţia acelor instrumente clasificate drept instrumente de capitaluri proprii în conformitate cu punctele 16A şi 16B sau cu punctele 16C şi 16D. Instrumentul financiar este o datorie financiară chiar şi atunci când valoarea în numerar sau în alte active financiare se determină pe baza unui indice sau a unui alt element care poate creşte sau descreşte. Existenţa unei opţiuni pentru deţinător de a revinde instrumentul emitentului în schimbul numerarului sau al unui alt activ financiar înseamnă că instrumentul care poate fi lichidat de deţinător înainte de scadenţă corespunde definiţiei unei datorii financiare, cu excepţia acelor instrumente clasificate drept instrumente de capitaluri proprii în conformitate cu punctele 16A şi 16B sau cu punctele 16C şi 16D. De exemplu, fondurile mutuale deschise, fondurile de investiţii, parteneriatele şi unele entităţi de tip cooperatist le pot oferi deţinătorilor lor de unităţi sau membrilor dreptul de a-şi răscumpăra interesele în entitatea emitentă în orice moment, în schimbul numerarului, care are drept rezultat clasificarea intereselor membrilor sau deţinătorilor de unităţi drept datorii financiare, cu excepţia acelor instrumente clasificate drept capitaluri proprii în conformitate cu punctele 16A şi 16B sau cu punctele 16C şi 16D. Totuşi, clasificarea drept datorie financiară nu exclude utilizarea descriptorilor cum ar fi „valoarea netă a activului atribuibil deţinătorilor” şi „modificarea valorilor activului net atribuibil deţinătorilor” în situaţiile financiare ale unei entităţi care nu are capitaluri proprii vărsate (cum ar fi unele fonduri mutuale şi fonduri de investiţii, a se vedea Exemplul ilustrativ 7) sau utilizarea prezentării suplimentare pentru a arăta că interesele totale ale membrilor cuprind elemente cum ar fi rezervele care corespund definiţiei capitalurilor proprii şi instrumente care pot fi lichidate de deţinător înainte de scadenţă care nu corespund acestei definiţii (a se vedea Exemplul ilustrativ 8).</w:t>
      </w:r>
      <w:bookmarkEnd w:id="112"/>
    </w:p>
    <w:p w:rsidR="00504F27" w:rsidRDefault="00504F27">
      <w:pPr>
        <w:pStyle w:val="IASBNormalnpara"/>
      </w:pPr>
      <w:r>
        <w:t>19</w:t>
      </w:r>
      <w:r>
        <w:tab/>
      </w:r>
      <w:bookmarkStart w:id="113" w:name="SL31537"/>
      <w:r>
        <w:t xml:space="preserve">Dacă o entitate nu are un drept necondiţionat de a evita livrarea de numerar sau a unui alt activ financiar pentru decontarea unei obligaţii contractuale, obligaţia corespunde definiţiei unei datorii financiare, cu excepţia acelor instrumente clasificate drept instrumente de capitaluri proprii în conformitate cu punctele 16A şi 16B sau cu punctele 16C şi 16D. De exemplu: </w:t>
      </w:r>
      <w:bookmarkEnd w:id="113"/>
    </w:p>
    <w:p w:rsidR="00504F27" w:rsidRDefault="00504F27">
      <w:pPr>
        <w:pStyle w:val="IASBNormalnparaL1"/>
      </w:pPr>
      <w:r>
        <w:t>(a)</w:t>
      </w:r>
      <w:r>
        <w:tab/>
      </w:r>
      <w:bookmarkStart w:id="114" w:name="SL147272"/>
      <w:r>
        <w:t>o restricţionare a capacităţii unei entităţi de a respecta o obligaţie contractuală, cum ar fi lipsa accesului la valută sau obligaţia de a obţine aprobarea plăţii de la o autoritate de reglementare, nu neagă obligaţia contractuală a entităţii sau dreptul contractual al deţinătorului conform instrumentului.</w:t>
      </w:r>
      <w:bookmarkEnd w:id="114"/>
    </w:p>
    <w:p w:rsidR="00504F27" w:rsidRDefault="00504F27">
      <w:pPr>
        <w:pStyle w:val="IASBNormalnparaL1"/>
      </w:pPr>
      <w:r>
        <w:t>(b)</w:t>
      </w:r>
      <w:r>
        <w:tab/>
      </w:r>
      <w:bookmarkStart w:id="115" w:name="SL147274"/>
      <w:r>
        <w:t>o obligaţie contractuală care este condiţionată de exercitarea de către partener a dreptului de răscumpărare este o datorie financiară deoarece entitatea nu are dreptul necondiţionat de a evita livrarea de numerar sau a unui alt activ financiar.</w:t>
      </w:r>
      <w:bookmarkEnd w:id="115"/>
    </w:p>
    <w:p w:rsidR="00504F27" w:rsidRDefault="00504F27">
      <w:pPr>
        <w:pStyle w:val="IASBNormalnpara"/>
      </w:pPr>
      <w:r>
        <w:t>20</w:t>
      </w:r>
      <w:r>
        <w:tab/>
      </w:r>
      <w:bookmarkStart w:id="116" w:name="SL31538"/>
      <w:r>
        <w:t xml:space="preserve">Un instrument financiar care nu stabileşte în mod explicit o obligaţie contractuală de a livra numerar sau un alt activ financiar poate stabili o obligaţie indirect, prin termenele şi condiţiile sale. De exemplu: </w:t>
      </w:r>
      <w:bookmarkEnd w:id="116"/>
    </w:p>
    <w:p w:rsidR="00504F27" w:rsidRDefault="00504F27">
      <w:pPr>
        <w:pStyle w:val="IASBNormalnparaL1"/>
      </w:pPr>
      <w:r>
        <w:lastRenderedPageBreak/>
        <w:t>(a)</w:t>
      </w:r>
      <w:r>
        <w:tab/>
      </w:r>
      <w:bookmarkStart w:id="117" w:name="SL147277"/>
      <w:r>
        <w:t>un instrument financiar poate conţine o obligaţie nefinanciară care trebuie să fie decontată dacă şi numai dacă entitatea nu face distribuirile sau nu răscumpără instrumentul. Dacă entitatea poate evita transferul de numerar sau al unui alt activ financiar numai prin decontarea obligaţiei nefinanciare, instrumentul financiar este o datorie financiară.</w:t>
      </w:r>
      <w:bookmarkEnd w:id="117"/>
    </w:p>
    <w:p w:rsidR="00504F27" w:rsidRDefault="00504F27">
      <w:pPr>
        <w:pStyle w:val="IASBNormalnparaL1"/>
      </w:pPr>
      <w:r>
        <w:t>(b)</w:t>
      </w:r>
      <w:r>
        <w:tab/>
      </w:r>
      <w:bookmarkStart w:id="118" w:name="SL147279"/>
      <w:r>
        <w:t>un instrument financiar este o datorie financiară dacă prevede că la decontare entitatea va livra:</w:t>
      </w:r>
      <w:bookmarkEnd w:id="118"/>
    </w:p>
    <w:p w:rsidR="00504F27" w:rsidRDefault="00504F27">
      <w:pPr>
        <w:pStyle w:val="IASBNormalnparaL2"/>
      </w:pPr>
      <w:r>
        <w:t>(i)</w:t>
      </w:r>
      <w:r>
        <w:tab/>
      </w:r>
      <w:bookmarkStart w:id="119" w:name="SL147282"/>
      <w:r>
        <w:t>fie numerar sau un alt activ financiar; fie</w:t>
      </w:r>
      <w:bookmarkEnd w:id="119"/>
    </w:p>
    <w:p w:rsidR="00504F27" w:rsidRDefault="00504F27">
      <w:pPr>
        <w:pStyle w:val="IASBNormalnparaL2"/>
      </w:pPr>
      <w:r>
        <w:t>(ii)</w:t>
      </w:r>
      <w:r>
        <w:tab/>
      </w:r>
      <w:bookmarkStart w:id="120" w:name="SL147284"/>
      <w:r>
        <w:t>propriile sale acţiuni a căror valoare este determinată astfel încât să depăşească în mod substanţial valoarea numerarului sau a unui alt activ financiar.</w:t>
      </w:r>
      <w:bookmarkEnd w:id="120"/>
    </w:p>
    <w:p w:rsidR="00504F27" w:rsidRDefault="00504F27">
      <w:pPr>
        <w:pStyle w:val="IASBNormalnparaL1P"/>
      </w:pPr>
      <w:bookmarkStart w:id="121" w:name="SL147285"/>
      <w:r>
        <w:t>Deşi entitatea nu are o obligaţie contractuală explicită de a livra numerar sau un alt activ financiar, valoarea alternativei de decontare prin acţiuni este de o asemenea natură încât entitatea o va deconta în numerar. În orice caz, deţinătorului i s-a garantat în fond primirea unei valori care este cel puţin egală cu opţiunea de decontare în numerar (a se vedea punctul 21).</w:t>
      </w:r>
      <w:bookmarkEnd w:id="121"/>
    </w:p>
    <w:p w:rsidR="00504F27" w:rsidRDefault="00504F27">
      <w:pPr>
        <w:pStyle w:val="IASBSectionTitle3Ind"/>
      </w:pPr>
      <w:bookmarkStart w:id="122" w:name="SL147286"/>
      <w:r>
        <w:t>Decontarea în propriile instrumente de capitaluri proprii ale entităţii (punctul 16 litera (b))</w:t>
      </w:r>
      <w:bookmarkEnd w:id="122"/>
    </w:p>
    <w:p w:rsidR="00504F27" w:rsidRDefault="00504F27">
      <w:pPr>
        <w:pStyle w:val="IASBNormalnpara"/>
      </w:pPr>
      <w:r>
        <w:t>21</w:t>
      </w:r>
      <w:r>
        <w:tab/>
      </w:r>
      <w:bookmarkStart w:id="123" w:name="SL31539"/>
      <w:r>
        <w:t>Un contract nu este un instrument de capitaluri proprii numai pentru că poate avea drept rezultat primirea sau livrarea propriilor instrumente de capitaluri proprii ale entităţii. O entitate poate avea un drept contractual sau o obligaţie contractuală de a primi sau livra un număr din propriile acţiuni sau alte instrumente de capitaluri proprii care variază astfel încât valoarea justă a propriilor instrumente de capitaluri proprii ale entităţii care trebuie primite sau livrate să fie egală cu valoarea dreptului contractual sau a obligaţiei contractuale. Un astfel de drept contractual sau o astfel de obligaţie contractuală se poate referi la o sumă fixă sau la o valoare care fluctuează parţial sau total în funcţie de modificările unei variabile, alta decât preţul de piaţă al propriilor instrumente de capitaluri proprii ale entităţii (de exemplu, o rată a dobânzii, preţul unei mărfi sau preţul unui instrument financiar). Două astfel de exemple sunt (a) un contract de livrare a tuturor instrumentelor de capitaluri proprii ale unei entități care au o valoare egală cu 100 u.m.</w:t>
      </w:r>
      <w:r>
        <w:rPr>
          <w:rStyle w:val="FootnoteReference"/>
        </w:rPr>
        <w:footnoteReference w:id="1"/>
      </w:r>
      <w:r>
        <w:t xml:space="preserve"> și (b) un contract de livrare a tuturor instrumentelor de capitaluri proprii ale entității care au o valoare egală cu cea a 100 de uncii de aur. Un astfel de contract este o datorie financiară a entităţii, chiar dacă entitatea trebuie sau poate să îl deconteze prin livrarea propriilor instrumente de capitaluri proprii. Acesta nu este un instrument de capitaluri proprii deoarece entitatea utilizează un număr variabil din propriile instrumente de capitaluri proprii ca modalitate de decontare a contractului. În consecinţă, contractul nu evidenţiază un interes rezidual în activele entităţii după deducerea tuturor datoriilor sale. </w:t>
      </w:r>
      <w:bookmarkEnd w:id="123"/>
    </w:p>
    <w:p w:rsidR="00504F27" w:rsidRDefault="00504F27">
      <w:pPr>
        <w:pStyle w:val="IASBNormalnpara"/>
      </w:pPr>
      <w:r>
        <w:t>22</w:t>
      </w:r>
      <w:r>
        <w:tab/>
      </w:r>
      <w:bookmarkStart w:id="124" w:name="SL31540"/>
      <w:r>
        <w:t>Cu excepţia prevederilor de la punctul 22A, un contract care va fi decontat de entitate (primind sau) livrând un număr fix din propriile sale instrumente de capitaluri proprii în schimbul unei sume fixe în numerar sau al unui alt activ financiar este un instrument de capitaluri proprii. De exemplu, o opţiune pe acţiuni emisă care îi dă partenerului dreptul de a cumpăra un număr fix din acţiunile entităţii pentru un preţ fix sau pentru o sumă fixă declarată a principalului unei obligaţiuni este un instrument de capitaluri proprii. Modificările valorii juste a unui contract rezultate din variaţiile ratei dobânzii de pe piaţă care nu afectează suma în numerar sau alte active financiare care trebuie plătite sau primite sau numărul de instrumente de capitaluri proprii care trebuie să fie primite sau livrate, la decontarea contractului, nu împiedică contractul să fie un instrument de capitaluri proprii. Orice contravaloare primită (cum ar fi prima primită pentru o opţiune emisă sau un warant pe propriile acţiuni ale entităţii) se adaugă direct la capitalurile proprii. Orice contravaloare plătită (cum ar fi prima plătită pentru o opţiune cumpărată) este dedusă direct din capitalurile proprii. Modificările valorii juste a unui instrument de capitaluri proprii nu sunt recunoscute în situaţiile financiare.</w:t>
      </w:r>
      <w:bookmarkEnd w:id="124"/>
    </w:p>
    <w:p w:rsidR="00504F27" w:rsidRDefault="00504F27">
      <w:pPr>
        <w:pStyle w:val="IASBNormalnpara"/>
      </w:pPr>
      <w:r>
        <w:t>22A</w:t>
      </w:r>
      <w:r>
        <w:tab/>
      </w:r>
      <w:bookmarkStart w:id="125" w:name="F5588703"/>
      <w:r>
        <w:t>Dacă propriile instrumente de capitaluri proprii ale entităţii ce trebuie primite sau livrate de către entitate la decontarea unui contract sunt instrumente financiare care pot fi lichidate de deţinător înainte de scadenţă, cu toate caracteristicile şi care îndeplinesc condiţiile descrise la punctele 16A şi 16B, sau instrumente care impun entităţii obligaţia de a livra altei entităţi o parte proporţională din activele nete ale entităţii numai la lichidare, cu toate caracteristicile şi îndeplinind condiţiile descrise la punctele 16C şi 16D, contractul este un activ financiar sau o datorie financiară. Aceasta include un contract care va fi decontat de către entitatea care primeşte sau livrează un număr fix de astfel de instrumente în schimbul unei sume fixe în numerar sau al unui alt activ financiar.</w:t>
      </w:r>
      <w:bookmarkEnd w:id="125"/>
    </w:p>
    <w:p w:rsidR="00504F27" w:rsidRDefault="00504F27">
      <w:pPr>
        <w:pStyle w:val="IASBNormalnpara"/>
      </w:pPr>
      <w:r>
        <w:t>23</w:t>
      </w:r>
      <w:r>
        <w:tab/>
      </w:r>
      <w:bookmarkStart w:id="126" w:name="SL19307919"/>
      <w:r>
        <w:t xml:space="preserve">Cu excepţia circumstanţelor descrise la punctele 16A şi 16B sau la punctele 16C şi 16D, un contract care conţine o obligaţie pentru o entitate de a cumpăra propriile sale instrumente de capitaluri proprii în schimbul numerarului sau al altui activ financiar generează o datorie financiară pentru valoarea actualizată a valorii de răscumpărare (de exemplu, pentru valoarea actualizată a preţului de recumpărare la termen, preţul de exercitare al opţiunii sau o altă valoare de răscumpărare). Acesta este cazul chiar dacă contractul în sine este </w:t>
      </w:r>
      <w:r>
        <w:lastRenderedPageBreak/>
        <w:t>un instrument de capitaluri proprii. Un exemplu îl constituie obligaţia unei entităţi, conform unui contract forward, de a cumpăra propriile sale instrumente de capitaluri proprii în schimbul numerarului. Datoria financiară este recunoscută iniţial la valoarea actualizată a valorii de răscumpărare şi este reclasificată din capitalurile proprii. Ulterior, datoria financiară este evaluată în conformitate cu IFRS 9. În cazul în care contractul expiră fără livrare, valoarea contabilă a datoriei financiare este reclasificată în capitalurile proprii. Obligaţia contractuală a unei entităţi de a cumpăra propriile sale instrumente de capitaluri proprii generează o datorie financiară pentru valoarea actualizată a valorii de răscumpărare, chiar dacă obligaţia de cumpărare este condiţionată de exercitarea de către partener a dreptului de răscumpărare (de exemplu, o opţiune put emisă care îi dă partenerului dreptul de a vinde entităţii propriile instrumente de capitaluri proprii ale acesteia la un preţ fix).</w:t>
      </w:r>
      <w:bookmarkEnd w:id="126"/>
    </w:p>
    <w:p w:rsidR="00504F27" w:rsidRDefault="00504F27">
      <w:pPr>
        <w:pStyle w:val="IASBNormalnpara"/>
      </w:pPr>
      <w:r>
        <w:t>24</w:t>
      </w:r>
      <w:r>
        <w:tab/>
      </w:r>
      <w:bookmarkStart w:id="127" w:name="SL31542"/>
      <w:r>
        <w:t>Un contract care va fi decontat de entitatea care primeşte sau care livrează un număr fix din propriile sale instrumente de capitaluri proprii în schimbul unei sume variabile de numerar sau în schimbul unui alt activ financiar este un activ financiar sau o datorie financiară. Un exemplu îl constituie contractul prin care entitatea vinde 100 din propriile sale instrumente de capitaluri proprii în schimbul unei sume în numerar egale cu valoarea a 100 de uncii de aur.</w:t>
      </w:r>
      <w:bookmarkEnd w:id="127"/>
    </w:p>
    <w:p w:rsidR="00504F27" w:rsidRDefault="00504F27">
      <w:pPr>
        <w:pStyle w:val="IASBSectionTitle3Ind"/>
      </w:pPr>
      <w:bookmarkStart w:id="128" w:name="SL147287"/>
      <w:r>
        <w:t>Prevederi privind decontarea elementelor contingente</w:t>
      </w:r>
      <w:bookmarkEnd w:id="128"/>
    </w:p>
    <w:p w:rsidR="00504F27" w:rsidRDefault="00504F27">
      <w:pPr>
        <w:pStyle w:val="IASBNormalnpara"/>
      </w:pPr>
      <w:r>
        <w:t>25</w:t>
      </w:r>
      <w:r>
        <w:tab/>
      </w:r>
      <w:bookmarkStart w:id="129" w:name="SL31543"/>
      <w:r>
        <w:t xml:space="preserve">Un instrument financiar poate impune entităţii să livreze numerar, sau un alt activ financiar, sau să îl deconteze astfel încât să se constituie o datorie financiară, în eventualitatea apariţiei sau absenţei unor evenimente viitoare incerte (sau ca rezultat al unor circumstanţe incerte) care nu pot fi controlate nici de emitent, nici de deţinătorul instrumentului, cum ar fi o modificare a indicelui bursier, a indicelui preţului de consum, a ratei dobânzii sau a dispoziţiilor fiscale sau a veniturilor viitoare ale emitentului, a venitului net sau a ratei de îndatorare a capitalului. Emitentul unui astfel de instrument nu are dreptul necondiţionat de a evita livrarea de numerar sau a altui activ financiar (sau de a-l deconta în alt mod, astfel încât acesta să reprezinte o datorie financiară). Prin urmare, acesta reprezintă o datorie financiară a emitentului, cu excepţia cazului în care: </w:t>
      </w:r>
      <w:bookmarkEnd w:id="129"/>
    </w:p>
    <w:p w:rsidR="00504F27" w:rsidRDefault="00504F27">
      <w:pPr>
        <w:pStyle w:val="IASBNormalnparaL1"/>
      </w:pPr>
      <w:r>
        <w:t>(a)</w:t>
      </w:r>
      <w:r>
        <w:tab/>
      </w:r>
      <w:bookmarkStart w:id="130" w:name="SL147290"/>
      <w:r>
        <w:t>partea din prevederea privind decontarea elementelor contingente care ar putea impune decontarea în numerar sau în alt activ financiar (sau în alt mod, astfel încât să devină o datorie financiară) nu este autentică;</w:t>
      </w:r>
      <w:bookmarkEnd w:id="130"/>
    </w:p>
    <w:p w:rsidR="00504F27" w:rsidRDefault="00504F27">
      <w:pPr>
        <w:pStyle w:val="IASBNormalnparaL1"/>
      </w:pPr>
      <w:r>
        <w:t>(b)</w:t>
      </w:r>
      <w:r>
        <w:tab/>
      </w:r>
      <w:bookmarkStart w:id="131" w:name="SL147292"/>
      <w:r>
        <w:t>emitentului i se poate impune să deconteze o obligaţie în numerar sau printr-un alt activ financiar (sau să o deconteze în alt mod, astfel încât să reprezinte o datorie financiară) numai în eventualitatea lichidării emitentului; sau</w:t>
      </w:r>
      <w:bookmarkEnd w:id="131"/>
    </w:p>
    <w:p w:rsidR="00504F27" w:rsidRDefault="00504F27">
      <w:pPr>
        <w:pStyle w:val="IASBNormalnparaL1"/>
      </w:pPr>
      <w:r>
        <w:t>(c)</w:t>
      </w:r>
      <w:r>
        <w:tab/>
      </w:r>
      <w:bookmarkStart w:id="132" w:name="F5588705"/>
      <w:r>
        <w:t>instrumentul are toate caracteristicile şi îndeplineşte condiţiile de la punctele 16A şi 16B.</w:t>
      </w:r>
      <w:bookmarkEnd w:id="132"/>
    </w:p>
    <w:p w:rsidR="00504F27" w:rsidRDefault="00504F27">
      <w:pPr>
        <w:pStyle w:val="IASBSectionTitle3Ind"/>
      </w:pPr>
      <w:bookmarkStart w:id="133" w:name="SL147293"/>
      <w:r>
        <w:t>Opţiuni de decontare</w:t>
      </w:r>
      <w:bookmarkEnd w:id="133"/>
    </w:p>
    <w:p w:rsidR="00504F27" w:rsidRDefault="00504F27">
      <w:pPr>
        <w:pStyle w:val="IASBNormalnpara"/>
        <w:rPr>
          <w:b/>
        </w:rPr>
      </w:pPr>
      <w:r>
        <w:rPr>
          <w:b/>
        </w:rPr>
        <w:t>26</w:t>
      </w:r>
      <w:bookmarkStart w:id="134" w:name="SL31544"/>
      <w:r w:rsidR="002A0F7F">
        <w:rPr>
          <w:b/>
        </w:rPr>
        <w:tab/>
      </w:r>
      <w:r>
        <w:rPr>
          <w:b/>
        </w:rPr>
        <w:t>Atunci când un instrument financiar derivat oferă unei părţi posibilitatea de a alege modul de decontare (de exemplu, emitentul sau deţinătorul poate alege decontarea netă în numerar sau prin schimbul de acţiuni cu numerar), acesta este un activ financiar sau o datorie financiară, cu excepţia situaţiei în care toate alternativele de decontare ar indica faptul că acesta este un instrument de capitaluri proprii.</w:t>
      </w:r>
      <w:bookmarkEnd w:id="134"/>
    </w:p>
    <w:p w:rsidR="00504F27" w:rsidRDefault="00504F27">
      <w:pPr>
        <w:pStyle w:val="IASBNormalnpara"/>
      </w:pPr>
      <w:r>
        <w:t>27</w:t>
      </w:r>
      <w:r>
        <w:tab/>
      </w:r>
      <w:bookmarkStart w:id="135" w:name="SL31545"/>
      <w:r>
        <w:t>Un exemplu de instrument financiar derivat cu o opţiune de decontare care este o datorie financiară este o opţiune pe acţiuni pe care emitentul poate decide să o deconteze net în numerar sau prin schimbul propriilor sale acţiuni cu numerar. În mod similar, unele contracte de cumpărare sau de vânzare a unui element nefinanciar în schimbul propriilor instrumente de capitaluri proprii ale entităţii intră sub incidenţa prezentului standard deoarece pot fi decontate fie prin livrarea unui element nefinanciar, fie net în numerar sau alt instrument financiar (a se vedea punctele 8-10). Astfel de contracte sunt active financiare sau datorii financiare, şi nu instrumente de capitaluri proprii.</w:t>
      </w:r>
      <w:bookmarkEnd w:id="135"/>
    </w:p>
    <w:p w:rsidR="00504F27" w:rsidRDefault="00504F27">
      <w:pPr>
        <w:pStyle w:val="IASBSectionTitle2Ind"/>
      </w:pPr>
      <w:bookmarkStart w:id="136" w:name="SL147294"/>
      <w:r>
        <w:t>Instrumente financiare compuse (a se vedea şi punctele AG30-AG35 şi Exemplele ilustrative 9-12)</w:t>
      </w:r>
      <w:bookmarkEnd w:id="136"/>
    </w:p>
    <w:p w:rsidR="00504F27" w:rsidRDefault="00504F27">
      <w:pPr>
        <w:pStyle w:val="IASBNormalnpara"/>
        <w:rPr>
          <w:b/>
        </w:rPr>
      </w:pPr>
      <w:r>
        <w:rPr>
          <w:b/>
        </w:rPr>
        <w:t>28</w:t>
      </w:r>
      <w:bookmarkStart w:id="137" w:name="SL31546"/>
      <w:r w:rsidR="002A0F7F">
        <w:rPr>
          <w:b/>
        </w:rPr>
        <w:tab/>
      </w:r>
      <w:r>
        <w:rPr>
          <w:b/>
        </w:rPr>
        <w:t xml:space="preserve">Emitentul unui instrument financiar nederivat trebuie să evalueze termenele instrumentului financiar pentru a determina dacă acesta conţine atât un element de datorii, cât şi un element de capitaluri proprii. Astfel de componente trebuie clasificate separat ca datorii financiare, active financiare sau instrumente de capitaluri proprii, în conformitate cu punctul 15. </w:t>
      </w:r>
      <w:bookmarkEnd w:id="137"/>
    </w:p>
    <w:p w:rsidR="00504F27" w:rsidRDefault="00504F27">
      <w:pPr>
        <w:pStyle w:val="IASBNormalnpara"/>
      </w:pPr>
      <w:r>
        <w:t>29</w:t>
      </w:r>
      <w:r>
        <w:tab/>
      </w:r>
      <w:bookmarkStart w:id="138" w:name="SL31547"/>
      <w:r>
        <w:t xml:space="preserve">O entitate recunoaşte separat componentele unui instrument financiar care (a) creează o datorie financiară a entităţii şi (b) conferă o opţiune deţinătorului instrumentului de a-l converti într-un instrument de capitaluri proprii al entităţii. De exemplu, o obligaţiune sau un instrument similar convertibil de către deţinător într-un </w:t>
      </w:r>
      <w:r>
        <w:lastRenderedPageBreak/>
        <w:t>număr fix de acţiuni ordinare ale entităţii este un instrument financiar compus. Din perspectiva entităţii, un astfel de instrument cuprinde două componente: o datorie financiară (un angajament contractual de a livra numerar sau alt activ financiar) şi un instrument de capitaluri proprii (o opţiune call care acordă deţinătorului dreptul, pentru o anumită perioadă de timp, de a o converti într-un număr fix de acţiuni ordinare ale entităţii). Efectul economic al emiterii unui astfel de instrument este în cea mai mare parte acelaşi cu cel de emitere simultană a unui instrument de datorie cu o clauză de decontare anticipată şi cu warante de cumpărare de acţiuni ordinare, sau cu cel de emitere a unui instrument de datorie cu warante de cumpărare a acţiunilor detaşabile. În consecinţă, în toate cazurile, entitatea prezintă componentele de datorie şi de capitaluri proprii separat în situaţia poziţiei sale financiare.</w:t>
      </w:r>
      <w:bookmarkEnd w:id="138"/>
    </w:p>
    <w:p w:rsidR="00504F27" w:rsidRDefault="00504F27">
      <w:pPr>
        <w:pStyle w:val="IASBNormalnpara"/>
      </w:pPr>
      <w:r>
        <w:t>30</w:t>
      </w:r>
      <w:r>
        <w:tab/>
      </w:r>
      <w:bookmarkStart w:id="139" w:name="SL31548"/>
      <w:r>
        <w:t>Clasificarea componentelor de datorie şi de capitaluri proprii ale unui instrument convertibil nu este revizuită ca urmare a modificării probabilităţii de exercitare a opţiunii de conversie, chiar dacă exercitarea opţiunii poate părea avantajoasă din punct de vedere economic pentru unii deţinători. Este posibil ca deţinătorii să nu acţioneze întotdeauna conform aşteptărilor, deoarece, de exemplu, consecinţele fiscale rezultate din conversie pot fi diferite de la un deţinător la altul. Mai mult, probabilitatea conversiei se va modifica în decursul timpului. Obligaţia contractuală a entităţii de a efectua plăţi pe viitor rămâne valabilă până când este stinsă prin conversie, la scadenţa instrumentului sau printr-o altă tranzacţie.</w:t>
      </w:r>
      <w:bookmarkEnd w:id="139"/>
    </w:p>
    <w:p w:rsidR="00504F27" w:rsidRDefault="00504F27">
      <w:pPr>
        <w:pStyle w:val="IASBNormalnpara"/>
      </w:pPr>
      <w:r>
        <w:t>31</w:t>
      </w:r>
      <w:r>
        <w:tab/>
      </w:r>
      <w:bookmarkStart w:id="140" w:name="SL19040526"/>
      <w:r>
        <w:t>IFRS 9 tratează evaluarea activelor financiare şi a datoriilor financiare. Instrumentele de capitaluri proprii sunt instrumente care prezintă un interes rezidual în activele unei entităţi după deducerea tuturor datoriilor sale. Prin urmare, atunci când valoarea contabilă iniţială a unui instrument financiar compus este alocată componentelor de capitaluri proprii şi de datorii, componentei de capitaluri proprii îi este repartizată valoarea reziduală după deducerea din valoarea justă a instrumentului ca întreg a valorii determinate separat pentru componenta de datorie. Valoarea oricăror caracteristici derivate (cum ar fi o opţiune call) încorporate în instrumentul financiar compus, altele decât componenta de capitaluri proprii (cum ar fi opţiunea de conversie în capitaluri proprii), este inclusă în componenta de datorie. Suma valorilor contabile alocate componentelor de datorie şi de capitaluri proprii la recunoaşterea iniţială este întotdeauna egală cu valoarea justă care ar fi atribuită instrumentului ca întreg. Nu se înregistrează pierderi sau câştiguri la recunoaşterea iniţială separată a componentelor instrumentului.</w:t>
      </w:r>
      <w:bookmarkEnd w:id="140"/>
    </w:p>
    <w:p w:rsidR="00504F27" w:rsidRDefault="00504F27">
      <w:pPr>
        <w:pStyle w:val="IASBNormalnpara"/>
      </w:pPr>
      <w:r>
        <w:t>32</w:t>
      </w:r>
      <w:r>
        <w:tab/>
      </w:r>
      <w:bookmarkStart w:id="141" w:name="SL31550"/>
      <w:r>
        <w:t>Conform abordării descrise la punctul 31, emitentul unei obligaţiuni convertibile în acţiuni ordinare determină, în primul rând, valoarea contabilă a componentei de datorie prin evaluarea valorii juste a unei datorii similare (inclusiv orice caracteristici derivate încorporate, altele decât cele de capitaluri proprii) care nu are o componentă asociată de capitaluri proprii. Valoarea contabilă a instrumentului de capitaluri proprii reprezentat de opţiunea de a converti instrumentul în acţiuni ordinare poate fi apoi determinată prin deducerea valorii juste a datoriei financiare din valoarea justă a instrumentului financiar compus în ansamblul său.</w:t>
      </w:r>
      <w:bookmarkEnd w:id="141"/>
    </w:p>
    <w:p w:rsidR="00504F27" w:rsidRDefault="00504F27">
      <w:pPr>
        <w:pStyle w:val="IASBSectionTitle2Ind"/>
      </w:pPr>
      <w:bookmarkStart w:id="142" w:name="SL147295"/>
      <w:r>
        <w:t>Acţiuni de trezorerie (a se vedea şi punctul AG36)</w:t>
      </w:r>
      <w:bookmarkEnd w:id="142"/>
    </w:p>
    <w:p w:rsidR="00504F27" w:rsidRDefault="00504F27">
      <w:pPr>
        <w:pStyle w:val="IASBNormalnpara"/>
        <w:rPr>
          <w:b/>
        </w:rPr>
      </w:pPr>
      <w:r>
        <w:rPr>
          <w:b/>
        </w:rPr>
        <w:t>33</w:t>
      </w:r>
      <w:bookmarkStart w:id="143" w:name="SL31551"/>
      <w:r w:rsidR="002A0F7F">
        <w:rPr>
          <w:b/>
        </w:rPr>
        <w:tab/>
      </w:r>
      <w:r>
        <w:rPr>
          <w:b/>
        </w:rPr>
        <w:t>Dacă o entitate îşi redobândeşte propriile instrumente de capitaluri proprii, acele instrumente („acţiunile de trezorerie”) trebuie deduse din capitalurile proprii. Câştigurile sau pierderile legate de cumpărarea, vânzarea, emiterea sau anularea propriilor instrumente de capitaluri proprii ale entităţii nu trebuie recunoscute în profit sau pierdere. Astfel de acţiuni de trezorerie pot fi dobândite şi deţinute de entitate sau de alţi membri ai grupului consolidat. Contravaloarea primită sau plătită trebuie recunoscută direct în capitalurile proprii.</w:t>
      </w:r>
      <w:bookmarkEnd w:id="143"/>
    </w:p>
    <w:p w:rsidR="00504F27" w:rsidRDefault="00504F27">
      <w:pPr>
        <w:pStyle w:val="IASBNormalnpara"/>
      </w:pPr>
      <w:r>
        <w:t>34</w:t>
      </w:r>
      <w:r>
        <w:tab/>
      </w:r>
      <w:bookmarkStart w:id="144" w:name="SL31552"/>
      <w:r>
        <w:t xml:space="preserve">Valoarea acţiunilor de trezorerie deţinute este prezentată separat, fie în situaţia poziţiei financiare, fie în note, în conformitate cu IAS 1 </w:t>
      </w:r>
      <w:r>
        <w:rPr>
          <w:i/>
        </w:rPr>
        <w:t>Prezentarea situaţiilor financiare</w:t>
      </w:r>
      <w:r>
        <w:t xml:space="preserve">. O entitate prezintă informaţii în conformitate cu IAS 24 </w:t>
      </w:r>
      <w:r>
        <w:rPr>
          <w:i/>
        </w:rPr>
        <w:t xml:space="preserve">Prezentarea informaţiilor privind părţile afiliate </w:t>
      </w:r>
      <w:r>
        <w:t xml:space="preserve">dacă entitatea îşi redobândeşte propriile sale instrumente de capitaluri proprii de la părţile afiliate. </w:t>
      </w:r>
      <w:bookmarkEnd w:id="144"/>
    </w:p>
    <w:p w:rsidR="00504F27" w:rsidRDefault="00504F27">
      <w:pPr>
        <w:pStyle w:val="IASBSectionTitle2Ind"/>
      </w:pPr>
      <w:bookmarkStart w:id="145" w:name="SL147296"/>
      <w:r>
        <w:t>Dobânzi, dividende, pierderi şi câştiguri (a se vedea şi punctul AG37)</w:t>
      </w:r>
      <w:bookmarkEnd w:id="145"/>
    </w:p>
    <w:p w:rsidR="00504F27" w:rsidRDefault="00504F27">
      <w:pPr>
        <w:pStyle w:val="IASBNormalnpara"/>
        <w:rPr>
          <w:b/>
        </w:rPr>
      </w:pPr>
      <w:r>
        <w:rPr>
          <w:b/>
        </w:rPr>
        <w:t>35</w:t>
      </w:r>
      <w:bookmarkStart w:id="146" w:name="SL31553"/>
      <w:r w:rsidR="002A0F7F">
        <w:rPr>
          <w:b/>
        </w:rPr>
        <w:tab/>
      </w:r>
      <w:r>
        <w:rPr>
          <w:b/>
        </w:rPr>
        <w:t>Dobânzile, dividendele, pierderile şi câştigurile aferente unui instrument financiar sau unei componente a acestuia care este o datorie financiară trebuie recunoscute drept venituri sau cheltuieli în cadrul profitului sau pierderii. Distribuirile către deţinătorii unui instrument de capitaluri proprii trebuie recunoscute de entitate direct în capitalurile proprii. Costurile unei tranzacţii de capitaluri proprii trebuie contabilizate ca o deducere din capitalurile proprii.</w:t>
      </w:r>
      <w:bookmarkEnd w:id="146"/>
    </w:p>
    <w:p w:rsidR="00504F27" w:rsidRDefault="00504F27">
      <w:pPr>
        <w:pStyle w:val="IASBNormalnpara"/>
      </w:pPr>
      <w:r>
        <w:t>35A</w:t>
      </w:r>
      <w:r>
        <w:tab/>
      </w:r>
      <w:bookmarkStart w:id="147" w:name="F18632315"/>
      <w:r>
        <w:t xml:space="preserve">Impozitul pe profit aferent distribuirilor către deținătorii unui instrument de capitaluri proprii și costurilor tranzacției de capitaluri proprii va fi contabilizat în conformitate cu IAS 12 </w:t>
      </w:r>
      <w:r>
        <w:rPr>
          <w:i/>
        </w:rPr>
        <w:t>Impozitul pe profit</w:t>
      </w:r>
      <w:r>
        <w:t xml:space="preserve">. </w:t>
      </w:r>
      <w:bookmarkEnd w:id="147"/>
    </w:p>
    <w:p w:rsidR="00504F27" w:rsidRDefault="00504F27">
      <w:pPr>
        <w:pStyle w:val="IASBNormalnpara"/>
      </w:pPr>
      <w:r>
        <w:t>36</w:t>
      </w:r>
      <w:r>
        <w:tab/>
      </w:r>
      <w:bookmarkStart w:id="148" w:name="SL31554"/>
      <w:r>
        <w:t xml:space="preserve">Modul de clasificare a unui instrument financiar drept datorie financiară sau drept instrument de capitaluri proprii determină dacă dobânda, dividendele, pierderile şi câştigurile legate de acest instrument sunt </w:t>
      </w:r>
      <w:r>
        <w:lastRenderedPageBreak/>
        <w:t>recunoscute drept venit sau cheltuială în profit sau pierdere. Astfel, plăţile de dividende pentru acţiuni recunoscute în întregime drept datorii sunt recunoscute drept cheltuieli în acelaşi mod ca dobânda aferentă unei obligaţiuni. În mod similar, câştigurile și pierderile asociate cu răscumpărările sau refinanţările datoriilor financiare sunt recunoscute în profit sau pierdere, în timp ce răscumpărările sau refinanţările instrumentelor de capitaluri proprii sunt recunoscute ca modificări ale capitalurilor proprii. Modificările valorii juste a unui instrument de capitaluri proprii nu sunt recunoscute în situaţiile financiare.</w:t>
      </w:r>
      <w:bookmarkEnd w:id="148"/>
    </w:p>
    <w:p w:rsidR="00504F27" w:rsidRDefault="00504F27">
      <w:pPr>
        <w:pStyle w:val="IASBNormalnpara"/>
      </w:pPr>
      <w:r>
        <w:t>37</w:t>
      </w:r>
      <w:r>
        <w:tab/>
      </w:r>
      <w:bookmarkStart w:id="149" w:name="SL31555"/>
      <w:r>
        <w:t>O entitate suportă, în general, diferite costuri aferente emiterii sau dobândirii propriilor sale instrumente de capitaluri proprii. Acele costuri ar putea include taxele de înregistrare şi alte taxe de reglementare, sumele plătite avocaţilor, experţilor contabili şi altor consilieri profesionali, costurile de tipărire şi taxele de timbru. Costurile unei tranzacţii de capitaluri proprii sunt contabilizate ca o deducere din capitalurile proprii în măsura în care acestea sunt costuri marginale direct atribuibile tranzacţionării capitalurilor proprii care altfel ar fi fost evitate. Costurile unei tranzacţionări de capitaluri proprii care este abandonată sunt recunoscute drept cheltuială.</w:t>
      </w:r>
      <w:bookmarkEnd w:id="149"/>
    </w:p>
    <w:p w:rsidR="00504F27" w:rsidRDefault="00504F27">
      <w:pPr>
        <w:pStyle w:val="IASBNormalnpara"/>
      </w:pPr>
      <w:r>
        <w:t>38</w:t>
      </w:r>
      <w:r>
        <w:tab/>
      </w:r>
      <w:bookmarkStart w:id="150" w:name="SL31556"/>
      <w:r>
        <w:t xml:space="preserve">Costurile de tranzacţie aferente emiterii unui instrument financiar compus sunt alocate componentelor de datorie şi de capitaluri proprii ale instrumentului proporţional cu alocarea încasărilor. Costurile de tranzacţie care se referă la mai multe tranzacţii luate împreună (de exemplu, costurile unei oferte simultane de acţiuni şi ale unei cotări la bursă a altor acţiuni) sunt alocate respectivelor tranzacţii pe baza unei alocări raţionale şi în conformitate cu tranzacţii similare. </w:t>
      </w:r>
      <w:bookmarkEnd w:id="150"/>
    </w:p>
    <w:p w:rsidR="00504F27" w:rsidRDefault="00504F27">
      <w:pPr>
        <w:pStyle w:val="IASBNormalnpara"/>
      </w:pPr>
      <w:r>
        <w:t>39</w:t>
      </w:r>
      <w:r>
        <w:tab/>
      </w:r>
      <w:bookmarkStart w:id="151" w:name="SL31557"/>
      <w:r>
        <w:t>Valoarea costurilor de tranzacţie contabilizate drept o deducere din capitalurile proprii în cursul perioadei este prezentată separat, în conformitate cu IAS 1.</w:t>
      </w:r>
      <w:bookmarkEnd w:id="151"/>
    </w:p>
    <w:p w:rsidR="00504F27" w:rsidRDefault="00504F27">
      <w:pPr>
        <w:pStyle w:val="IASBNormalnpara"/>
      </w:pPr>
      <w:r>
        <w:t>40</w:t>
      </w:r>
      <w:r>
        <w:tab/>
      </w:r>
      <w:bookmarkStart w:id="152" w:name="SL31558"/>
      <w:r>
        <w:t>Dividendele clasificate drept cheltuială pot fi prezentate în situaţia (situațiile) profitului sau pierderii și altor elemente ale rezultatului global fie cu dobândă asupra altor datorii, fie ca element separat. Suplimentar faţă de dispoziţiile prezentului standard, prezentarea dobânzii şi dividendelor face obiectul dispoziţiilor din IAS 1 şi din IFRS 7. În unele situații, din cauza diferenţelor dintre dobândă şi dividende în ceea ce priveşte aspecte cum ar fi deductibilitatea fiscală, este preferabilă prezentarea lor separată în situaţia (situaţiile) profitului sau pierderii şi altor elemente ale rezultatului global. Prezentarea efectelor fiscale se face în conformitate cu IAS 12.</w:t>
      </w:r>
      <w:bookmarkEnd w:id="152"/>
    </w:p>
    <w:p w:rsidR="00504F27" w:rsidRDefault="00504F27">
      <w:pPr>
        <w:pStyle w:val="IASBNormalnpara"/>
      </w:pPr>
      <w:r>
        <w:t>41</w:t>
      </w:r>
      <w:r>
        <w:tab/>
      </w:r>
      <w:bookmarkStart w:id="153" w:name="SL31559"/>
      <w:r>
        <w:t>Câştigurile şi pierderile aferente modificărilor valorii contabile a unei datorii financiare sunt recunoscute drept venituri sau cheltuieli în profit sau pierdere chiar şi atunci când se referă la un instrument care include dreptul la un interes rezidual în activele entităţii în schimbul numerarului sau al unui alt activ financiar (a se vedea punctul 18 litera (b)). Conform IAS 1, entitatea prezintă orice câştiguri sau pierderi care provin din reevaluarea unui astfel de instrument separat în situaţia rezultatului global când acest lucru este relevant pentru explicarea performanţelor entităţii.</w:t>
      </w:r>
      <w:bookmarkEnd w:id="153"/>
    </w:p>
    <w:p w:rsidR="00504F27" w:rsidRDefault="00504F27">
      <w:pPr>
        <w:pStyle w:val="IASBSectionTitle2Ind"/>
      </w:pPr>
      <w:bookmarkStart w:id="154" w:name="SL17966871"/>
      <w:r>
        <w:t>Compensarea unui activ financiar şi a unei datorii financiare  (a se vedea şi punctele AG38A-AG38F şi AG39)</w:t>
      </w:r>
      <w:bookmarkEnd w:id="154"/>
    </w:p>
    <w:p w:rsidR="00504F27" w:rsidRDefault="00504F27">
      <w:pPr>
        <w:pStyle w:val="IASBNormalnpara"/>
        <w:rPr>
          <w:b/>
        </w:rPr>
      </w:pPr>
      <w:r>
        <w:rPr>
          <w:b/>
        </w:rPr>
        <w:t>42</w:t>
      </w:r>
      <w:bookmarkStart w:id="155" w:name="F19040967"/>
      <w:r w:rsidR="002A0F7F">
        <w:rPr>
          <w:b/>
        </w:rPr>
        <w:tab/>
      </w:r>
      <w:r>
        <w:rPr>
          <w:b/>
        </w:rPr>
        <w:t xml:space="preserve">Un activ financiar şi o datorie financiară trebuie compensate, iar valoarea netă trebuie prezentată în situaţia poziţiei financiare atunci şi numai atunci când o entitate: </w:t>
      </w:r>
      <w:bookmarkEnd w:id="155"/>
    </w:p>
    <w:p w:rsidR="00504F27" w:rsidRDefault="00504F27">
      <w:pPr>
        <w:pStyle w:val="IASBNormalnparaL1"/>
      </w:pPr>
      <w:r>
        <w:rPr>
          <w:b/>
        </w:rPr>
        <w:t>(a)</w:t>
      </w:r>
      <w:bookmarkStart w:id="156" w:name="SL147300"/>
      <w:r>
        <w:rPr>
          <w:b/>
        </w:rPr>
        <w:t>are în prezent un drept exercitabil legal de a compensa valorile recunoscute; și</w:t>
      </w:r>
      <w:bookmarkEnd w:id="156"/>
    </w:p>
    <w:p w:rsidR="00504F27" w:rsidRDefault="00504F27">
      <w:pPr>
        <w:pStyle w:val="IASBNormalnparaL1"/>
      </w:pPr>
      <w:r>
        <w:rPr>
          <w:b/>
        </w:rPr>
        <w:t>(b)</w:t>
      </w:r>
      <w:bookmarkStart w:id="157" w:name="SL147302"/>
      <w:r>
        <w:rPr>
          <w:b/>
        </w:rPr>
        <w:t>intenţionează fie să deconteze datoria pe o bază netă, fie să valorifice activul şi să deconteze datoria simultan.</w:t>
      </w:r>
      <w:bookmarkEnd w:id="157"/>
    </w:p>
    <w:p w:rsidR="00504F27" w:rsidRDefault="00504F27">
      <w:pPr>
        <w:pStyle w:val="IASBNormalnparaP"/>
      </w:pPr>
      <w:bookmarkStart w:id="158" w:name="SL147303"/>
      <w:r>
        <w:rPr>
          <w:b/>
        </w:rPr>
        <w:t>La contabilizarea unui transfer al unui activ financiar care nu îndeplineşte condiţiile pentru derecunoaştere, entitatea nu trebuie să compenseze activul transferat şi datoria asociată acestuia (a se vedea IFRS 9, punctul 3.2.22).</w:t>
      </w:r>
      <w:bookmarkEnd w:id="158"/>
    </w:p>
    <w:p w:rsidR="00504F27" w:rsidRDefault="00504F27">
      <w:pPr>
        <w:pStyle w:val="IASBNormalnpara"/>
      </w:pPr>
      <w:r>
        <w:t>43</w:t>
      </w:r>
      <w:r>
        <w:tab/>
      </w:r>
      <w:bookmarkStart w:id="159" w:name="SL31561"/>
      <w:r>
        <w:t>Prezentul standard prevede prezentarea activelor financiare şi datoriilor financiare pe o bază netă când acest lucru reflectă fluxurile de trezorerie viitoare preconizate din decontarea a două sau mai multe instrumente financiare separate. Atunci când o entitate are dreptul de a încasa sau de a plăti o singură valoare netă şi intenţionează să facă acest lucru, ea are, de fapt, un singur activ financiar sau o singură datorie financiară. În alte circumstanţe, activele financiare şi datoriile financiare sunt prezentate separat unele de celelalte conform caracteristicilor lor ca resurse sau obligaţii ale entităţii. O entitate trebuie să prezinte informațiile impuse de punctele 13B - 13E din IFRS 7 pentru instrumentele financiare recunoscute care intră sub incidenţa punctului 13A din IFRS 7.</w:t>
      </w:r>
      <w:bookmarkEnd w:id="159"/>
    </w:p>
    <w:p w:rsidR="00504F27" w:rsidRDefault="00504F27">
      <w:pPr>
        <w:pStyle w:val="IASBNormalnpara"/>
      </w:pPr>
      <w:r>
        <w:t>44</w:t>
      </w:r>
      <w:r>
        <w:tab/>
      </w:r>
      <w:bookmarkStart w:id="160" w:name="SL31562"/>
      <w:r>
        <w:t>Compensarea unui activ financiar recunoscut şi a unei datorii financiare recunoscute, precum şi prezentarea valorii nete diferă de derecunoaşterea unui activ financiar sau a unei datorii financiare. Deşi compensarea nu generează recunoaşterea unui câştig sau a unei pierderi, derecunoaşterea unui instrument financiar nu are drept rezultat numai înlăturarea elementului recunoscut anterior din situaţia poziţiei financiare, dar poate avea drept rezultat și recunoaşterea unui câştig sau a unei pierderi.</w:t>
      </w:r>
      <w:bookmarkEnd w:id="160"/>
    </w:p>
    <w:p w:rsidR="00504F27" w:rsidRDefault="00504F27">
      <w:pPr>
        <w:pStyle w:val="IASBNormalnpara"/>
      </w:pPr>
      <w:r>
        <w:lastRenderedPageBreak/>
        <w:t>45</w:t>
      </w:r>
      <w:r>
        <w:tab/>
      </w:r>
      <w:bookmarkStart w:id="161" w:name="SL31563"/>
      <w:r>
        <w:t>Dreptul de compensare este dreptul legal al debitorului, stabilit prin contract sau prin alte mijloace, de a deconta sau, altminteri, de a elimina o parte sau întreaga sumă datorată unui creditor prin deducerea din valoarea respectivă a unei sume datorate de creditor. În împrejurări neobişnuite, debitorul poate avea dreptul legal de a deduce o sumă datorată de un terţ din valoarea datorată creditorului, cu condiţia să existe o înţelegere între cele trei părţi care să specifice clar dreptul de compensare al debitorului. Deoarece dreptul de compensare este un drept legal, condiţiile care stau la baza dreptului respectiv pot varia de la o jurisdicţie la alta şi, de aceea, trebuie analizate reglementările care se aplică raportului dintre părţi.</w:t>
      </w:r>
      <w:bookmarkEnd w:id="161"/>
    </w:p>
    <w:p w:rsidR="00504F27" w:rsidRDefault="00504F27">
      <w:pPr>
        <w:pStyle w:val="IASBNormalnpara"/>
      </w:pPr>
      <w:r>
        <w:t>46</w:t>
      </w:r>
      <w:r>
        <w:tab/>
      </w:r>
      <w:bookmarkStart w:id="162" w:name="SL31564"/>
      <w:r>
        <w:t>Existenţa unui drept exercitabil de a compensa un activ financiar şi o datorie financiară afectează drepturile şi obligaţiile asociate cu un activ financiar sau o datorie financiară şi poate afecta expunerea unei entităţi la riscul de credit şi de lichiditate. Totuşi, existenţa dreptului, prin el însuşi, nu este un temei suficient pentru compensare. În absenţa intenţiei de a exercita dreptul sau de a deconta obligaţia simultan, valoarea şi plasarea în timp ale fluxurilor de trezorerie viitoare ale unei entităţi nu sunt afectate. Când o entitate intenţionează să exercite dreptul sau să deconteze datoria simultan, prezentarea activului şi datoriei pe o bază netă reflectă mai exact valorile şi plasarea în timp ale fluxurilor de trezorerie preconizate, precum şi riscurile la care aceste fluxuri de trezorerie sunt expuse. Intenţia uneia sau a ambelor părţi de a deconta pe o bază netă fără a avea dreptul legal de a o face nu este suficientă pentru justificarea compensării, deoarece drepturile şi obligaţiile asociate activului financiar individual şi datoriei financiare individuale rămân neschimbate.</w:t>
      </w:r>
      <w:bookmarkEnd w:id="162"/>
    </w:p>
    <w:p w:rsidR="00504F27" w:rsidRDefault="00504F27">
      <w:pPr>
        <w:pStyle w:val="IASBNormalnpara"/>
      </w:pPr>
      <w:r>
        <w:t>47</w:t>
      </w:r>
      <w:r>
        <w:tab/>
      </w:r>
      <w:bookmarkStart w:id="163" w:name="SL31565"/>
      <w:r>
        <w:t>Intenţiile unei entităţi cu privire la decontarea anumitor active şi datorii pot fi influenţate de practicile sale normale de afaceri, de dispoziţiile pieţelor financiare, precum şi de alte circumstanţe care pot limita capacitatea de a deconta pe o bază netă sau de a deconta simultan. Când o entitate are dreptul de a compensa, dar nu intenţionează să deconteze valoarea netă sau să valorifice activul şi să deconteze datoria simultan, efectul acestui drept asupra expunerii entităţii la riscul de credit este prezentat în conformitate cu punctul 36 din IFRS 7.</w:t>
      </w:r>
      <w:bookmarkEnd w:id="163"/>
    </w:p>
    <w:p w:rsidR="00504F27" w:rsidRDefault="00504F27">
      <w:pPr>
        <w:pStyle w:val="IASBNormalnpara"/>
      </w:pPr>
      <w:r>
        <w:t>48</w:t>
      </w:r>
      <w:r>
        <w:tab/>
      </w:r>
      <w:bookmarkStart w:id="164" w:name="SL31566"/>
      <w:r>
        <w:t>Decontarea simultană a două instrumente financiare poate avea loc, de exemplu, prin intermediul unei case de compensaţie pe o piaţă financiară organizată sau printr-o tranzacţie directă. În aceste circumstanţe, fluxurile de trezorerie sunt, de fapt, echivalente unei singure valori nete şi nu există expunere la riscul de credit sau de lichiditate. În alte situații, o entitate poate deconta două instrumente prin încasarea şi plata de sume separate, devenind astfel expusă la riscul de credit pentru întreaga valoare a activului sau la riscul de lichiditate pentru întreaga valoare a datoriei. Astfel de expuneri la risc pot fi semnificative chiar dacă sunt relativ scurte. În consecinţă, valorificarea unui activ financiar şi decontarea unei datorii financiare sunt tratate ca fiind simultane numai când tranzacţiile au loc în acelaşi moment.</w:t>
      </w:r>
      <w:bookmarkEnd w:id="164"/>
    </w:p>
    <w:p w:rsidR="00504F27" w:rsidRDefault="00504F27">
      <w:pPr>
        <w:pStyle w:val="IASBNormalnpara"/>
      </w:pPr>
      <w:r>
        <w:t>49</w:t>
      </w:r>
      <w:r>
        <w:tab/>
      </w:r>
      <w:bookmarkStart w:id="165" w:name="SL31567"/>
      <w:r>
        <w:t xml:space="preserve">Condiţiile expuse la punctul 42 nu sunt satisfăcute în general, iar compensarea este de obicei inadecvată atunci când: </w:t>
      </w:r>
      <w:bookmarkEnd w:id="165"/>
    </w:p>
    <w:p w:rsidR="00504F27" w:rsidRDefault="00504F27">
      <w:pPr>
        <w:pStyle w:val="IASBNormalnparaL1"/>
      </w:pPr>
      <w:r>
        <w:t>(a)</w:t>
      </w:r>
      <w:r>
        <w:tab/>
      </w:r>
      <w:bookmarkStart w:id="166" w:name="SL147306"/>
      <w:r>
        <w:t>mai multe instrumente financiare diferite sunt folosite pentru a imita caracteristicile unui instrument financiar unic (un „instrument sintetic”);</w:t>
      </w:r>
      <w:bookmarkEnd w:id="166"/>
    </w:p>
    <w:p w:rsidR="00504F27" w:rsidRDefault="00504F27">
      <w:pPr>
        <w:pStyle w:val="IASBNormalnparaL1"/>
      </w:pPr>
      <w:r>
        <w:t>(b)</w:t>
      </w:r>
      <w:r>
        <w:tab/>
      </w:r>
      <w:bookmarkStart w:id="167" w:name="SL147308"/>
      <w:r>
        <w:t>activele financiare şi datoriile financiare provin din instrumente financiare expuse aceluiaşi risc primar (de exemplu, activele şi datoriile dintr-un portofoliu de contracte forward sau alte instrumente derivate), dar implică parteneri diferiţi;</w:t>
      </w:r>
      <w:bookmarkEnd w:id="167"/>
    </w:p>
    <w:p w:rsidR="00504F27" w:rsidRDefault="00504F27">
      <w:pPr>
        <w:pStyle w:val="IASBNormalnparaL1"/>
      </w:pPr>
      <w:r>
        <w:t>(c)</w:t>
      </w:r>
      <w:r>
        <w:tab/>
      </w:r>
      <w:bookmarkStart w:id="168" w:name="SL147310"/>
      <w:r>
        <w:t>activele financiare sau alte active sunt depuse drept gaj pentru datoriile financiare parţial garantate;</w:t>
      </w:r>
      <w:bookmarkEnd w:id="168"/>
    </w:p>
    <w:p w:rsidR="00504F27" w:rsidRDefault="00504F27">
      <w:pPr>
        <w:pStyle w:val="IASBNormalnparaL1"/>
      </w:pPr>
      <w:r>
        <w:t>(d)</w:t>
      </w:r>
      <w:r>
        <w:tab/>
      </w:r>
      <w:bookmarkStart w:id="169" w:name="SL147312"/>
      <w:r>
        <w:t>activele financiare sunt date de către un debitor în administrare unui terţ, în scopul de a deconta o obligaţie, fără ca activele respective să fi fost acceptate de creditor pentru decontarea obligaţiei (de exemplu, cazul fondurilor de amortizare); sau</w:t>
      </w:r>
      <w:bookmarkEnd w:id="169"/>
    </w:p>
    <w:p w:rsidR="00504F27" w:rsidRDefault="00504F27">
      <w:pPr>
        <w:pStyle w:val="IASBNormalnparaL1"/>
      </w:pPr>
      <w:r>
        <w:t>(e)</w:t>
      </w:r>
      <w:r>
        <w:tab/>
      </w:r>
      <w:bookmarkStart w:id="170" w:name="SL147314"/>
      <w:r>
        <w:t>se preconizează ca obligaţiile suportate ca rezultat al unor evenimente care generează pierderi să fie recuperate de la o terţă parte în virtutea unui drept pretins în cadrul unui contract de asigurare.</w:t>
      </w:r>
      <w:bookmarkEnd w:id="170"/>
    </w:p>
    <w:p w:rsidR="00504F27" w:rsidRDefault="00504F27">
      <w:pPr>
        <w:pStyle w:val="IASBNormalnpara"/>
      </w:pPr>
      <w:r>
        <w:t>50</w:t>
      </w:r>
      <w:r>
        <w:tab/>
      </w:r>
      <w:bookmarkStart w:id="171" w:name="SL31568"/>
      <w:r>
        <w:t>O entitate care încheie o serie de tranzacţii cu instrumente financiare cu un partener unic poate încheia cu acel partener un „angajament de compensare globală”. Un astfel de acord prevede o decontare unică pe bază netă a tuturor instrumentelor financiare acoperite de acord în cazul nerespectării obligaţiilor sau lichidării oricărui contract. Aceste angajamente sunt folosite frecvent de instituţiile financiare pentru a se proteja împotriva pierderilor în eventualitatea unui faliment sau a altor circumstanţe care au drept rezultat incapacitatea uneia dintre părţi de a-şi îndeplini obligaţiile. Un angajament de compensare globală creează, de obicei, un drept de compensare care devine executabil şi afectează valorificarea sau decontarea activelor financiare şi a datoriilor financiare individuale numai ca urmare a unui eveniment specificat care presupune nerespectarea obligaţiilor sau în alte împrejurări care nu sunt aşteptate să apară în desfăşurarea normală a activităţii. Un angajament de compensare globală nu oferă o bază pentru compensare dacă nu sunt respectate ambele criterii de la punctul 42. Când activele financiare şi datoriile financiare care fac obiectul unui angajament de compensare globală nu sunt compensate, efectul angajamentului asupra expunerii entităţii la riscul de credit este prezentat în conformitate cu punctul 36 din IFRS 7.</w:t>
      </w:r>
      <w:bookmarkEnd w:id="171"/>
    </w:p>
    <w:p w:rsidR="00504F27" w:rsidRDefault="00504F27">
      <w:pPr>
        <w:pStyle w:val="IASBNormalnpara"/>
      </w:pPr>
      <w:r>
        <w:lastRenderedPageBreak/>
        <w:t>51-</w:t>
      </w:r>
    </w:p>
    <w:p w:rsidR="00504F27" w:rsidRDefault="00504F27">
      <w:pPr>
        <w:pStyle w:val="IASBNormalnparaC"/>
      </w:pPr>
      <w:r>
        <w:t>95</w:t>
      </w:r>
      <w:r>
        <w:tab/>
      </w:r>
      <w:bookmarkStart w:id="172" w:name="SL31569"/>
      <w:r>
        <w:t>[Eliminate]</w:t>
      </w:r>
      <w:bookmarkEnd w:id="172"/>
    </w:p>
    <w:p w:rsidR="00504F27" w:rsidRDefault="00504F27">
      <w:pPr>
        <w:pStyle w:val="IASBSectionTitle1NonInd"/>
      </w:pPr>
      <w:bookmarkStart w:id="173" w:name="SL147316"/>
      <w:r>
        <w:t>Data intrării în vigoare şi tranziţia</w:t>
      </w:r>
      <w:bookmarkEnd w:id="173"/>
    </w:p>
    <w:p w:rsidR="00504F27" w:rsidRDefault="00504F27">
      <w:pPr>
        <w:pStyle w:val="IASBNormalnpara"/>
      </w:pPr>
      <w:r>
        <w:t>96</w:t>
      </w:r>
      <w:r>
        <w:tab/>
      </w:r>
      <w:bookmarkStart w:id="174" w:name="SL31615"/>
      <w:r>
        <w:t>O entitate trebuie să aplice prezentul standard pentru perioadele anuale care încep la 1 ianuarie 2005 sau ulterior acestei date. Se permite aplicarea anterior acestei date. O entitate nu trebuie să aplice prezentul standard pentru perioadele anuale care încep înainte de 1 ianuarie 2005 decât dacă aplică şi IAS 39 (emis în decembrie 2003), inclusiv amendamentele emise în martie 2004. Dacă o entitate aplică prezentul standard pentru o perioadă care începe anterior datei de 1 ianuarie 2005, entitatea trebuie să prezinte acest fapt.</w:t>
      </w:r>
      <w:bookmarkEnd w:id="174"/>
    </w:p>
    <w:p w:rsidR="00504F27" w:rsidRDefault="00504F27">
      <w:pPr>
        <w:pStyle w:val="IASBNormalnpara"/>
      </w:pPr>
      <w:r>
        <w:t>96A</w:t>
      </w:r>
      <w:r>
        <w:tab/>
      </w:r>
      <w:bookmarkStart w:id="175" w:name="F5588706"/>
      <w:r>
        <w:t xml:space="preserve">Documentul </w:t>
      </w:r>
      <w:r>
        <w:rPr>
          <w:i/>
        </w:rPr>
        <w:t xml:space="preserve">Instrumente financiare care pot fi lichidate de deţinător înainte de scadenţă şi obligaţii care rezultă din lichidare </w:t>
      </w:r>
      <w:r>
        <w:t xml:space="preserve">(Amendamente la IAS 32 şi IAS 1), emis în februarie 2008, prevedea ca instrumentele financiare care cuprind toate caracteristicile şi care îndeplinesc toate condiţiile de la punctele 16A şi 16B sau de la punctele 16C şi 16D să fie clasificate drept instrumente de capitaluri proprii, a modificat punctele 11, 16, 17-19, 22, 23, 25, AG13, AG14 şi AG27 şi a introdus punctele 16A-16F, 22A, 96B, 96C, 97C, AG14A-AG14J şi AG29A. O entitate trebuie să aplice acele amendamente pentru perioadele anuale care încep la 1 ianuarie 2009 sau ulterior acestei date. Se permite aplicarea anterior acestei date. Dacă o entitate aplică aceste amendamente pentru o perioadă care începe anterior acestei date, entitatea trebuie să prezinte acest fapt şi trebuie să aplice amendamentele aferente la IAS 1, IAS 39, IFRS 7 şi IFRIC 2 în acelaşi timp. </w:t>
      </w:r>
      <w:bookmarkEnd w:id="175"/>
    </w:p>
    <w:p w:rsidR="00504F27" w:rsidRDefault="00504F27">
      <w:pPr>
        <w:pStyle w:val="IASBNormalnpara"/>
      </w:pPr>
      <w:r>
        <w:t>96B</w:t>
      </w:r>
      <w:r>
        <w:tab/>
      </w:r>
      <w:bookmarkStart w:id="176" w:name="F5588708"/>
      <w:r>
        <w:t xml:space="preserve">Documentul </w:t>
      </w:r>
      <w:r>
        <w:rPr>
          <w:i/>
        </w:rPr>
        <w:t>Instrumente financiare care pot fi lichidate de deţinător înainte de scadenţă şi obligaţii care rezultă din lichidare</w:t>
      </w:r>
      <w:r>
        <w:t xml:space="preserve"> a introdus o derogare cu domeniu de aplicare limitat; prin urmare, entitatea nu trebuie să aplice derogarea prin analogie.</w:t>
      </w:r>
      <w:bookmarkEnd w:id="176"/>
    </w:p>
    <w:p w:rsidR="00504F27" w:rsidRDefault="00504F27">
      <w:pPr>
        <w:pStyle w:val="IASBNormalnpara"/>
      </w:pPr>
      <w:r>
        <w:t>96C</w:t>
      </w:r>
      <w:r>
        <w:tab/>
      </w:r>
      <w:bookmarkStart w:id="177" w:name="F19040984"/>
      <w:r>
        <w:t>Clasificarea instrumentelor conform acestei excepţii trebuie să se limiteze la contabilizarea unui astfel de instrument conform IAS 1, IAS 32, IAS 39, IFRS 7 şi IFRS 9. Instrumentul nu trebuie clasificat drept instrument de capitaluri proprii conform altor îndrumări, de exemplu, IFRS 2.</w:t>
      </w:r>
      <w:bookmarkEnd w:id="177"/>
    </w:p>
    <w:p w:rsidR="00504F27" w:rsidRDefault="00504F27">
      <w:pPr>
        <w:pStyle w:val="IASBNormalnpara"/>
      </w:pPr>
      <w:r>
        <w:t>97</w:t>
      </w:r>
      <w:r>
        <w:tab/>
      </w:r>
      <w:bookmarkStart w:id="178" w:name="SL31616"/>
      <w:r>
        <w:t>Prezentul standard trebuie aplicat retroactiv.</w:t>
      </w:r>
      <w:bookmarkEnd w:id="178"/>
    </w:p>
    <w:p w:rsidR="00504F27" w:rsidRDefault="00504F27">
      <w:pPr>
        <w:pStyle w:val="IASBNormalnpara"/>
      </w:pPr>
      <w:r>
        <w:t>97A</w:t>
      </w:r>
      <w:r>
        <w:tab/>
      </w:r>
      <w:bookmarkStart w:id="179" w:name="F4421888"/>
      <w:r>
        <w:t>IAS 1 (revizuit în 2007) a modificat terminologia folosită în cadrul IFRS-urilor. De asemenea, a modificat punctul 40. O entitate trebuie să aplice acele amendamente pentru perioadele anuale care încep la 1 ianuarie 2009 sau ulterior acestei date. Dacă o entitate aplică IAS 1 (revizuit în 2007) pentru o perioadă anterioară, amendamentele trebuie aplicate pentru acea perioadă anterioară.</w:t>
      </w:r>
      <w:bookmarkEnd w:id="179"/>
    </w:p>
    <w:p w:rsidR="00504F27" w:rsidRDefault="00504F27">
      <w:pPr>
        <w:pStyle w:val="IASBNormalnpara"/>
      </w:pPr>
      <w:r>
        <w:t>97B</w:t>
      </w:r>
      <w:r>
        <w:tab/>
      </w:r>
      <w:bookmarkStart w:id="180" w:name="F4984611"/>
      <w:r>
        <w:t xml:space="preserve">IFRS 3 </w:t>
      </w:r>
      <w:r>
        <w:rPr>
          <w:i/>
        </w:rPr>
        <w:t>Combinări de întreprinderi</w:t>
      </w:r>
      <w:r>
        <w:t xml:space="preserve"> (revizuit în 2008) a eliminat punctul 4 litera (c). O entitate trebuie să aplice acel amendament pentru perioadele anuale care încep la 1 iulie 2009 sau ulterior acestei date. Dacă o entitate aplică IFRS 3 (revizuit în 2008) pentru o perioadă anterioară, amendamentul trebuie aplicat şi pentru acea perioadă anterioară. Totuşi, amendamentul nu se aplică pentru compensația contingentă generată de o combinare de întreprinderi, pentru care data de achiziţie a precedat data de aplicare a IFRS 3 (revizuit în 2008). În schimb, o entitate trebuie să contabilizeze o astfel de compensaţie în conformitate cu punctele 65A–65E din IFRS 3 (modificat în 2010).</w:t>
      </w:r>
      <w:bookmarkEnd w:id="180"/>
    </w:p>
    <w:p w:rsidR="00504F27" w:rsidRDefault="00504F27">
      <w:pPr>
        <w:pStyle w:val="IASBNormalnpara"/>
      </w:pPr>
      <w:r>
        <w:t>97C</w:t>
      </w:r>
      <w:r>
        <w:tab/>
      </w:r>
      <w:bookmarkStart w:id="181" w:name="F5588712"/>
      <w:r>
        <w:t xml:space="preserve">Atunci când aplică amendamentele descrise la punctul 96A, unei entităţi i se impune să împartă un instrument financiar compus cu o obligaţie de a furniza unei alte entităţi o parte proporţională din activele nete ale entităţii numai la lichidare în componente separate de datorii şi de capitaluri proprii. Dacă nu mai există componenta de datorie, aplicarea retroactivă a acestor amendamente la IAS 32 va implica separarea a două componente de capitaluri proprii. Prima componentă va fi în rezultatul reportat şi reprezintă dobânda cumulată alocată componentei de datorie. Cealaltă componentă va reprezenta componenta iniţială de capitaluri proprii. Prin urmare, entitatea nu trebuie să separe aceste două componente dacă la data aplicării amendamentelor componenta de datorie nu mai există. </w:t>
      </w:r>
      <w:bookmarkEnd w:id="181"/>
    </w:p>
    <w:p w:rsidR="00504F27" w:rsidRDefault="00504F27">
      <w:pPr>
        <w:pStyle w:val="IASBNormalnpara"/>
      </w:pPr>
      <w:r>
        <w:t>97D</w:t>
      </w:r>
      <w:r>
        <w:tab/>
      </w:r>
      <w:bookmarkStart w:id="182" w:name="F6126751"/>
      <w:r>
        <w:t xml:space="preserve">Punctul 4 a fost modificat de documentul </w:t>
      </w:r>
      <w:r>
        <w:rPr>
          <w:i/>
        </w:rPr>
        <w:t>Îmbunătăţiri la IFRS-uri</w:t>
      </w:r>
      <w:r>
        <w:t xml:space="preserve"> emis în mai 2008. O entitate trebuie să aplice acel amendament pentru perioadele anuale care încep la 1 ianuarie 2009 sau ulterior acestei date. Se permite aplicarea anterior acestei date. Dacă o entitate aplică amendamentul pentru o perioadă anterioară, entitatea trebuie să prezinte acest fapt şi să aplice pentru acea perioadă anterioară amendamentele la punctul 3 din IFRS 7, punctul 1 din IAS 28 şi punctul 1 din IAS 31 emise în mai 2008. Unei entităţi i se permite să aplice amendamentul prospectiv.</w:t>
      </w:r>
      <w:bookmarkEnd w:id="182"/>
    </w:p>
    <w:p w:rsidR="00504F27" w:rsidRDefault="00504F27">
      <w:pPr>
        <w:pStyle w:val="IASBNormalnpara"/>
      </w:pPr>
      <w:r>
        <w:t>97E</w:t>
      </w:r>
      <w:r>
        <w:tab/>
      </w:r>
      <w:bookmarkStart w:id="183" w:name="F13330625"/>
      <w:r>
        <w:t xml:space="preserve">Punctele 11 şi 16 au fost modificate prin documentul </w:t>
      </w:r>
      <w:r>
        <w:rPr>
          <w:i/>
        </w:rPr>
        <w:t>Clasificarea emisiunilor de drepturi de subscriere</w:t>
      </w:r>
      <w:r>
        <w:t xml:space="preserve"> emis în octombrie 2009. O entitate trebuie să aplice acel amendament pentru perioadele anuale care încep la 1 februarie 2010 sau ulterior acestei date. Se permite aplicarea anterior acestei date. Dacă o entitate aplică amendamentul pentru o perioadă anterioară, entitatea trebuie să prezinte acest fapt.</w:t>
      </w:r>
      <w:bookmarkEnd w:id="183"/>
    </w:p>
    <w:p w:rsidR="00504F27" w:rsidRDefault="00504F27">
      <w:pPr>
        <w:pStyle w:val="IASBNormalnpara"/>
      </w:pPr>
      <w:r>
        <w:t>97F</w:t>
      </w:r>
      <w:r>
        <w:tab/>
      </w:r>
      <w:bookmarkStart w:id="184" w:name="F19041021"/>
      <w:r>
        <w:t>[Eliminate]</w:t>
      </w:r>
      <w:bookmarkEnd w:id="184"/>
    </w:p>
    <w:p w:rsidR="00504F27" w:rsidRDefault="00504F27">
      <w:pPr>
        <w:pStyle w:val="IASBNormalnpara"/>
      </w:pPr>
      <w:r>
        <w:lastRenderedPageBreak/>
        <w:t>97G</w:t>
      </w:r>
      <w:r>
        <w:tab/>
      </w:r>
      <w:bookmarkStart w:id="185" w:name="F14172993"/>
      <w:r>
        <w:t xml:space="preserve">Punctul 97B a fost modificat de documentul </w:t>
      </w:r>
      <w:r>
        <w:rPr>
          <w:i/>
        </w:rPr>
        <w:t>Îmbunătăţiri la IFRS-uri</w:t>
      </w:r>
      <w:r>
        <w:t xml:space="preserve"> emis în mai 2010. O entitate trebuie să aplice acel amendament pentru perioadele anuale care încep la 1 iulie 2010 sau ulterior acestei date. Se permite aplicarea anterior acestei date. </w:t>
      </w:r>
      <w:bookmarkEnd w:id="185"/>
    </w:p>
    <w:p w:rsidR="00504F27" w:rsidRDefault="00504F27">
      <w:pPr>
        <w:pStyle w:val="IASBNormalnpara"/>
      </w:pPr>
      <w:r>
        <w:t>97H</w:t>
      </w:r>
      <w:r>
        <w:tab/>
      </w:r>
      <w:bookmarkStart w:id="186" w:name="F18763583"/>
      <w:r>
        <w:t>[Eliminate]</w:t>
      </w:r>
      <w:bookmarkEnd w:id="186"/>
    </w:p>
    <w:p w:rsidR="00504F27" w:rsidRDefault="00504F27">
      <w:pPr>
        <w:pStyle w:val="IASBNormalnpara"/>
      </w:pPr>
      <w:r>
        <w:t>97I</w:t>
      </w:r>
      <w:r>
        <w:tab/>
      </w:r>
      <w:bookmarkStart w:id="187" w:name="F16141121"/>
      <w:r>
        <w:t xml:space="preserve">IFRS 10 și IFRS 11 </w:t>
      </w:r>
      <w:r>
        <w:rPr>
          <w:i/>
        </w:rPr>
        <w:t>Angajamente comune</w:t>
      </w:r>
      <w:r>
        <w:t>, emise în mai 2011, au modificat punctele 4 litera (a) și AG29. O entitate trebuie să aplice amendamentele respective atunci când aplică IFRS 10 și IFRS 11.</w:t>
      </w:r>
      <w:bookmarkEnd w:id="187"/>
    </w:p>
    <w:p w:rsidR="00504F27" w:rsidRDefault="00504F27">
      <w:pPr>
        <w:pStyle w:val="IASBNormalnpara"/>
      </w:pPr>
      <w:r>
        <w:t>97J</w:t>
      </w:r>
      <w:r>
        <w:tab/>
      </w:r>
      <w:bookmarkStart w:id="188" w:name="F16141429"/>
      <w:r>
        <w:t>IFRS 13, emis în mai 2011, a modificat definiţia valorii juste de la punctul 11 şi a modificat punctele 23 şi AG31. O entitate trebuie să aplice acele amendamente atunci când aplică IFRS 13.</w:t>
      </w:r>
      <w:bookmarkEnd w:id="188"/>
    </w:p>
    <w:p w:rsidR="00504F27" w:rsidRDefault="00504F27">
      <w:pPr>
        <w:pStyle w:val="IASBNormalnpara"/>
      </w:pPr>
      <w:r>
        <w:t>97K</w:t>
      </w:r>
      <w:r>
        <w:tab/>
      </w:r>
      <w:bookmarkStart w:id="189" w:name="F16156230"/>
      <w:r>
        <w:t xml:space="preserve">Documentul </w:t>
      </w:r>
      <w:r>
        <w:rPr>
          <w:i/>
        </w:rPr>
        <w:t>Prezentarea altor elemente ale rezultatului global</w:t>
      </w:r>
      <w:r>
        <w:t xml:space="preserve"> (Amendamente la IAS 1), emis în iunie 2011, a modificat punctul 40. O entitate trebuie să aplice acel amendament atunci când aplică IAS 1 modificat în iunie 2011.</w:t>
      </w:r>
      <w:bookmarkEnd w:id="189"/>
    </w:p>
    <w:p w:rsidR="00504F27" w:rsidRDefault="00504F27">
      <w:pPr>
        <w:pStyle w:val="IASBNormalnpara"/>
      </w:pPr>
      <w:r>
        <w:t>97L</w:t>
      </w:r>
      <w:r>
        <w:tab/>
      </w:r>
      <w:bookmarkStart w:id="190" w:name="F19315653"/>
      <w:r>
        <w:t>Documentul</w:t>
      </w:r>
      <w:r>
        <w:rPr>
          <w:i/>
        </w:rPr>
        <w:t xml:space="preserve"> Compensarea activelor financiare și a datoriilor financiare</w:t>
      </w:r>
      <w:r>
        <w:t xml:space="preserve"> (Amendamente la IAS 32), emis în decembrie 2011, a eliminat punctul AG38 și a adăugat punctele AG38A–AG38F. O entitate trebuie să aplice acele amendamente pentru perioadele anuale care încep la 1 ianuarie 2014 sau ulterior acestei date. O entitate trebuie să aplice retroactiv aceste amendamente. Se permite aplicarea anterior acestei date. Dacă o entitate aplică aceste amendamente de la o dată anterioară, entitatea trebuie să prezinte acest fapt și trebuie, de asemenea, să prezinte informațiile impuse de documentul </w:t>
      </w:r>
      <w:r>
        <w:rPr>
          <w:i/>
        </w:rPr>
        <w:t>Prezentarea informațiilor - Compensarea activelor financiare și a datoriilor financiare</w:t>
      </w:r>
      <w:r>
        <w:t xml:space="preserve"> (Amendamente la IFRS 7), emis în decembrie 2011.</w:t>
      </w:r>
      <w:bookmarkEnd w:id="190"/>
    </w:p>
    <w:p w:rsidR="00504F27" w:rsidRDefault="00504F27">
      <w:pPr>
        <w:pStyle w:val="IASBNormalnpara"/>
      </w:pPr>
      <w:r>
        <w:t>97M</w:t>
      </w:r>
      <w:r>
        <w:tab/>
      </w:r>
      <w:bookmarkStart w:id="191" w:name="F20634040"/>
      <w:r>
        <w:t xml:space="preserve">Documentul </w:t>
      </w:r>
      <w:r>
        <w:rPr>
          <w:i/>
        </w:rPr>
        <w:t>Prezentarea informațiilor - Compensarea activelor financiare și a datoriilor financiare</w:t>
      </w:r>
      <w:r>
        <w:t xml:space="preserve"> (Amendamente la IFRS 7), emis în decembrie 2011, a modificat punctul 43 impunând unei entități să prezinte informațiile prevăzute la punctele 13B-13E din IFRS 7 pentru recunoașterea activelor financiare care intră sub incidenţa punctului 13A din IFRS 7. O entitate trebuie să aplice acel amendament pentru perioadele anuale care încep la 1 ianuarie 2013 și perioadele interimare pe parcursul acelor perioade anuale. O entitate trebuie să prezinte retroactiv informaţiile prevăzute prin acest amendament.</w:t>
      </w:r>
      <w:bookmarkEnd w:id="191"/>
    </w:p>
    <w:p w:rsidR="00504F27" w:rsidRDefault="00504F27">
      <w:pPr>
        <w:pStyle w:val="IASBNormalnpara"/>
      </w:pPr>
      <w:r>
        <w:t>97N</w:t>
      </w:r>
      <w:r>
        <w:tab/>
      </w:r>
      <w:bookmarkStart w:id="192" w:name="F18632317"/>
      <w:r>
        <w:t xml:space="preserve">Documentul </w:t>
      </w:r>
      <w:r>
        <w:rPr>
          <w:i/>
        </w:rPr>
        <w:t>Îmbunătățiri anuale, ciclul 2009–2011</w:t>
      </w:r>
      <w:r>
        <w:t xml:space="preserve">, emis în mai 2012, a modificat punctele 35, 37 și 39 și a adăugat punctul 35A. O entitate trebuie să aplice retroactiv respectivul amendament, în conformitate cu IAS 8 </w:t>
      </w:r>
      <w:r>
        <w:rPr>
          <w:i/>
        </w:rPr>
        <w:t>Politici contabile, modificări ale estimărilor contabile şi erori</w:t>
      </w:r>
      <w:r>
        <w:t>, pentru perioadele anuale care încep la 1 ianuarie 2013 sau ulterior acestei date. Se permite aplicarea anterior acestei date. Dacă o entitate aplică respectivul amendament pentru o perioadă anterioară, entitatea trebuie să prezinte acest fapt.</w:t>
      </w:r>
      <w:bookmarkEnd w:id="192"/>
    </w:p>
    <w:p w:rsidR="00504F27" w:rsidRDefault="00504F27">
      <w:pPr>
        <w:pStyle w:val="IASBNormalnpara"/>
      </w:pPr>
      <w:r>
        <w:t>97O</w:t>
      </w:r>
      <w:r>
        <w:tab/>
      </w:r>
      <w:bookmarkStart w:id="193" w:name="F21341299"/>
      <w:r>
        <w:t xml:space="preserve">Documentul </w:t>
      </w:r>
      <w:r>
        <w:rPr>
          <w:i/>
        </w:rPr>
        <w:t>Entităţi de investiţii</w:t>
      </w:r>
      <w:r>
        <w:t xml:space="preserve"> (Amendamente la IFRS 10, IFRS 12 şi IAS 27), emis în octombrie 2012, a modificat punctul 4. O entitate trebuie să aplice acel amendament pentru perioadele anuale care încep la 1 ianuarie 2014 sau ulterior acestei date. Se permite aplicarea documentului </w:t>
      </w:r>
      <w:r>
        <w:rPr>
          <w:i/>
        </w:rPr>
        <w:t>Entităţi de investiţii</w:t>
      </w:r>
      <w:r>
        <w:t xml:space="preserve"> anterior acestei date. Dacă o entitate aplică anterior acel amendament, entitatea trebuie să aplice, de asemenea, toate amendamentele incluse în documentul </w:t>
      </w:r>
      <w:r>
        <w:rPr>
          <w:i/>
        </w:rPr>
        <w:t>Entităţi de investiţii</w:t>
      </w:r>
      <w:r>
        <w:t xml:space="preserve"> în acelaşi timp.</w:t>
      </w:r>
      <w:bookmarkEnd w:id="193"/>
    </w:p>
    <w:p w:rsidR="00504F27" w:rsidRDefault="00504F27">
      <w:pPr>
        <w:pStyle w:val="IASBNormalnpara"/>
      </w:pPr>
      <w:r>
        <w:t>97P</w:t>
      </w:r>
      <w:r>
        <w:tab/>
      </w:r>
      <w:bookmarkStart w:id="194" w:name="F28555045"/>
      <w:r>
        <w:t>[Eliminate]</w:t>
      </w:r>
      <w:bookmarkEnd w:id="194"/>
    </w:p>
    <w:p w:rsidR="00504F27" w:rsidRDefault="00504F27">
      <w:pPr>
        <w:pStyle w:val="IASBNormalnpara"/>
      </w:pPr>
      <w:r>
        <w:t>97Q</w:t>
      </w:r>
      <w:r>
        <w:tab/>
      </w:r>
      <w:bookmarkStart w:id="195" w:name="F32667551"/>
      <w:r>
        <w:t xml:space="preserve">IFRS 15 </w:t>
      </w:r>
      <w:r>
        <w:rPr>
          <w:i/>
        </w:rPr>
        <w:t>Venituri din contractele cu clienții</w:t>
      </w:r>
      <w:r>
        <w:t>, emis în mai 2014, a modificat punctul AG21. O entitate trebuie să aplice amendamentul respectiv atunci când aplică IFRS 15.</w:t>
      </w:r>
      <w:bookmarkEnd w:id="195"/>
    </w:p>
    <w:p w:rsidR="00504F27" w:rsidRDefault="00504F27">
      <w:pPr>
        <w:pStyle w:val="IASBNormalnpara"/>
      </w:pPr>
      <w:r>
        <w:t>97R</w:t>
      </w:r>
      <w:r>
        <w:tab/>
      </w:r>
      <w:bookmarkStart w:id="196" w:name="F36677040"/>
      <w:r>
        <w:t>IFRS 9, emis în iulie 2014, a modificat punctele 3, 4, 8, 12, 23, 31, 42, 96C, AG2 şi AG30 şi a eliminat punctele 97F, 97H şi 97P. O entitate trebuie să aplice acele amendamente atunci când aplică IFRS 9.</w:t>
      </w:r>
      <w:bookmarkEnd w:id="196"/>
    </w:p>
    <w:p w:rsidR="00504F27" w:rsidRDefault="00504F27">
      <w:pPr>
        <w:pStyle w:val="IASBNormalnpara"/>
      </w:pPr>
      <w:r>
        <w:t>97S</w:t>
      </w:r>
      <w:r>
        <w:tab/>
      </w:r>
      <w:bookmarkStart w:id="197" w:name="F46480846"/>
      <w:r>
        <w:t xml:space="preserve">IFRS 16 </w:t>
      </w:r>
      <w:r>
        <w:rPr>
          <w:i/>
        </w:rPr>
        <w:t>Contracte de leasing</w:t>
      </w:r>
      <w:r>
        <w:t>, emis în ianuarie 2016, a modificat punctele AG9 și AG10. O entitate trebuie să aplice acele amendamente atunci când aplică IFRS 16.</w:t>
      </w:r>
      <w:bookmarkEnd w:id="197"/>
    </w:p>
    <w:p w:rsidR="00504F27" w:rsidRDefault="00504F27">
      <w:pPr>
        <w:pStyle w:val="IASBSectionTitle1NonInd"/>
      </w:pPr>
      <w:bookmarkStart w:id="198" w:name="SL147317"/>
      <w:r>
        <w:t>Retragerea altor norme</w:t>
      </w:r>
      <w:bookmarkEnd w:id="198"/>
    </w:p>
    <w:p w:rsidR="00504F27" w:rsidRDefault="00504F27">
      <w:pPr>
        <w:pStyle w:val="IASBNormalnpara"/>
      </w:pPr>
      <w:r>
        <w:t>98</w:t>
      </w:r>
      <w:r>
        <w:tab/>
      </w:r>
      <w:bookmarkStart w:id="199" w:name="SL31617"/>
      <w:r>
        <w:t xml:space="preserve">Prezentul standard înlocuieşte IAS 32 </w:t>
      </w:r>
      <w:r>
        <w:rPr>
          <w:i/>
        </w:rPr>
        <w:t>Instrumente financiare: prezentare şi descriere</w:t>
      </w:r>
      <w:r>
        <w:t xml:space="preserve"> revizuit în 2000.</w:t>
      </w:r>
      <w:r>
        <w:rPr>
          <w:rStyle w:val="FootnoteReference"/>
        </w:rPr>
        <w:footnoteReference w:id="2"/>
      </w:r>
      <w:bookmarkEnd w:id="199"/>
    </w:p>
    <w:p w:rsidR="00504F27" w:rsidRDefault="00504F27">
      <w:pPr>
        <w:pStyle w:val="IASBNormalnpara"/>
      </w:pPr>
      <w:r>
        <w:t>99</w:t>
      </w:r>
      <w:r>
        <w:tab/>
      </w:r>
      <w:bookmarkStart w:id="200" w:name="SL31618"/>
      <w:r>
        <w:t xml:space="preserve">Prezentul standard înlocuieşte următoarele interpretări: </w:t>
      </w:r>
      <w:bookmarkEnd w:id="200"/>
    </w:p>
    <w:p w:rsidR="00504F27" w:rsidRDefault="00504F27">
      <w:pPr>
        <w:pStyle w:val="IASBNormalnparaL1"/>
      </w:pPr>
      <w:r>
        <w:t>(a)</w:t>
      </w:r>
      <w:r>
        <w:tab/>
      </w:r>
      <w:bookmarkStart w:id="201" w:name="SL147320"/>
      <w:r>
        <w:t xml:space="preserve">SIC-5 </w:t>
      </w:r>
      <w:r>
        <w:rPr>
          <w:i/>
        </w:rPr>
        <w:t>Clasificarea instrumentelor financiare—Prevederi privind decontarea elementelor contingente</w:t>
      </w:r>
      <w:r>
        <w:t>;</w:t>
      </w:r>
      <w:bookmarkEnd w:id="201"/>
    </w:p>
    <w:p w:rsidR="00504F27" w:rsidRDefault="00504F27">
      <w:pPr>
        <w:pStyle w:val="IASBNormalnparaL1"/>
      </w:pPr>
      <w:r>
        <w:t>(b)</w:t>
      </w:r>
      <w:r>
        <w:tab/>
      </w:r>
      <w:bookmarkStart w:id="202" w:name="SL147322"/>
      <w:r>
        <w:t xml:space="preserve">SIC-16 </w:t>
      </w:r>
      <w:r>
        <w:rPr>
          <w:i/>
        </w:rPr>
        <w:t>Capital social - Instrumente proprii de capital redobândite (Acţiuni de trezorerie)</w:t>
      </w:r>
      <w:r>
        <w:t>; și</w:t>
      </w:r>
      <w:bookmarkEnd w:id="202"/>
    </w:p>
    <w:p w:rsidR="00504F27" w:rsidRDefault="00504F27">
      <w:pPr>
        <w:pStyle w:val="IASBNormalnparaL1"/>
      </w:pPr>
      <w:r>
        <w:t>(c)</w:t>
      </w:r>
      <w:r>
        <w:tab/>
      </w:r>
      <w:bookmarkStart w:id="203" w:name="SL147324"/>
      <w:r>
        <w:t xml:space="preserve">SIC-17 </w:t>
      </w:r>
      <w:r>
        <w:rPr>
          <w:i/>
        </w:rPr>
        <w:t>Capitaluri proprii - Costurile unei tranzacţii de capital</w:t>
      </w:r>
      <w:r>
        <w:t>.</w:t>
      </w:r>
      <w:bookmarkEnd w:id="203"/>
    </w:p>
    <w:p w:rsidR="00504F27" w:rsidRDefault="00504F27">
      <w:pPr>
        <w:pStyle w:val="IASBNormalnpara"/>
      </w:pPr>
      <w:r>
        <w:lastRenderedPageBreak/>
        <w:t>100</w:t>
      </w:r>
      <w:r>
        <w:tab/>
      </w:r>
      <w:bookmarkStart w:id="204" w:name="SL31619"/>
      <w:r>
        <w:t xml:space="preserve">Prezentul standard retrage proiectul de interpretare SIC D34 </w:t>
      </w:r>
      <w:r>
        <w:rPr>
          <w:i/>
        </w:rPr>
        <w:t>Instrumente financiare - Instrumente sau drepturi răscumpărabile de către deţinător</w:t>
      </w:r>
      <w:r>
        <w:t>.</w:t>
      </w:r>
      <w:bookmarkEnd w:id="204"/>
    </w:p>
    <w:p w:rsidR="00504F27" w:rsidRDefault="00504F27">
      <w:pPr>
        <w:widowControl w:val="0"/>
        <w:autoSpaceDE w:val="0"/>
        <w:autoSpaceDN w:val="0"/>
        <w:adjustRightInd w:val="0"/>
        <w:sectPr w:rsidR="00504F27">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rsidR="00504F27" w:rsidRDefault="00504F27">
      <w:pPr>
        <w:pStyle w:val="IASBSectionTitle1NonInd"/>
        <w:pBdr>
          <w:bottom w:val="none" w:sz="0" w:space="0" w:color="auto"/>
        </w:pBdr>
      </w:pPr>
      <w:bookmarkStart w:id="205" w:name="SL147325"/>
      <w:r>
        <w:lastRenderedPageBreak/>
        <w:t>Anexă</w:t>
      </w:r>
      <w:r>
        <w:br/>
        <w:t>Îndrumări de aplicare</w:t>
      </w:r>
      <w:r>
        <w:br/>
        <w:t xml:space="preserve">IAS 32 </w:t>
      </w:r>
      <w:r>
        <w:rPr>
          <w:i/>
        </w:rPr>
        <w:t>Instrumente financiare: prezentare</w:t>
      </w:r>
      <w:bookmarkEnd w:id="205"/>
    </w:p>
    <w:p w:rsidR="00504F27" w:rsidRDefault="00504F27">
      <w:pPr>
        <w:pStyle w:val="IASBNote"/>
      </w:pPr>
      <w:bookmarkStart w:id="206" w:name="SL72111"/>
      <w:r>
        <w:t>Prezenta anexă este parte integrantă din prezentul standard.</w:t>
      </w:r>
      <w:bookmarkEnd w:id="206"/>
    </w:p>
    <w:p w:rsidR="00504F27" w:rsidRDefault="00504F27">
      <w:pPr>
        <w:pStyle w:val="IASBNormalnpara"/>
      </w:pPr>
      <w:r>
        <w:t>AG1</w:t>
      </w:r>
      <w:r>
        <w:tab/>
      </w:r>
      <w:bookmarkStart w:id="207" w:name="SL31620"/>
      <w:r>
        <w:t>Prezentele îndrumări de aplicare explică aplicarea aspectelor deosebite ale standardului.</w:t>
      </w:r>
      <w:bookmarkEnd w:id="207"/>
    </w:p>
    <w:p w:rsidR="00504F27" w:rsidRDefault="00504F27">
      <w:pPr>
        <w:pStyle w:val="IASBNormalnpara"/>
      </w:pPr>
      <w:r>
        <w:t>AG2</w:t>
      </w:r>
      <w:r>
        <w:tab/>
      </w:r>
      <w:bookmarkStart w:id="208" w:name="SL19041022"/>
      <w:r>
        <w:t>Standardul nu tratează recunoaşterea sau evaluarea instrumentelor financiare. Dispoziţiile privind recunoaşterea şi evaluarea activelor financiare şi datoriilor financiare sunt stipulate în IFRS 9.</w:t>
      </w:r>
      <w:bookmarkEnd w:id="208"/>
    </w:p>
    <w:p w:rsidR="00504F27" w:rsidRDefault="00504F27">
      <w:pPr>
        <w:pStyle w:val="IASBSectionTitle1NonInd"/>
      </w:pPr>
      <w:bookmarkStart w:id="209" w:name="SL147326"/>
      <w:r>
        <w:t>Definiții (punctele 11-14)</w:t>
      </w:r>
      <w:bookmarkEnd w:id="209"/>
    </w:p>
    <w:p w:rsidR="00504F27" w:rsidRDefault="00504F27">
      <w:pPr>
        <w:pStyle w:val="IASBSectionTitle2Ind"/>
      </w:pPr>
      <w:bookmarkStart w:id="210" w:name="SL147327"/>
      <w:r>
        <w:t>Active financiare şi datorii financiare</w:t>
      </w:r>
      <w:bookmarkEnd w:id="210"/>
    </w:p>
    <w:p w:rsidR="00504F27" w:rsidRDefault="00504F27">
      <w:pPr>
        <w:pStyle w:val="IASBNormalnpara"/>
      </w:pPr>
      <w:r>
        <w:t>AG3</w:t>
      </w:r>
      <w:r>
        <w:tab/>
      </w:r>
      <w:bookmarkStart w:id="211" w:name="SL31622"/>
      <w:r>
        <w:t>Moneda (numerarul) este un activ financiar deoarece reprezintă mijlocul de schimb şi, de aceea, este baza de evaluare şi de recunoaştere în situaţiile financiare a tuturor tranzacţiilor. Un depozit de numerar deţinut la o bancă sau la o instituţie financiară similară este considerat activ financiar deoarece reprezintă dreptul contractual al deponentului de a obţine numerar de la acea instituţie sau de a emite un cec sau un instrument similar din soldul contului în favoarea unui creditor pentru plata unei datorii financiare.</w:t>
      </w:r>
      <w:bookmarkEnd w:id="211"/>
    </w:p>
    <w:p w:rsidR="00504F27" w:rsidRDefault="00504F27">
      <w:pPr>
        <w:pStyle w:val="IASBNormalnpara"/>
      </w:pPr>
      <w:r>
        <w:t>AG4</w:t>
      </w:r>
      <w:r>
        <w:tab/>
      </w:r>
      <w:bookmarkStart w:id="212" w:name="SL31623"/>
      <w:r>
        <w:t xml:space="preserve">Exemple uzuale de active financiare reprezentând un drept contractual de a încasa numerar în viitor, precum şi de datorii financiare corespunzătoare reprezentând o obligaţie contractuală de a plăti numerar în viitor sunt: </w:t>
      </w:r>
      <w:bookmarkEnd w:id="212"/>
    </w:p>
    <w:p w:rsidR="00504F27" w:rsidRDefault="00504F27">
      <w:pPr>
        <w:pStyle w:val="IASBNormalnparaL1"/>
      </w:pPr>
      <w:r>
        <w:t>(a)</w:t>
      </w:r>
      <w:r>
        <w:tab/>
      </w:r>
      <w:bookmarkStart w:id="213" w:name="SL147330"/>
      <w:r>
        <w:t>conturi de creanţe şi datorii comerciale;</w:t>
      </w:r>
      <w:bookmarkEnd w:id="213"/>
    </w:p>
    <w:p w:rsidR="00504F27" w:rsidRDefault="00504F27">
      <w:pPr>
        <w:pStyle w:val="IASBNormalnparaL1"/>
      </w:pPr>
      <w:r>
        <w:t>(b)</w:t>
      </w:r>
      <w:r>
        <w:tab/>
      </w:r>
      <w:bookmarkStart w:id="214" w:name="SL147332"/>
      <w:r>
        <w:t>efecte comerciale de încasat şi de plătit;</w:t>
      </w:r>
      <w:bookmarkEnd w:id="214"/>
    </w:p>
    <w:p w:rsidR="00504F27" w:rsidRDefault="00504F27">
      <w:pPr>
        <w:pStyle w:val="IASBNormalnparaL1"/>
      </w:pPr>
      <w:r>
        <w:t>(c)</w:t>
      </w:r>
      <w:r>
        <w:tab/>
      </w:r>
      <w:bookmarkStart w:id="215" w:name="SL147334"/>
      <w:r>
        <w:t>împrumuturi de încasat şi de plătit; și</w:t>
      </w:r>
      <w:bookmarkEnd w:id="215"/>
    </w:p>
    <w:p w:rsidR="00504F27" w:rsidRDefault="00504F27">
      <w:pPr>
        <w:pStyle w:val="IASBNormalnparaL1"/>
      </w:pPr>
      <w:r>
        <w:t>(d)</w:t>
      </w:r>
      <w:r>
        <w:tab/>
      </w:r>
      <w:bookmarkStart w:id="216" w:name="SL147336"/>
      <w:r>
        <w:t>obligaţiuni de încasat şi de plătit.</w:t>
      </w:r>
      <w:bookmarkEnd w:id="216"/>
    </w:p>
    <w:p w:rsidR="00504F27" w:rsidRDefault="00504F27">
      <w:pPr>
        <w:pStyle w:val="IASBNormalnparaP"/>
      </w:pPr>
      <w:bookmarkStart w:id="217" w:name="SL147337"/>
      <w:r>
        <w:t>În fiecare caz, dreptul contractual al uneia dintre părţi de a încasa (sau obligaţia de a plăti) numerar este asociat cu obligaţia corespunzătoare a celeilalte părţi de a plăti (sau dreptul de a încasa).</w:t>
      </w:r>
      <w:bookmarkEnd w:id="217"/>
    </w:p>
    <w:p w:rsidR="00504F27" w:rsidRDefault="00504F27">
      <w:pPr>
        <w:pStyle w:val="IASBNormalnpara"/>
      </w:pPr>
      <w:r>
        <w:t>AG5</w:t>
      </w:r>
      <w:r>
        <w:tab/>
      </w:r>
      <w:bookmarkStart w:id="218" w:name="SL31624"/>
      <w:r>
        <w:t>Un alt tip de instrument financiar este acela pentru care beneficiul economic de încasat sau de cedat este un activ financiar, altul decât numerarul. De exemplu, un efect comercial plătibil în obligaţiuni de stat îi dă deţinătorului dreptul contractual de a încasa, iar emitentului, obligaţia contractuală de a livra obligaţiunile de stat, şi nu numerarul. Obligaţiunile sunt active financiare deoarece reprezintă obligaţia guvernului emitent de a plăti numerarul. Efectul comercial este, prin urmare, un activ financiar al deţinătorului şi o datorie financiară a emitentului.</w:t>
      </w:r>
      <w:bookmarkEnd w:id="218"/>
    </w:p>
    <w:p w:rsidR="00504F27" w:rsidRDefault="00504F27">
      <w:pPr>
        <w:pStyle w:val="IASBNormalnpara"/>
      </w:pPr>
      <w:r>
        <w:t>AG6</w:t>
      </w:r>
      <w:r>
        <w:tab/>
      </w:r>
      <w:bookmarkStart w:id="219" w:name="SL31625"/>
      <w:r>
        <w:t>Instrumentele de datorie „perpetue” (cum ar fi obligaţiunile „perpetue”, obligaţiunile negarantate şi efectele de capital) oferă în mod normal deţinătorului dreptul contractual de a primi plăţi în contul dobânzii la date fixe, cu extindere într-un viitor nedeterminat, fie fără drept de a primi o rambursare din principal, fie cu drept de rambursare a principalului în condiţii care fac rambursarea puţin probabilă sau foarte îndepărtată în viitor. De exemplu, o entitate poate emite un instrument financiar care să îi impună plăţi anuale perpetue egale cu o rată a dobânzii stabilită la 8% aplicată unei valori principale sau nominale stabilite la 1.000 u.m.</w:t>
      </w:r>
      <w:r>
        <w:rPr>
          <w:rStyle w:val="FootnoteReference"/>
        </w:rPr>
        <w:footnoteReference w:id="3"/>
      </w:r>
      <w:r>
        <w:t xml:space="preserve">  Presupunând că 8% este rata dobânzii pe piaţă pentru instrument la data emiterii, emitentul îşi asumă obligaţia contractuală de a genera un flux de plăţi de dobânzi viitoare cu o valoare justă (valoare actualizată) de 1.000 u.m. la recunoaşterea iniţială. Deţinătorul şi emitentul instrumentului au un activ financiar şi, respectiv, o datorie financiară.</w:t>
      </w:r>
      <w:bookmarkEnd w:id="219"/>
    </w:p>
    <w:p w:rsidR="00504F27" w:rsidRDefault="00504F27">
      <w:pPr>
        <w:pStyle w:val="IASBNormalnpara"/>
      </w:pPr>
      <w:r>
        <w:t>AG7</w:t>
      </w:r>
      <w:r>
        <w:tab/>
      </w:r>
      <w:bookmarkStart w:id="220" w:name="SL31626"/>
      <w:r>
        <w:t>Un drept contractual sau o obligaţie contractuală de a primi, livra sau schimba instrumente financiare este prin el însuşi (ea însăşi) un instrument financiar. Un lanţ de drepturi contractuale sau de obligaţii contractuale corespunde definiţiei unui instrument financiar dacă duce în final la primirea sau plata de numerar ori la achiziţia sau emiterea unui instrument de capitaluri proprii.</w:t>
      </w:r>
      <w:bookmarkEnd w:id="220"/>
    </w:p>
    <w:p w:rsidR="00504F27" w:rsidRDefault="00504F27">
      <w:pPr>
        <w:pStyle w:val="IASBNormalnpara"/>
      </w:pPr>
      <w:r>
        <w:t>AG8</w:t>
      </w:r>
      <w:r>
        <w:tab/>
      </w:r>
      <w:bookmarkStart w:id="221" w:name="SL31627"/>
      <w:r>
        <w:t xml:space="preserve">Capacitatea de a exercita un drept contractual sau dispoziţia de a satisface o obligaţie contractuală poate fi absolută sau poate fi contingentă apariţiei unui eveniment viitor. De exemplu, o garanţie financiară este un drept contractual al creditorului de a primi numerar de la girant şi o obligaţie contractuală corespunzătoare a girantului de a plăti creditorului, dacă debitorul nu îşi respectă obligaţia. Dreptul contractual şi obligaţia </w:t>
      </w:r>
      <w:r>
        <w:lastRenderedPageBreak/>
        <w:t>contractuală există datorită unei tranzacţii anterioare sau unui eveniment anterior (asumarea unei garanţii), chiar dacă atât capacitatea creditorului de a-şi exercita dreptul, cât şi obligaţia girantului de a acţiona sunt contingente unui act de nerespectare a obligaţiilor de către debitor. Dreptul contingent şi obligaţia contingentă corespund definiţiei unui activ financiar şi a unei datorii financiare, chiar dacă astfel de active şi datorii nu sunt întotdeauna recunoscute în situaţiile financiare. Unele dintre aceste drepturi şi obligaţii contingente pot fi contractele de asigurare care intră sub incidenţa IFRS 4.</w:t>
      </w:r>
      <w:bookmarkEnd w:id="221"/>
    </w:p>
    <w:p w:rsidR="00504F27" w:rsidRDefault="00504F27">
      <w:pPr>
        <w:pStyle w:val="IASBNormalnpara"/>
      </w:pPr>
      <w:r>
        <w:t>AG9</w:t>
      </w:r>
      <w:r>
        <w:tab/>
      </w:r>
      <w:bookmarkStart w:id="222" w:name="SL46480850"/>
      <w:r>
        <w:t>Un leasing financiar creează de obicei un drept al locatorului de a primi şi o obligaţie a locatarului de a plăti un flux de plăţi care sunt în mare parte similare cu plăţile comune ale principalului şi dobânzii, conform unui acord de împrumut. Locatorul contabilizează investiţia sa în creanţa de încasat conform unui contract de leasing financiar, mai degrabă decât activul suport care face obiectul contractului de leasing financiar. În consecință, un locator consideră un leasing financiar drept un instrument financiar. Conform IFRS 16, un locator nu recunoaște dreptul său de a primi plăți de leasing în baza unui leasing operaţional. Locatorul continuă să contabilizeze activul-suport în sine, şi nu creanţele de încasat în viitor conform prevederilor contractului. În consecință, un locator nu consideră un leasing operaţional drept un instrument financiar, exceptând în ceea ce privește plățile curente individuale datorate şi plătibile de un locatar.</w:t>
      </w:r>
      <w:bookmarkEnd w:id="222"/>
    </w:p>
    <w:p w:rsidR="00504F27" w:rsidRDefault="00504F27">
      <w:pPr>
        <w:pStyle w:val="IASBNormalnpara"/>
      </w:pPr>
      <w:r>
        <w:t>AG10</w:t>
      </w:r>
      <w:r>
        <w:tab/>
      </w:r>
      <w:bookmarkStart w:id="223" w:name="SL46480863"/>
      <w:r>
        <w:t>Activele corporale (cum ar fi stocurile, imobilizările corporale), activele aferente dreptului de utilizare şi imobilizările necorporale (cum ar fi brevetele şi mărcile) nu sunt active financiare. Controlul unor astfel de active corporale, active aferente dreptului de utilizare şi active necorporale creează oportunitatea generării unei intrări de numerar sau a unui alt activ financiar, dar nu generează un drept curent de a primi numerar sau un alt activ financiar.</w:t>
      </w:r>
      <w:bookmarkEnd w:id="223"/>
    </w:p>
    <w:p w:rsidR="00504F27" w:rsidRDefault="00504F27">
      <w:pPr>
        <w:pStyle w:val="IASBNormalnpara"/>
      </w:pPr>
      <w:r>
        <w:t>AG11</w:t>
      </w:r>
      <w:r>
        <w:tab/>
      </w:r>
      <w:bookmarkStart w:id="224" w:name="SL31630"/>
      <w:r>
        <w:t>Activele (cum ar fi cheltuielile în avans) pentru care beneficiile economice viitoare reprezintă primirea de bunuri sau servicii, şi nu dreptul de a primi numerar sau un alt activ financiar, nu sunt active financiare. În mod similar, elemente cum ar fi venitul înregistrat în avans şi majoritatea obligaţiilor de garanţie nu sunt datorii financiare deoarece ieşirea de beneficii economice asociate acestora reprezintă furnizarea de bunuri şi servicii, şi nu o obligaţie contractuală de a plăti în numerar sau printr-un alt activ financiar.</w:t>
      </w:r>
      <w:bookmarkEnd w:id="224"/>
    </w:p>
    <w:p w:rsidR="00504F27" w:rsidRDefault="00504F27">
      <w:pPr>
        <w:pStyle w:val="IASBNormalnpara"/>
      </w:pPr>
      <w:r>
        <w:t>AG12</w:t>
      </w:r>
      <w:r>
        <w:tab/>
      </w:r>
      <w:bookmarkStart w:id="225" w:name="SL31631"/>
      <w:r>
        <w:t xml:space="preserve">Datoriile sau activele care nu sunt contractuale (cum ar fi impozitul pe profit generat ca rezultat al dispoziţiilor legale impuse de autorităţi) nu sunt datorii financiare sau active financiare. Contabilizarea impozitului pe profit este tratată în IAS 12. În mod similar, obligaţiile implicite, conform definiţiei din IAS 37 </w:t>
      </w:r>
      <w:r>
        <w:rPr>
          <w:i/>
        </w:rPr>
        <w:t>Provizioane, datorii contingente şi active contingente</w:t>
      </w:r>
      <w:r>
        <w:t>, nu rezultă din contracte și nu sunt datorii financiare.</w:t>
      </w:r>
      <w:bookmarkEnd w:id="225"/>
    </w:p>
    <w:p w:rsidR="00504F27" w:rsidRDefault="00504F27">
      <w:pPr>
        <w:pStyle w:val="IASBSectionTitle2Ind"/>
      </w:pPr>
      <w:bookmarkStart w:id="226" w:name="SL147338"/>
      <w:r>
        <w:t>Instrumente de capitaluri proprii</w:t>
      </w:r>
      <w:bookmarkEnd w:id="226"/>
    </w:p>
    <w:p w:rsidR="00504F27" w:rsidRDefault="00504F27">
      <w:pPr>
        <w:pStyle w:val="IASBNormalnpara"/>
      </w:pPr>
      <w:r>
        <w:t>AG13</w:t>
      </w:r>
      <w:r>
        <w:tab/>
      </w:r>
      <w:bookmarkStart w:id="227" w:name="SL31632"/>
      <w:r>
        <w:t>Exemplele de instrumente de capitaluri proprii includ acţiuni ordinare care nu pot fi lichidate de deţinător înainte de scadenţă, unele instrumente care pot fi lichidate de deţinător înainte de scadenţă (a se vedea punctele 16A şi 16B), unele instrumente care impun entităţii o obligaţie de a furniza unei alte entităţi o parte proporţională din activele nete ale entităţii numai la lichidare (a se vedea punctele 16C şi 16D), unele tipuri de acţiuni preferenţiale (a se vedea punctele AG25 şi AG26) şi warante sau opţiuni call emise care permit deţinătorului să subscrie pentru sau să cumpere un număr fix de acţiuni ordinare care nu pot fi lichidate de deţinător înainte de scadenţă în entitatea emitentă, în schimbul unei sume fixe în numerar sau al unui alt activ financiar. Obligaţia unei entităţi de a emite sau de a cumpăra un număr fix din propriile sale instrumente de capitaluri proprii în schimbul unei sume fixe în numerar sau al unui alt activ financiar este un instrument de capitaluri proprii al entităţii (cu excepţia celor stipulate la punctul 22A). Totuşi, dacă un astfel de contract conţine o obligaţie pentru entitate de a plăti numerar sau alt activ financiar (altul decât un contract clasificat drept capitaluri proprii în conformitate cu punctele 16A şi 16B sau cu punctele 16C şi 16D), acesta poate genera, de asemenea, o datorie pentru valoarea actualizată a valorii de răscumpărare (a se vedea punctul AG27 litera (a)). Emitentul unor acţiuni ordinare care nu pot fi lichidate de deţinător înainte de scadenţă îşi asumă o datorie atunci când acţionează în mod oficial pentru a face distribuiri şi devine obligat legal faţă de acţionari să facă astfel. Acest lucru se poate întâmpla după luarea unei decizii de distribuire de dividende sau atunci când entitatea este lichidată, iar activele rămase după decontarea datoriilor se pot distribui acţionarilor.</w:t>
      </w:r>
      <w:bookmarkEnd w:id="227"/>
    </w:p>
    <w:p w:rsidR="00504F27" w:rsidRDefault="00504F27">
      <w:pPr>
        <w:pStyle w:val="IASBNormalnpara"/>
      </w:pPr>
      <w:r>
        <w:t>AG14</w:t>
      </w:r>
      <w:r>
        <w:tab/>
      </w:r>
      <w:bookmarkStart w:id="228" w:name="SL31633"/>
      <w:r>
        <w:t>O opţiune call cumpărată sau alt contract similar dobândit de o entitate care îi dă dreptul de a redobândi un număr fix din propriile instrumente de capitaluri proprii în schimbul livrării unei sume fixe de numerar sau al unui alt activ financiar nu constituie un activ financiar al entităţii (cu excepţia situaţiei menţionate la punctul 22A). În schimb, orice contravaloare plătită pentru un astfel de contract se deduce din capitalurile proprii.</w:t>
      </w:r>
      <w:bookmarkEnd w:id="228"/>
    </w:p>
    <w:p w:rsidR="00504F27" w:rsidRDefault="00504F27">
      <w:pPr>
        <w:pStyle w:val="IASBSectionTitle3Ind"/>
      </w:pPr>
      <w:bookmarkStart w:id="229" w:name="F5588721"/>
      <w:r>
        <w:lastRenderedPageBreak/>
        <w:t>Clasa de instrumente subordonată tuturor celorlalte clase (punctele 16A litera (b) şi 16C litera (b))</w:t>
      </w:r>
      <w:bookmarkEnd w:id="229"/>
    </w:p>
    <w:p w:rsidR="00504F27" w:rsidRDefault="00504F27">
      <w:pPr>
        <w:pStyle w:val="IASBNormalnpara"/>
      </w:pPr>
      <w:r>
        <w:t>AG14A</w:t>
      </w:r>
      <w:r>
        <w:tab/>
      </w:r>
      <w:bookmarkStart w:id="230" w:name="F5588713"/>
      <w:r>
        <w:t xml:space="preserve">Una dintre caracteristicile de la punctele 16A şi 16C este că instrumentul financiar face parte din clasa de instrumente care este subordonată tuturor celorlalte clase. </w:t>
      </w:r>
      <w:bookmarkEnd w:id="230"/>
    </w:p>
    <w:p w:rsidR="00504F27" w:rsidRDefault="00504F27">
      <w:pPr>
        <w:pStyle w:val="IASBNormalnpara"/>
      </w:pPr>
      <w:r>
        <w:t>AG14B</w:t>
      </w:r>
      <w:r>
        <w:tab/>
      </w:r>
      <w:bookmarkStart w:id="231" w:name="F5588714"/>
      <w:r>
        <w:t xml:space="preserve">Când se determină dacă un instrument face parte din clasa subordonată, o entitate evaluează pretenţia asupra instrumentului la lichidare ca şi cum trebuia să se lichideze la data clasificării instrumentului. O entitate trebuie să reevalueze clasificarea dacă există o modificare a circumstanţelor relevante. De exemplu, dacă entitatea emite sau răscumpără un alt instrument financiar, aceasta poate afecta faptul că instrumentul în cauză face parte din clasa de instrumente care este subordonată tuturor celorlalte clase. </w:t>
      </w:r>
      <w:bookmarkEnd w:id="231"/>
    </w:p>
    <w:p w:rsidR="00504F27" w:rsidRDefault="00504F27">
      <w:pPr>
        <w:pStyle w:val="IASBNormalnpara"/>
      </w:pPr>
      <w:r>
        <w:t>AG14C</w:t>
      </w:r>
      <w:r>
        <w:tab/>
      </w:r>
      <w:bookmarkStart w:id="232" w:name="F5588715"/>
      <w:r>
        <w:t>Un instrument care are un drept preferenţial la lichidarea entităţii nu este un instrument care dă dreptul la o parte proporţională din activele nete ale entităţii. De exemplu, un instrument are un drept preferenţial la lichidare în cazul în care îi conferă deținătorului dreptul la un dividend fix la lichidare, în afară de o parte din activele nete ale entităţii, atunci când alte instrumente din clasa subordonată cu drept la o parte proporţională din activele nete ale entităţii nu au acelaşi drept la lichidare.</w:t>
      </w:r>
      <w:bookmarkEnd w:id="232"/>
    </w:p>
    <w:p w:rsidR="00504F27" w:rsidRDefault="00504F27">
      <w:pPr>
        <w:pStyle w:val="IASBNormalnpara"/>
      </w:pPr>
      <w:r>
        <w:t>AG14D</w:t>
      </w:r>
      <w:r>
        <w:tab/>
      </w:r>
      <w:bookmarkStart w:id="233" w:name="F5588716"/>
      <w:r>
        <w:t xml:space="preserve">Dacă o entitate are o singură clasă de instrumente financiare, acea clasă trebuie să fie tratată ca şi cum ar fi subordonată tuturor celorlalte clase. </w:t>
      </w:r>
      <w:bookmarkEnd w:id="233"/>
    </w:p>
    <w:p w:rsidR="00504F27" w:rsidRDefault="00504F27">
      <w:pPr>
        <w:pStyle w:val="IASBSectionTitle3Ind"/>
      </w:pPr>
      <w:bookmarkStart w:id="234" w:name="F5588723"/>
      <w:r>
        <w:t>Fluxurile totale de trezorerie preconizate atribuibile instrumentului pe durata sa de viaţă utilă (punctul 16A litera (e))</w:t>
      </w:r>
      <w:bookmarkEnd w:id="234"/>
    </w:p>
    <w:p w:rsidR="00504F27" w:rsidRDefault="00504F27">
      <w:pPr>
        <w:pStyle w:val="IASBNormalnpara"/>
      </w:pPr>
      <w:r>
        <w:t>AG14E</w:t>
      </w:r>
      <w:r>
        <w:tab/>
      </w:r>
      <w:bookmarkStart w:id="235" w:name="F5588725"/>
      <w:r>
        <w:t xml:space="preserve">Fluxurile totale de trezorerie preconizate ale instrumentului pe durata sa de viaţă utilă trebuie să se bazeze, în cea mai mare parte, pe profit sau pierdere, pe modificarea activelor nete recunoscute sau pe valoarea justă a activelor nete recunoscute şi nerecunoscute ale entităţii pe durata de viaţă utilă a instrumentului. Profitul sau pierderea şi modificarea activelor nete recunoscute trebuie evaluate în conformitate cu IFRS-urile relevante. </w:t>
      </w:r>
      <w:bookmarkEnd w:id="235"/>
    </w:p>
    <w:p w:rsidR="00504F27" w:rsidRDefault="00504F27">
      <w:pPr>
        <w:pStyle w:val="IASBSectionTitle3Ind"/>
      </w:pPr>
      <w:bookmarkStart w:id="236" w:name="F5588726"/>
      <w:r>
        <w:t>Tranzacţii iniţiate de un deţinător de instrument, altul decât proprietarul entităţii (punctele 16A şi 16C)</w:t>
      </w:r>
      <w:bookmarkEnd w:id="236"/>
    </w:p>
    <w:p w:rsidR="00504F27" w:rsidRDefault="00504F27">
      <w:pPr>
        <w:pStyle w:val="IASBNormalnpara"/>
      </w:pPr>
      <w:r>
        <w:t>AG14F</w:t>
      </w:r>
      <w:r>
        <w:tab/>
      </w:r>
      <w:bookmarkStart w:id="237" w:name="F5588728"/>
      <w:r>
        <w:t xml:space="preserve">Deţinătorul unui instrument financiar care poate fi lichidat de deţinător înainte de scadenţă sau al unui instrument care impune unei entităţi o obligaţie de a furniza altei entităţi o parte proporţională din activele nete ale entităţii numai la lichidare poate iniţia tranzacţii cu entitatea în alt rol decât cel de proprietar. De exemplu, un deţinător de instrument poate fi, în acelaşi timp, angajat al entităţii. Atunci când se determină dacă instrumentul trebuie sau nu să fie clasificat drept capitaluri proprii conform punctului 16A sau punctului 16C, trebuie luate în considerare doar fluxurile de trezorerie, precum şi termenele şi condiţiile contractuale ale instrumentului care sunt legate de deţinătorul instrumentului ca proprietar al entităţii. </w:t>
      </w:r>
      <w:bookmarkEnd w:id="237"/>
    </w:p>
    <w:p w:rsidR="00504F27" w:rsidRDefault="00504F27">
      <w:pPr>
        <w:pStyle w:val="IASBNormalnpara"/>
      </w:pPr>
      <w:r>
        <w:t>AG14G</w:t>
      </w:r>
      <w:r>
        <w:tab/>
      </w:r>
      <w:bookmarkStart w:id="238" w:name="F5588729"/>
      <w:r>
        <w:t xml:space="preserve">Un exemplu îl constituie un parteneriat limitat care are parteneri limitaţi şi generali. Unii parteneri generali pot furniza o garanţie entităţii şi pot fi remuneraţi pentru furnizarea acelei garanţii. În astfel de situaţii, garanţia şi fluxurile de trezorerie asociate se referă la deţinătorii de instrumente în rolul lor de garanţi, şi nu în rolul lor de proprietari ai entităţii. Prin urmare, o astfel de garanţie şi fluxurile de trezorerie asociate nu vor avea drept rezultat ca partenerii generali să fie consideraţi subordonaţi partenerilor limitaţi şi nu vor fi luate în considerare atunci când se determină dacă termenele contractuale ale instrumentelor de parteneriat limitat şi cele ale instrumentelor de parteneriat general sunt identice. </w:t>
      </w:r>
      <w:bookmarkEnd w:id="238"/>
    </w:p>
    <w:p w:rsidR="00504F27" w:rsidRDefault="00504F27">
      <w:pPr>
        <w:pStyle w:val="IASBNormalnpara"/>
      </w:pPr>
      <w:r>
        <w:t>AG14H</w:t>
      </w:r>
      <w:r>
        <w:tab/>
      </w:r>
      <w:bookmarkStart w:id="239" w:name="F5588730"/>
      <w:r>
        <w:t>Un alt exemplu este un angajament de împărţire a profitului sau pierderii care alocă profitul sau pierderea deţinătorilor de instrumente pe baza serviciilor prestate sau activităţilor generate în anul curent sau în anii anteriori. Astfel de angajamente sunt tranzacţii cu deţinătorii de instrumente în rolul lor de neproprietari şi nu trebuie luate în considerare la evaluarea caracteristicilor enumerate la punctul 16A sau la punctul 16C. Totuşi, angajamentele de împărţire a profitului sau pierderii care alocă profitul sau pierderea deţinătorilor de instrumente pe baza valorii nominale a instrumentelor lor în raport cu altele din aceeaşi clasă reprezintă tranzacţii cu deţinătorii de instrumente în rolul lor de proprietari şi trebuie luate în considerare la evaluarea caracteristicilor enumerate la punctul 16A sau la punctul 16C.</w:t>
      </w:r>
      <w:bookmarkEnd w:id="239"/>
    </w:p>
    <w:p w:rsidR="00504F27" w:rsidRDefault="00504F27">
      <w:pPr>
        <w:pStyle w:val="IASBNormalnpara"/>
      </w:pPr>
      <w:r>
        <w:t>AG14I</w:t>
      </w:r>
      <w:r>
        <w:tab/>
      </w:r>
      <w:bookmarkStart w:id="240" w:name="F5588731"/>
      <w:r>
        <w:t>Fluxurile de trezorerie şi termenele şi condiţiile contractuale ale unei tranzacţii între deţinătorul instrumentului (în rolul său de neproprietar) şi entitatea emitentă trebuie să fie similare unei tranzacţii echivalente care ar putea avea loc între o persoană care nu deţine un instrument şi entitatea emitentă.</w:t>
      </w:r>
      <w:bookmarkEnd w:id="240"/>
    </w:p>
    <w:p w:rsidR="00504F27" w:rsidRDefault="00504F27">
      <w:pPr>
        <w:pStyle w:val="IASBSectionTitle3Ind"/>
      </w:pPr>
      <w:bookmarkStart w:id="241" w:name="F5588732"/>
      <w:r>
        <w:lastRenderedPageBreak/>
        <w:t>Niciun alt instrument financiar sau contract cu fluxuri de trezorerie totale care fixează sau restricţionează în mod substanţial rentabilitatea reziduală pentru deţinătorul instrumentului (punctele 16B şi 16D)</w:t>
      </w:r>
      <w:bookmarkEnd w:id="241"/>
    </w:p>
    <w:p w:rsidR="00504F27" w:rsidRDefault="00504F27">
      <w:pPr>
        <w:pStyle w:val="IASBNormalnpara"/>
      </w:pPr>
      <w:r>
        <w:t>AG14J</w:t>
      </w:r>
      <w:r>
        <w:tab/>
      </w:r>
      <w:bookmarkStart w:id="242" w:name="F5588734"/>
      <w:r>
        <w:t>O condiţie pentru clasificarea drept capitaluri proprii a unui instrument financiar care altfel îndeplineşte criteriile de la punctul 16A sau de la punctul 16C este aceea ca entitatea să nu dețină un alt instrument financiar sau contract care să aibă (a) fluxuri de trezorerie totale bazate substanţial pe profit sau pierdere, pe modificarea activelor nete recunoscute sau pe modificarea valorii juste a activelor nete recunoscute şi nerecunoscute ale entităţii şi (b) efectul de restricţionare sau de fixare substanţială a rentabilităţii reziduale. Este puțin probabil ca următoarele instrumente să împiedice instrumentele care altfel întrunesc criteriile de la punctul 16A sau de la punctul 16C să fie clasificate drept capitaluri proprii, atunci când se iniţiază în termene comerciale normale cu părţile neafiliate:</w:t>
      </w:r>
      <w:bookmarkEnd w:id="242"/>
    </w:p>
    <w:p w:rsidR="00504F27" w:rsidRDefault="00504F27">
      <w:pPr>
        <w:pStyle w:val="IASBNormalnparaL1"/>
      </w:pPr>
      <w:r>
        <w:t>(a)</w:t>
      </w:r>
      <w:r>
        <w:tab/>
      </w:r>
      <w:bookmarkStart w:id="243" w:name="F5588737"/>
      <w:r>
        <w:t>instrumente cu fluxuri de trezorerie totale bazate pe activele specifice entităţii.</w:t>
      </w:r>
      <w:bookmarkEnd w:id="243"/>
    </w:p>
    <w:p w:rsidR="00504F27" w:rsidRDefault="00504F27">
      <w:pPr>
        <w:pStyle w:val="IASBNormalnparaL1"/>
      </w:pPr>
      <w:r>
        <w:t>(b)</w:t>
      </w:r>
      <w:r>
        <w:tab/>
      </w:r>
      <w:bookmarkStart w:id="244" w:name="F5588739"/>
      <w:r>
        <w:t>instrumente cu fluxuri de trezorerie totale bazate pe un procent din venituri.</w:t>
      </w:r>
      <w:bookmarkEnd w:id="244"/>
    </w:p>
    <w:p w:rsidR="00504F27" w:rsidRDefault="00504F27">
      <w:pPr>
        <w:pStyle w:val="IASBNormalnparaL1"/>
      </w:pPr>
      <w:r>
        <w:t>(c)</w:t>
      </w:r>
      <w:r>
        <w:tab/>
      </w:r>
      <w:bookmarkStart w:id="245" w:name="F5588741"/>
      <w:r>
        <w:t>contracte destinate să recompenseze angajaţi individuali pentru servicii prestate către entitate.</w:t>
      </w:r>
      <w:bookmarkEnd w:id="245"/>
    </w:p>
    <w:p w:rsidR="00504F27" w:rsidRDefault="00504F27">
      <w:pPr>
        <w:pStyle w:val="IASBNormalnparaL1"/>
      </w:pPr>
      <w:r>
        <w:t>(d)</w:t>
      </w:r>
      <w:r>
        <w:tab/>
      </w:r>
      <w:bookmarkStart w:id="246" w:name="F5588743"/>
      <w:r>
        <w:t>contracte care impun plata unui procent nesemnificativ din profit pentru serviciile prestate sau pentru bunurile furnizate.</w:t>
      </w:r>
      <w:bookmarkEnd w:id="246"/>
    </w:p>
    <w:p w:rsidR="00504F27" w:rsidRDefault="00504F27">
      <w:pPr>
        <w:pStyle w:val="IASBSectionTitle2Ind"/>
      </w:pPr>
      <w:bookmarkStart w:id="247" w:name="SL147339"/>
      <w:r>
        <w:t>Instrumente financiare derivate</w:t>
      </w:r>
      <w:bookmarkEnd w:id="247"/>
    </w:p>
    <w:p w:rsidR="00504F27" w:rsidRDefault="00504F27">
      <w:pPr>
        <w:pStyle w:val="IASBNormalnpara"/>
      </w:pPr>
      <w:r>
        <w:t>AG15</w:t>
      </w:r>
      <w:r>
        <w:tab/>
      </w:r>
      <w:bookmarkStart w:id="248" w:name="SL31634"/>
      <w:r>
        <w:t>Instrumentele financiare includ instrumente primare (cum ar fi creanţele, datoriile şi instrumentele de capitaluri proprii) şi instrumente financiare derivate (cum ar fi opţiunile financiare, futures şi forward, swapurile pe rata dobânzii şi swapurile valutare). Instrumentele financiare derivate corespund definiţiei unui instrument financiar şi, în consecinţă, intră sub incidenţa prezentului standard.</w:t>
      </w:r>
      <w:bookmarkEnd w:id="248"/>
    </w:p>
    <w:p w:rsidR="00504F27" w:rsidRDefault="00504F27">
      <w:pPr>
        <w:pStyle w:val="IASBNormalnpara"/>
      </w:pPr>
      <w:r>
        <w:t>AG16</w:t>
      </w:r>
      <w:r>
        <w:tab/>
      </w:r>
      <w:bookmarkStart w:id="249" w:name="SL31635"/>
      <w:r>
        <w:t>Instrumentele financiare derivate creează drepturi şi obligaţii care au ca efect transferul între părţile instrumentului al unuia sau mai multor riscuri financiare inerente unui instrument financiar primar suport. La iniţiere, instrumentele financiare derivate dau unei părţi dreptul contractual de a schimba active financiare sau datorii financiare cu o altă parte în condiţii potenţial favorabile, sau o obligaţie contractuală de a schimba active financiare sau datorii financiare cu o altă parte în condiţii care sunt potenţial nefavorabile. Cu toate acestea, în general</w:t>
      </w:r>
      <w:r>
        <w:rPr>
          <w:rStyle w:val="FootnoteReference"/>
        </w:rPr>
        <w:footnoteReference w:id="4"/>
      </w:r>
      <w:r>
        <w:t>, ele nu au drept rezultat un transfer al instrumentului financiar primar suport la începerea contractului şi nici nu are loc în mod obligatoriu un transfer la scadenţa contractului. Unele instrumente înglobează atât dreptul, cât şi obligaţia de a face schimbul. Deoarece termenele schimbului sunt determinate la iniţierea instrumentului derivat, iar preţurile de pe pieţele financiare se modifică, respectivele termene pot deveni atât favorabile, cât şi nefavorabile.</w:t>
      </w:r>
      <w:bookmarkEnd w:id="249"/>
    </w:p>
    <w:p w:rsidR="00504F27" w:rsidRDefault="00504F27">
      <w:pPr>
        <w:pStyle w:val="IASBNormalnpara"/>
      </w:pPr>
      <w:r>
        <w:t>AG17</w:t>
      </w:r>
      <w:r>
        <w:tab/>
      </w:r>
      <w:bookmarkStart w:id="250" w:name="SL31636"/>
      <w:r>
        <w:t>O opţiune put sau call pentru schimbarea activelor financiare sau a datoriilor financiare (adică instrumente financiare, altele decât propriile instrumente de capitaluri proprii ale entităţii) dă deţinătorului dreptul de a obţine beneficii economice viitoare potenţiale asociate cu modificări ale valorii juste a instrumentului financiar care stă la baza contractului. În mod contrar, emitentul opţiunii îşi asumă o obligaţie de a nu beneficia de potenţiale beneficii economice viitoare sau de a suporta potenţiale pierderi de beneficii economice asociate cu modificările valorii juste a instrumentului financiar suport. Dreptul contractual al deţinătorului, precum şi obligaţia emitentului corespund definiţiei activului financiar, respectiv definiţiei datoriei financiare. Instrumentul financiar suport al unui contract de opţiune poate fi orice activ financiar, inclusiv acţiuni ale altor entităţi şi instrumente purtătoare de dobândă. Opţiunea poate impune emitentului să emită un instrument de datorie mai degrabă decât să transfere un activ financiar, dar instrumentul-suport al opţiunii va continua să fie un activ financiar al deţinătorului dacă opţiunea este exercitată. Dreptul deţinătorului opţiunii de a schimba active financiare în condiţii potenţial favorabile, precum şi obligaţia emitentului de a schimba active financiare în condiţii potenţial nefavorabile sunt diferite de activele financiare suport care urmează a fi schimbate prin exercitarea opţiunii. Natura dreptului deţinătorului şi a obligaţiei emitentului nu este afectată de probabilitatea exercitării opţiunii.</w:t>
      </w:r>
      <w:bookmarkEnd w:id="250"/>
    </w:p>
    <w:p w:rsidR="00504F27" w:rsidRDefault="00504F27">
      <w:pPr>
        <w:pStyle w:val="IASBNormalnpara"/>
      </w:pPr>
      <w:r>
        <w:t>AG18</w:t>
      </w:r>
      <w:r>
        <w:tab/>
      </w:r>
      <w:bookmarkStart w:id="251" w:name="SL31637"/>
      <w:r>
        <w:t xml:space="preserve">Un alt exemplu de instrument financiar derivat este un contract forward care urmează a fi lichidat peste şase luni, în care una dintre părţi (cumpărătorul) promite să livreze 1.000.000 u.m. în numerar în schimbul unor obligaţiuni de stat cu rată fixă, cu valoare nominală de 1.000.000 u.m., iar cealaltă parte (vânzătorul) promite să livreze obligaţiunile de stat cu rată fixă, cu valoare nominală de 1.000.000 u.m., în schimbul sumei de 1.000.000 u.m. în numerar. Pe parcursul celor şase luni, ambele părţi au atât un drept contractual, cât şi o obligaţie contractuală de a schimba instrumente financiare. Dacă preţul de piaţă al obligaţiunilor de stat este mai mare de 1.000.000 u.m., condiţiile vor fi favorabile pentru cumpărător şi nefavorabile pentru </w:t>
      </w:r>
      <w:r>
        <w:lastRenderedPageBreak/>
        <w:t>vânzător; dacă preţul de piaţă este sub 1.000.000 u.m., efectul va fi opus. Cumpărătorul are atât un drept contractual (un activ financiar) similar dreptului generat de deţinerea unei opţiuni call, cât şi o obligaţie contractuală (o datorie financiară) similară obligaţiei generate de emiterea unei opţiuni put; vânzătorul are un drept contractual (un activ financiar) similar dreptului generat de deţinerea unei opţiuni put şi o obligaţie contractuală (o datorie financiară) similară obligaţiei generate de emiterea unei opţiuni call. Ca în cazul opţiunilor, aceste drepturi şi obligaţii contractuale constituie active financiare şi datorii financiare separate şi distincte de instrumentele financiare suport (obligaţiunile şi lichidităţile care fac obiectul schimbului). Ambele părţi dintr-un contract forward au obligaţia de a-şi executa obligaţiile la momentul convenit, în timp ce executarea unui contract pe opţiuni are loc numai dacă şi când deţinătorul opţiunii alege să o exercite.</w:t>
      </w:r>
      <w:bookmarkEnd w:id="251"/>
    </w:p>
    <w:p w:rsidR="00504F27" w:rsidRDefault="00504F27">
      <w:pPr>
        <w:pStyle w:val="IASBNormalnpara"/>
      </w:pPr>
      <w:r>
        <w:t>AG19</w:t>
      </w:r>
      <w:r>
        <w:tab/>
      </w:r>
      <w:bookmarkStart w:id="252" w:name="SL31638"/>
      <w:r>
        <w:t>Multe alte tipuri de instrumente derivate încorporează un drept sau o obligaţie de a face schimburi viitoare, inclusiv swapul pe rata dobânzii şi swapul valutar, contractele cap, collar şi floor pe rata dobânzii, angajamentele de creditare, facilităţile de emitere de efecte comerciale şi acreditivele. Un swap pe rata dobânzii poate fi privit ca o variaţie a unui contract forward în care părţile sunt de acord să facă o serie de schimburi viitoare de valori sub formă de numerar, o valoare fiind calculată în funcţie de o rată fluctuantă a dobânzii, iar cealaltă, în funcţie de o rată fixă a dobânzii. Contractele futures sunt o altă variaţie a contractelor forward, deosebindu-se în principal prin faptul că sunt standardizate şi tranzacţionate la bursă.</w:t>
      </w:r>
      <w:bookmarkEnd w:id="252"/>
    </w:p>
    <w:p w:rsidR="00504F27" w:rsidRDefault="00504F27">
      <w:pPr>
        <w:pStyle w:val="IASBSectionTitle2Ind"/>
      </w:pPr>
      <w:bookmarkStart w:id="253" w:name="SL147340"/>
      <w:r>
        <w:t>Contracte de cumpărare sau de vânzare a elementelor nefinanciare</w:t>
      </w:r>
      <w:r>
        <w:br/>
        <w:t>(punctele 8-10)</w:t>
      </w:r>
      <w:bookmarkEnd w:id="253"/>
    </w:p>
    <w:p w:rsidR="00504F27" w:rsidRDefault="00504F27">
      <w:pPr>
        <w:pStyle w:val="IASBNormalnpara"/>
      </w:pPr>
      <w:r>
        <w:t>AG20</w:t>
      </w:r>
      <w:r>
        <w:tab/>
      </w:r>
      <w:bookmarkStart w:id="254" w:name="SL31639"/>
      <w:r>
        <w:t>Contractele de cumpărare sau de vânzare a elementelor nefinanciare nu corespund definiţiei unui instrument financiar deoarece dreptul contractual al unei părţi de a primi un activ nefinanciar sau un serviciu şi obligaţia corespunzătoare a celeilalte părţi nu stabilesc un drept actual sau o obligaţie al(a) niciuneia dintre părţi de a primi, livra sau schimba un activ financiar. De exemplu, contractele care prevăd decontarea numai prin primirea sau livrarea unui element nefinanciar (de exemplu, o opţiune, un contract futures sau forward pe argint) nu sunt instrumente financiare. Multe contracte de mărfuri sunt de acest tip. Unele au o formă standardizată şi sunt tranzacţionate pe pieţe organizate aproape la fel ca unele instrumente financiare derivate. De exemplu, un contract futures pe mărfuri poate fi vândut sau cumpărat fără dificultăţi contra numerar, deoarece este cotat pentru tranzacţionare la o bursă şi își poate schimba deţinătorul de mai multe ori. În orice caz, părţile care vând sau cumpără contractul tranzacţionează de fapt marfa de bază. Capacitatea de a vinde sau de a cumpăra un contract pe mărfuri contra numerar, uşurinţa cu care poate fi cumpărat sau vândut şi posibilitatea negocierii unei decontări în numerar a obligaţiei de a primi sau livra marfa nu schimbă caracterul fundamental al contractului într-o manieră care creează un instrument financiar. Cu toate acestea, unele contracte de cumpărare sau de vânzare a elementelor nefinanciare care pot fi decontate net sau prin schimbul instrumentelor financiare, sau în care elementul nefinanciar este uşor convertibil în numerar, intră sub incidenţa standardului ca şi cum ar fi instrumente financiare (a se vedea punctul 8).</w:t>
      </w:r>
      <w:bookmarkEnd w:id="254"/>
    </w:p>
    <w:p w:rsidR="00504F27" w:rsidRDefault="00504F27">
      <w:pPr>
        <w:pStyle w:val="IASBNormalnpara"/>
      </w:pPr>
      <w:r>
        <w:t>AG21</w:t>
      </w:r>
      <w:r>
        <w:tab/>
      </w:r>
      <w:bookmarkStart w:id="255" w:name="SL32667581"/>
      <w:r>
        <w:t xml:space="preserve">În afara cazurilor prevăzute în IFRS 15 </w:t>
      </w:r>
      <w:r>
        <w:rPr>
          <w:i/>
        </w:rPr>
        <w:t>Venituri din contractele cu clienții</w:t>
      </w:r>
      <w:r>
        <w:t>, un contract care implică primirea sau livrarea unor active corporale nu generează un activ financiar pentru o parte şi o datorie financiară pentru cealaltă parte, cu excepţia situației în care plata corespondentă este amânată după data la care activele corporale sunt transferate. Este cazul vânzării sau cumpărării de bunuri pe credit comercial.</w:t>
      </w:r>
      <w:bookmarkEnd w:id="255"/>
    </w:p>
    <w:p w:rsidR="00504F27" w:rsidRDefault="00504F27">
      <w:pPr>
        <w:pStyle w:val="IASBNormalnpara"/>
      </w:pPr>
      <w:r>
        <w:t>AG22</w:t>
      </w:r>
      <w:r>
        <w:tab/>
      </w:r>
      <w:bookmarkStart w:id="256" w:name="SL31641"/>
      <w:r>
        <w:t>Unele contracte se referă la mărfuri, dar nu implică decontarea prin primirea sau livrarea fizică a mărfii. Ele specifică decontarea prin plăţi de numerar care sunt determinate conform unei formule din contract, şi nu prin plata unor sume fixe. De exemplu, valoarea principalului unei obligaţiuni poate fi calculată prin aplicarea preţului de piaţă al petrolului existent la scadenţa obligaţiunii aferente unei cantităţi fixe de petrol. Valoarea principalului este indexată prin raportare la preţul unei mărfi, dar este decontată doar în numerar. Un astfel de contract constituie un instrument financiar.</w:t>
      </w:r>
      <w:bookmarkEnd w:id="256"/>
    </w:p>
    <w:p w:rsidR="00504F27" w:rsidRDefault="00504F27">
      <w:pPr>
        <w:pStyle w:val="IASBNormalnpara"/>
      </w:pPr>
      <w:r>
        <w:t>AG23</w:t>
      </w:r>
      <w:r>
        <w:tab/>
      </w:r>
      <w:bookmarkStart w:id="257" w:name="SL31642"/>
      <w:r>
        <w:t>Definiţia unui instrument financiar cuprinde, de asemenea, contractul care generează un activ nefinanciar sau o datorie nefinanciară în plus faţă de un activ financiar sau o datorie financiară. Astfel de instrumente financiare dau deseori uneia dintre părţi opţiunea de a schimba un activ financiar cu unul nefinanciar. De exemplu, o obligaţiune cu opţiune pe preţul petrolului îi poate da deţinătorului dreptul de a primi o serie de plăţi fixe periodice de dobânzi şi o sumă fixă de numerar la scadenţă, cu opţiunea de a schimba valoarea principalului cu o cantitate fixă de petrol. Oportunitatea exercitării acestei opţiuni va varia în timp, depinzând de valoarea justă a petrolului raportată la rata de schimb petrol-bani (preţul de schimb) conţinută de obligaţiune. Intenţiile deţinătorului obligaţiunii în ceea ce priveşte exercitarea opţiunii nu afectează fondul activelor componente. Activul financiar al deţinătorului, precum şi datoria financiară a emitentului transformă obligaţiunea într-un instrument financiar, indiferent de celelalte tipuri de active şi datorii care au fost, de asemenea, create.</w:t>
      </w:r>
      <w:bookmarkEnd w:id="257"/>
    </w:p>
    <w:p w:rsidR="00504F27" w:rsidRDefault="00504F27">
      <w:pPr>
        <w:pStyle w:val="IASBNormalnpara"/>
      </w:pPr>
      <w:r>
        <w:t>AG24</w:t>
      </w:r>
      <w:r>
        <w:tab/>
      </w:r>
      <w:bookmarkStart w:id="258" w:name="SL31643"/>
      <w:r>
        <w:t>[Eliminate]</w:t>
      </w:r>
      <w:bookmarkEnd w:id="258"/>
    </w:p>
    <w:p w:rsidR="00504F27" w:rsidRDefault="00504F27">
      <w:pPr>
        <w:pStyle w:val="IASBSectionTitle1NonInd"/>
      </w:pPr>
      <w:bookmarkStart w:id="259" w:name="SL147341"/>
      <w:r>
        <w:lastRenderedPageBreak/>
        <w:t>Prezentare</w:t>
      </w:r>
      <w:bookmarkEnd w:id="259"/>
    </w:p>
    <w:p w:rsidR="00504F27" w:rsidRDefault="00504F27">
      <w:pPr>
        <w:pStyle w:val="IASBSectionTitle2Ind"/>
      </w:pPr>
      <w:bookmarkStart w:id="260" w:name="SL147342"/>
      <w:r>
        <w:t>Datorii şi capitaluri proprii (punctele 15-27)</w:t>
      </w:r>
      <w:bookmarkEnd w:id="260"/>
    </w:p>
    <w:p w:rsidR="00504F27" w:rsidRDefault="00504F27">
      <w:pPr>
        <w:pStyle w:val="IASBSectionTitle3Ind"/>
      </w:pPr>
      <w:bookmarkStart w:id="261" w:name="SL147343"/>
      <w:r>
        <w:t>Fără obligaţii contractuale de a plăti în numerar sau prin alt activ financiar (punctele 17-20)</w:t>
      </w:r>
      <w:bookmarkEnd w:id="261"/>
    </w:p>
    <w:p w:rsidR="00504F27" w:rsidRDefault="00504F27">
      <w:pPr>
        <w:pStyle w:val="IASBNormalnpara"/>
      </w:pPr>
      <w:r>
        <w:t>AG25</w:t>
      </w:r>
      <w:r>
        <w:tab/>
      </w:r>
      <w:bookmarkStart w:id="262" w:name="SL31644"/>
      <w:r>
        <w:t>Acţiunile preferenţiale pot fi emise cu diferite drepturi aferente. Pentru a determina dacă o acţiune preferenţială este o datorie financiară sau un instrument de capitaluri proprii, emitentul evaluează drepturile speciale aferente acţiunii pentru a vedea dacă prezintă caracteristicile fundamentale ale unei datorii financiare. De exemplu, o acţiune preferenţială care permite răscumpărarea la o anumită dată sau la opţiunea deţinătorului conţine o datorie financiară deoarece emitentul are obligaţia de a transfera active financiare deţinătorului acţiunii. Potenţiala incapacitate a unui emitent de a satisface obligaţia de răscumpărare a unei acţiuni preferenţiale atunci când acest lucru este impus prin contract, fie din cauza lipsei fondurilor, fie a unei restricţii statutare, fie a insuficienţei profiturilor sau rezervelor, nu anulează obligaţia. Opţiunea emitentului de a răscumpăra acţiunile contra numerar nu corespunde definiţiei unei datorii financiare deoarece emitentul nu are o obligaţie curentă de a transfera active financiare către acţionari. În acest caz, răscumpărarea acţiunilor este de competenţa exclusivă a emitentului. O obligaţie ar putea apărea totuşi în momentul în care emitentul acţiunilor îşi exercită opţiunea, de obicei prin notificarea formală a acţionarilor cu privire la intenţia de a răscumpăra acţiunile.</w:t>
      </w:r>
      <w:bookmarkEnd w:id="262"/>
    </w:p>
    <w:p w:rsidR="00504F27" w:rsidRDefault="00504F27">
      <w:pPr>
        <w:pStyle w:val="IASBNormalnpara"/>
      </w:pPr>
      <w:r>
        <w:t>AG26</w:t>
      </w:r>
      <w:r>
        <w:tab/>
      </w:r>
      <w:bookmarkStart w:id="263" w:name="SL31645"/>
      <w:r>
        <w:t xml:space="preserve">Atunci când acţiunile preferenţiale nu pot fi răscumpărate, clasificarea potrivită este determinată de alte drepturi aferente acţiunilor. Clasificarea se bazează pe evaluarea fondului angajamentelor contractuale şi pe definiţiile unei datorii financiare şi unui instrument de capitaluri proprii. Atunci când distribuirile acţiunilor preferenţiale către deţinători, fie ele cumulative, fie necumulative, sunt la alegerea emitentului, acţiunile sunt instrumente de capitaluri proprii. Clasificarea acţiunilor preferenţiale ca instrumente de capitaluri proprii sau datorii financiare nu este afectată, de exemplu, de: </w:t>
      </w:r>
      <w:bookmarkEnd w:id="263"/>
    </w:p>
    <w:p w:rsidR="00504F27" w:rsidRDefault="00504F27">
      <w:pPr>
        <w:pStyle w:val="IASBNormalnparaL1"/>
      </w:pPr>
      <w:r>
        <w:t>(a)</w:t>
      </w:r>
      <w:r>
        <w:tab/>
      </w:r>
      <w:bookmarkStart w:id="264" w:name="SL147346"/>
      <w:r>
        <w:t>o experienţă trecută în efectuarea distribuirilor;</w:t>
      </w:r>
      <w:bookmarkEnd w:id="264"/>
    </w:p>
    <w:p w:rsidR="00504F27" w:rsidRDefault="00504F27">
      <w:pPr>
        <w:pStyle w:val="IASBNormalnparaL1"/>
      </w:pPr>
      <w:r>
        <w:t>(b)</w:t>
      </w:r>
      <w:r>
        <w:tab/>
      </w:r>
      <w:bookmarkStart w:id="265" w:name="SL147348"/>
      <w:r>
        <w:t>o intenţie de a face distribuiri în viitor;</w:t>
      </w:r>
      <w:bookmarkEnd w:id="265"/>
    </w:p>
    <w:p w:rsidR="00504F27" w:rsidRDefault="00504F27">
      <w:pPr>
        <w:pStyle w:val="IASBNormalnparaL1"/>
      </w:pPr>
      <w:r>
        <w:t>(c)</w:t>
      </w:r>
      <w:r>
        <w:tab/>
      </w:r>
      <w:bookmarkStart w:id="266" w:name="SL147350"/>
      <w:r>
        <w:t>un posibil impact negativ asupra preţului acţiunilor ordinare ale emitentului dacă distribuirea nu este realizată (din cauza restricţiilor asupra plăţii dividendelor pentru acţiunile ordinare, dacă dividendele nu sunt plătite pentru acţiunile preferenţiale);</w:t>
      </w:r>
      <w:bookmarkEnd w:id="266"/>
    </w:p>
    <w:p w:rsidR="00504F27" w:rsidRDefault="00504F27">
      <w:pPr>
        <w:pStyle w:val="IASBNormalnparaL1"/>
      </w:pPr>
      <w:r>
        <w:t>(d)</w:t>
      </w:r>
      <w:r>
        <w:tab/>
      </w:r>
      <w:bookmarkStart w:id="267" w:name="SL147352"/>
      <w:r>
        <w:t>valoarea rezervelor emitentului;</w:t>
      </w:r>
      <w:bookmarkEnd w:id="267"/>
    </w:p>
    <w:p w:rsidR="00504F27" w:rsidRDefault="00504F27">
      <w:pPr>
        <w:pStyle w:val="IASBNormalnparaL1"/>
      </w:pPr>
      <w:r>
        <w:t>(e)</w:t>
      </w:r>
      <w:r>
        <w:tab/>
      </w:r>
      <w:bookmarkStart w:id="268" w:name="SL147354"/>
      <w:r>
        <w:t>preconizarea realizată de emitent privind profitul sau pierderea pentru o perioadă; sau</w:t>
      </w:r>
      <w:bookmarkEnd w:id="268"/>
    </w:p>
    <w:p w:rsidR="00504F27" w:rsidRDefault="00504F27">
      <w:pPr>
        <w:pStyle w:val="IASBNormalnparaL1"/>
      </w:pPr>
      <w:r>
        <w:t>(f)</w:t>
      </w:r>
      <w:r>
        <w:tab/>
      </w:r>
      <w:bookmarkStart w:id="269" w:name="SL147356"/>
      <w:r>
        <w:t>capacitatea sau incapacitatea emitentului de a influenţa valoarea profitului sau a pierderii din perioada respectivă.</w:t>
      </w:r>
      <w:bookmarkEnd w:id="269"/>
    </w:p>
    <w:p w:rsidR="00504F27" w:rsidRDefault="00504F27">
      <w:pPr>
        <w:pStyle w:val="IASBSectionTitle3Ind"/>
      </w:pPr>
      <w:bookmarkStart w:id="270" w:name="SL147357"/>
      <w:r>
        <w:t>Decontarea în propriile instrumente de capitaluri proprii ale entităţii (punctele 21-24)</w:t>
      </w:r>
      <w:bookmarkEnd w:id="270"/>
    </w:p>
    <w:p w:rsidR="00504F27" w:rsidRDefault="00504F27">
      <w:pPr>
        <w:pStyle w:val="IASBNormalnpara"/>
      </w:pPr>
      <w:r>
        <w:t>AG27</w:t>
      </w:r>
      <w:r>
        <w:tab/>
      </w:r>
      <w:bookmarkStart w:id="271" w:name="SL31646"/>
      <w:r>
        <w:t xml:space="preserve">Următoarele exemple ilustrează modul de clasificare a diferitelor tipuri de contracte privind propriile instrumente de capitaluri proprii ale entităţii: </w:t>
      </w:r>
      <w:bookmarkEnd w:id="271"/>
    </w:p>
    <w:p w:rsidR="00504F27" w:rsidRDefault="00504F27">
      <w:pPr>
        <w:pStyle w:val="IASBNormalnparaL1"/>
      </w:pPr>
      <w:r>
        <w:t>(a)</w:t>
      </w:r>
      <w:r>
        <w:tab/>
      </w:r>
      <w:bookmarkStart w:id="272" w:name="SL147360"/>
      <w:r>
        <w:t>Un contract care va fi decontat de către entitatea care primeşte sau livrează un număr fix din propriile acţiuni fără contraprestaţii viitoare, sau care schimbă un număr fix de acţiuni proprii contra unei sume fixe de numerar sau a altor active financiare, este un instrument de capitaluri proprii (cu excepţia celor stipulate la punctul 22A). În consecinţă, orice contraprestaţie primită sau plătită pentru un astfel de contract este adăugată direct în sau dedusă direct din capitalurile proprii. Un exemplu ar fi o opţiune emisă pe acţiuni prin care partenerul are dreptul de a cumpăra un număr fix din acţiunile entităţii în schimbul unei sume fixe de numerar. Totuşi, dacă prin contract i se impune entităţii să cumpere (să răscumpere) propriile acţiuni în schimbul numerarului sau al altui activ financiar la o dată fixă sau determinabilă sau la cerere, entitatea recunoaşte şi o datorie financiară pentru valoarea actualizată a valorii răscumpărate (cu excepţia instrumentelor care au toate caracteristicile şi care îndeplinesc condiţiile de la punctele 16A şi 16B sau de la punctele 16C şi 16D). Un exemplu ar fi obligaţia unei entităţi conform unui contract forward de a răscumpăra un număr fix din acţiunile proprii pentru o sumă fixă în numerar.</w:t>
      </w:r>
      <w:bookmarkEnd w:id="272"/>
    </w:p>
    <w:p w:rsidR="00504F27" w:rsidRDefault="00504F27">
      <w:pPr>
        <w:pStyle w:val="IASBNormalnparaL1"/>
      </w:pPr>
      <w:r>
        <w:t>(b)</w:t>
      </w:r>
      <w:r>
        <w:tab/>
      </w:r>
      <w:bookmarkStart w:id="273" w:name="SL147362"/>
      <w:r>
        <w:t xml:space="preserve">Obligaţia unei entităţi de a cumpăra propriile acţiuni plătite în numerar generează o datorie financiară pentru valoarea actualizată a sumei de răscumpărare chiar dacă numărul acţiunilor pe care entitatea este obligată să le răscumpere nu este fixat sau obligaţia este condiţionată de </w:t>
      </w:r>
      <w:r>
        <w:lastRenderedPageBreak/>
        <w:t>exercitarea drepturilor de răscumpărare ale partenerilor (cu excepţia celor stipulate la punctele 16A şi 16B sau la punctele 16C şi 16D). Un exemplu de obligaţie condiţionată este o opţiune emisă care impune entităţii să răscumpere propriile acţiuni şi să le plătească în numerar în cazul în care partenerul îşi exercită opţiunea.</w:t>
      </w:r>
      <w:bookmarkEnd w:id="273"/>
    </w:p>
    <w:p w:rsidR="00504F27" w:rsidRDefault="00504F27">
      <w:pPr>
        <w:pStyle w:val="IASBNormalnparaL1"/>
      </w:pPr>
      <w:r>
        <w:t>(c)</w:t>
      </w:r>
      <w:r>
        <w:tab/>
      </w:r>
      <w:bookmarkStart w:id="274" w:name="SL147364"/>
      <w:r>
        <w:t>Un contract care va fi decontat în numerar sau în alt activ financiar este un activ financiar sau o datorie financiară chiar dacă valoarea numerarului sau a altor active financiare care vor fi primite sau livrate se bazează pe modificări ale preţului pieţei pentru capitalurile proprii ale entităţii (cu excepţia situaţiilor de la punctele 16A şi 16B sau de la punctele 16C şi 16D). Un exemplu ar fi o opţiune pe acţiuni decontată net în numerar.</w:t>
      </w:r>
      <w:bookmarkEnd w:id="274"/>
    </w:p>
    <w:p w:rsidR="00504F27" w:rsidRDefault="00504F27">
      <w:pPr>
        <w:pStyle w:val="IASBNormalnparaL1"/>
      </w:pPr>
      <w:r>
        <w:t>(d)</w:t>
      </w:r>
      <w:r>
        <w:tab/>
      </w:r>
      <w:bookmarkStart w:id="275" w:name="SL147366"/>
      <w:r>
        <w:t>Un contract care va fi decontat într-un număr variabil de acţiuni proprii ale unei entităţi şi a cărui valoare este egală cu o sumă fixă sau cu o sumă bazată pe modificările unei variabile de bază (de exemplu, preţul unei mărfi) este un activ financiar sau o datorie financiară. Un exemplu este o opţiune emisă de a cumpăra aur, care, dacă este exercitată, este decontată net în propriile instrumente de capitaluri proprii de către entitatea care furnizează un număr de instrumente egale ca valoare cu valoarea contractului. Un astfel de contract este un activ financiar sau o datorie financiară chiar dacă variabila de bază este preţul acţiunilor entităţii, şi nu aurul. În mod similar, un contract care va fi decontat printr-un număr fix de acţiuni proprii ale entităţii, dar drepturile ataşate acelor acţiuni vor fi modificate astfel încât valoarea de decontare să fie egală cu o sumă fixă sau cu o sumă raportată la modificările variabilei de bază este un activ financiar sau o datorie financiară.</w:t>
      </w:r>
      <w:bookmarkEnd w:id="275"/>
    </w:p>
    <w:p w:rsidR="00504F27" w:rsidRDefault="00504F27">
      <w:pPr>
        <w:pStyle w:val="IASBSectionTitle3Ind"/>
      </w:pPr>
      <w:bookmarkStart w:id="276" w:name="SL147367"/>
      <w:r>
        <w:t>Prevederi privind decontarea elementelor contingente (punctul 25)</w:t>
      </w:r>
      <w:bookmarkEnd w:id="276"/>
    </w:p>
    <w:p w:rsidR="00504F27" w:rsidRDefault="00504F27">
      <w:pPr>
        <w:pStyle w:val="IASBNormalnpara"/>
      </w:pPr>
      <w:r>
        <w:t>AG28</w:t>
      </w:r>
      <w:r>
        <w:tab/>
      </w:r>
      <w:bookmarkStart w:id="277" w:name="SL31647"/>
      <w:r>
        <w:t>Punctul 25 prevede că, în cazul în care o parte a unei prevederi privind decontarea elementelor contingente care ar putea impune decontarea în numerar sau printr-un alt activ financiar (sau în alt mod care ar putea avea drept rezultat transformarea instrumentului în datorie financiară) nu este autentică, prevederea privind decontarea nu afectează clasificarea unui instrument financiar. Prin urmare, un contract care impune decontarea în numerar sau printr-un număr variabil din acţiunile entităţii numai în cazul apariţiei unui eveniment extrem de rar, atipic şi foarte puţin probabil să apară este un instrument de capitaluri proprii. În mod similar, decontarea printr-un număr fix de acţiuni proprii ale entităţii poate fi exclusă contractual în condiţii care nu intră în sfera de control a entităţii, dar dacă aceste condiţii nu au o posibilitate veridică de apariţie, clasificarea ca instrument financiar este cea potrivită.</w:t>
      </w:r>
      <w:bookmarkEnd w:id="277"/>
    </w:p>
    <w:p w:rsidR="00504F27" w:rsidRDefault="00504F27">
      <w:pPr>
        <w:pStyle w:val="IASBSectionTitle3Ind"/>
      </w:pPr>
      <w:bookmarkStart w:id="278" w:name="SL147368"/>
      <w:r>
        <w:t>Tratamentul în situaţiile financiare consolidate</w:t>
      </w:r>
      <w:bookmarkEnd w:id="278"/>
    </w:p>
    <w:p w:rsidR="00504F27" w:rsidRDefault="00504F27">
      <w:pPr>
        <w:pStyle w:val="IASBNormalnpara"/>
      </w:pPr>
      <w:r>
        <w:t>AG29</w:t>
      </w:r>
      <w:r>
        <w:tab/>
      </w:r>
      <w:bookmarkStart w:id="279" w:name="SL31648"/>
      <w:r>
        <w:t>În situaţiile financiare consolidate, o entitate prezintă interesele care nu controlează - adică interesele altor părţi în capitalurile proprii şi rezultatele filialelor entităţii - în conformitate cu IAS 1 şi IFRS 10. La clasificarea unui instrument financiar (sau a unei componente a acestuia) în situaţiile financiare consolidate, o entitate ia în calcul toate termenele şi condiţiile stabilite între membrii grupului şi deţinătorii instrumentului pentru a stabili dacă grupul ca întreg are obligaţia de a ceda numerar sau un alt activ financiar pentru instrument sau de a-l deconta într-un mod care are ca rezultat o clasificare drept datorie. Când o filială din grup emite un instrument financiar şi societatea-mamă sau o altă entitate din grup convine asupra unor condiţii suplimentare direct cu deţinătorii instrumentului (de exemplu, o garanţie), se poate ca grupul să nu aibă libertate de decizie asupra distribuirilor sau răscumpărării. Deşi filiala poate să clasifice corespunzător instrumentul în situaţiile financiare individuale fără a lua în seamă aceste termene suplimentare, efectul altor acorduri între membrii grupului şi deţinătorii instrumentului este luat în considerare pentru a garanta faptul că situaţiile financiare consolidate reflectă contractele şi tranzacţiile pe care le-a încheiat grupul ca întreg. În măsura în care există o astfel de obligaţie sau o astfel de prevedere de decontare, instrumentul (sau componenta sa care face obiectul obligaţiei) este clasificat(ă) drept datorie financiară în situaţiile financiare consolidate.</w:t>
      </w:r>
      <w:bookmarkEnd w:id="279"/>
    </w:p>
    <w:p w:rsidR="00504F27" w:rsidRDefault="00504F27">
      <w:pPr>
        <w:pStyle w:val="IASBNormalnpara"/>
      </w:pPr>
      <w:r>
        <w:t>AG29A</w:t>
      </w:r>
      <w:r>
        <w:tab/>
      </w:r>
      <w:bookmarkStart w:id="280" w:name="F5588744"/>
      <w:r>
        <w:t>Unele tipuri de instrumente care impun o obligaţie contractuală entităţii sunt clasificate drept instrumente de capitaluri proprii în conformitate cu punctele 16A şi 16B sau cu punctele 16C şi 16D. Clasificarea în conformitate cu aceste puncte constituie o excepţie de la principiile aplicate în alte situaţii în prezentul standard pentru clasificarea unui instrument. Această excepţie nu este extinsă pentru clasificarea intereselor care nu controlează în situaţiile financiare consolidate. Prin urmare, instrumentele clasificate drept instrumente de capitaluri proprii în conformitate fie cu punctele 16A şi 16B, fie cu punctele 16C şi 16D în situaţiile financiare separate sau individuale care sunt interese care nu controlează sunt clasificate drept datorii în situaţiile financiare consolidate ale grupului.</w:t>
      </w:r>
      <w:bookmarkEnd w:id="280"/>
    </w:p>
    <w:p w:rsidR="00504F27" w:rsidRDefault="00504F27">
      <w:pPr>
        <w:pStyle w:val="IASBSectionTitle2Ind"/>
      </w:pPr>
      <w:bookmarkStart w:id="281" w:name="SL147369"/>
      <w:r>
        <w:lastRenderedPageBreak/>
        <w:t>Instrumente financiare compuse (punctele 28-32)</w:t>
      </w:r>
      <w:bookmarkEnd w:id="281"/>
    </w:p>
    <w:p w:rsidR="00504F27" w:rsidRDefault="00504F27">
      <w:pPr>
        <w:pStyle w:val="IASBNormalnpara"/>
      </w:pPr>
      <w:r>
        <w:t>AG30</w:t>
      </w:r>
      <w:r>
        <w:tab/>
      </w:r>
      <w:bookmarkStart w:id="282" w:name="SL19041047"/>
      <w:r>
        <w:t>Punctul 28 se aplică numai pentru emitenţii instrumentelor financiare compuse nederivate. Punctul 28 nu tratează instrumentele financiare compuse din perspectiva deţinătorilor. IFRS 9 tratează clasificarea şi evaluarea activelor financiare care sunt instrumente financiare compuse, din perspectiva deţinătorului.</w:t>
      </w:r>
      <w:bookmarkEnd w:id="282"/>
    </w:p>
    <w:p w:rsidR="00504F27" w:rsidRDefault="00504F27">
      <w:pPr>
        <w:pStyle w:val="IASBNormalnpara"/>
      </w:pPr>
      <w:r>
        <w:t>AG31</w:t>
      </w:r>
      <w:r>
        <w:tab/>
      </w:r>
      <w:bookmarkStart w:id="283" w:name="SL31650"/>
      <w:r>
        <w:t xml:space="preserve">O formă uzuală pentru instrumentele financiare compuse este un instrument de datorie cu o opţiune încorporată de conversie, cum ar fi obligaţiunile convertibile în acţiuni ordinare ale emitentului, şi fără alte caracteristici derivate încorporate. Punctul 28 prevede ca emitentul unui astfel de instrument financiar să prezinte separat componenta de datorie şi componenta de capitaluri proprii în situaţia poziţiei financiare, după cum urmează: </w:t>
      </w:r>
      <w:bookmarkEnd w:id="283"/>
    </w:p>
    <w:p w:rsidR="00504F27" w:rsidRDefault="00504F27">
      <w:pPr>
        <w:pStyle w:val="IASBNormalnparaL1"/>
      </w:pPr>
      <w:r>
        <w:t>(a)</w:t>
      </w:r>
      <w:r>
        <w:tab/>
      </w:r>
      <w:bookmarkStart w:id="284" w:name="SL147372"/>
      <w:r>
        <w:t>Obligaţia emitentului de a face plăţi programate ale dobânzii şi principalului este o datorie financiară care există atâta timp cât instrumentul nu este convertit. La recunoaşterea iniţială, valoarea justă a componentei de datorie este valoarea actualizată a fluxurilor de trezorerie viitoare determinate contractual şi actualizate la rata dobânzii aplicată pe piaţă în acel moment instrumentelor cu statut de credit comparabil şi care generează în mare parte aceleaşi fluxuri de trezorerie, în aceleaşi condiţii, dar fără opţiunea de conversie.</w:t>
      </w:r>
      <w:bookmarkEnd w:id="284"/>
    </w:p>
    <w:p w:rsidR="00504F27" w:rsidRDefault="00504F27">
      <w:pPr>
        <w:pStyle w:val="IASBNormalnparaL1"/>
      </w:pPr>
      <w:r>
        <w:t>(b)</w:t>
      </w:r>
      <w:r>
        <w:tab/>
      </w:r>
      <w:bookmarkStart w:id="285" w:name="SL147374"/>
      <w:r>
        <w:t>Instrumentul de capitaluri proprii este o opţiune încorporată de a converti datoria în capitalurile proprii ale emitentului. Această opţiune are valoare la recunoaşterea iniţială chiar şi atunci când este „în afara banilor” (out of the money).</w:t>
      </w:r>
      <w:bookmarkEnd w:id="285"/>
    </w:p>
    <w:p w:rsidR="00504F27" w:rsidRDefault="00504F27">
      <w:pPr>
        <w:pStyle w:val="IASBNormalnpara"/>
      </w:pPr>
      <w:r>
        <w:t>AG32</w:t>
      </w:r>
      <w:r>
        <w:tab/>
      </w:r>
      <w:bookmarkStart w:id="286" w:name="SL31651"/>
      <w:r>
        <w:t>În momentul conversiei unui instrument convertibil la scadenţă, entitatea derecunoaşte componenta de datorie şi o recunoaşte drept capital propriu. Componenta iniţială de capital propriu rămâne capital propriu (deşi ar putea fi transferată de la un element-rând al capitalului la altul). Nu există câştig sau pierdere pentru conversia la scadenţă.</w:t>
      </w:r>
      <w:bookmarkEnd w:id="286"/>
    </w:p>
    <w:p w:rsidR="00504F27" w:rsidRDefault="00504F27">
      <w:pPr>
        <w:pStyle w:val="IASBNormalnpara"/>
      </w:pPr>
      <w:r>
        <w:t>AG33</w:t>
      </w:r>
      <w:r>
        <w:tab/>
      </w:r>
      <w:bookmarkStart w:id="287" w:name="SL31652"/>
      <w:r>
        <w:t>Când o entitate lichidează un instrument convertibil înainte de scadenţă prin intermediul unei răscumpărări sau recumpărări anticipate în care privilegiile iniţiale de conversie rămân nemodificate, entitatea alocă contravaloarea plătită şi orice costuri de tranzacţie privind răscumpărarea sau recumpărarea componentelor de datorie sau de capital propriu ale instrumentului la data tranzacţiei. Metoda utilizată la alocarea contravalorii plătite şi a costurilor tranzacţiei celor două componente separate este consecventă cu cea utilizată în alocarea iniţială către componentele separate a încasărilor primite de entitate la emiterea instrumentului convertibil în conformitate cu punctele 28-32.</w:t>
      </w:r>
      <w:bookmarkEnd w:id="287"/>
    </w:p>
    <w:p w:rsidR="00504F27" w:rsidRDefault="00504F27">
      <w:pPr>
        <w:pStyle w:val="IASBNormalnpara"/>
      </w:pPr>
      <w:r>
        <w:t>AG34</w:t>
      </w:r>
      <w:r>
        <w:tab/>
      </w:r>
      <w:bookmarkStart w:id="288" w:name="SL31653"/>
      <w:r>
        <w:t xml:space="preserve">Odată ce alocarea contravalorii este făcută, orice câştig sau pierdere este tratat(ă) în conformitate cu principiile contabile aplicabile componentei respective, după cum urmează: </w:t>
      </w:r>
      <w:bookmarkEnd w:id="288"/>
    </w:p>
    <w:p w:rsidR="00504F27" w:rsidRDefault="00504F27">
      <w:pPr>
        <w:pStyle w:val="IASBNormalnparaL1"/>
      </w:pPr>
      <w:r>
        <w:t>(a)</w:t>
      </w:r>
      <w:r>
        <w:tab/>
      </w:r>
      <w:bookmarkStart w:id="289" w:name="SL147377"/>
      <w:r>
        <w:t>valoarea câştigului sau pierderii ce ţine de componenta de datorie este recunoscută în profit sau pierdere; și</w:t>
      </w:r>
      <w:bookmarkEnd w:id="289"/>
    </w:p>
    <w:p w:rsidR="00504F27" w:rsidRDefault="00504F27">
      <w:pPr>
        <w:pStyle w:val="IASBNormalnparaL1"/>
      </w:pPr>
      <w:r>
        <w:t>(b)</w:t>
      </w:r>
      <w:r>
        <w:tab/>
      </w:r>
      <w:bookmarkStart w:id="290" w:name="SL147379"/>
      <w:r>
        <w:t>contravaloarea legată de componenta de capitaluri proprii este recunoscută în capitalurile proprii.</w:t>
      </w:r>
      <w:bookmarkEnd w:id="290"/>
    </w:p>
    <w:p w:rsidR="00504F27" w:rsidRDefault="00504F27">
      <w:pPr>
        <w:pStyle w:val="IASBNormalnpara"/>
      </w:pPr>
      <w:r>
        <w:t>AG35</w:t>
      </w:r>
      <w:r>
        <w:tab/>
      </w:r>
      <w:bookmarkStart w:id="291" w:name="SL31654"/>
      <w:r>
        <w:t>O entitate poate modifica termenele unui instrument convertibil pentru a genera conversia anticipată, de exemplu, prin oferirea unui raport de conversie mai atractiv sau prin plata altei contravalori suplimentare în cazul conversiei anticipate. Diferenţa, la data la care termenele sunt modificate, dintre valoarea justă a contravalorii pe care deţinătorul o primeşte în momentul conversiei instrumentului în condiţiile termenelor revizuite, pe de o parte, şi valoarea justă a contravalorii pe care deţinătorul ar fi primit-o în condiţiile iniţiale, pe de altă parte, este recunoscută drept pierdere în profit sau pierdere.</w:t>
      </w:r>
      <w:bookmarkEnd w:id="291"/>
    </w:p>
    <w:p w:rsidR="00504F27" w:rsidRDefault="00504F27">
      <w:pPr>
        <w:pStyle w:val="IASBSectionTitle2Ind"/>
      </w:pPr>
      <w:bookmarkStart w:id="292" w:name="SL147380"/>
      <w:r>
        <w:t>Acţiuni de trezorerie (punctele 33 şi 34)</w:t>
      </w:r>
      <w:bookmarkEnd w:id="292"/>
    </w:p>
    <w:p w:rsidR="00504F27" w:rsidRDefault="00504F27">
      <w:pPr>
        <w:pStyle w:val="IASBNormalnpara"/>
      </w:pPr>
      <w:r>
        <w:t>AG36</w:t>
      </w:r>
      <w:r>
        <w:tab/>
      </w:r>
      <w:bookmarkStart w:id="293" w:name="SL31655"/>
      <w:r>
        <w:t>Propriile instrumente de capitaluri proprii ale unei entităţi nu sunt recunoscute drept activ financiar, indiferent de motivul pentru care ele au fost redobândite. Punctul 33 prevede ca o entitate care îşi redobândeşte propriile instrumente de capitaluri proprii să le deducă din capitalurile proprii. Totuşi, atunci când o entitate deţine propriile capitaluri în numele altor persoane, de exemplu, o instituţie financiară care deţine propriul capital în numele unui client, există o relaţie de reprezentare şi, prin urmare, aceste participaţii nu sunt incluse în situaţia poziţiei financiare a entităţii.</w:t>
      </w:r>
      <w:bookmarkEnd w:id="293"/>
    </w:p>
    <w:p w:rsidR="00504F27" w:rsidRDefault="00504F27">
      <w:pPr>
        <w:pStyle w:val="IASBSectionTitle2Ind"/>
      </w:pPr>
      <w:bookmarkStart w:id="294" w:name="SL147381"/>
      <w:r>
        <w:t>Dobânzi, dividende, pierderi şi câştiguri (punctele 35-41)</w:t>
      </w:r>
      <w:bookmarkEnd w:id="294"/>
    </w:p>
    <w:p w:rsidR="00504F27" w:rsidRDefault="00504F27">
      <w:pPr>
        <w:pStyle w:val="IASBNormalnpara"/>
      </w:pPr>
      <w:r>
        <w:t>AG37</w:t>
      </w:r>
      <w:r>
        <w:tab/>
      </w:r>
      <w:bookmarkStart w:id="295" w:name="SL31656"/>
      <w:r>
        <w:t xml:space="preserve">Următorul exemplu ilustrează aplicarea prevederilor de la punctul 35 în cazul unui instrument financiar compus. Să presupunem că o acţiune preferenţială necumulativă este obligatoriu răscumpărabilă contra numerar în cinci ani, dar că dividendele sunt plătibile la alegerea exclusivă a entităţii înainte de data de răscumpărare. Un astfel de instrument este un instrument financiar compus, componenta de datorie fiind valoarea actualizată a valorii de răscumpărare. Evoluţia actualizării pe această componentă este recunoscută </w:t>
      </w:r>
      <w:r>
        <w:lastRenderedPageBreak/>
        <w:t>în profit sau pierdere şi clasificată drept o cheltuială cu dobânzile. Dividendele plătite se referă la componenta de capitaluri proprii şi, prin urmare, sunt recunoscute ca distribuiri din profit sau pierdere. Un tratament similar ar fi aplicabil dacă răscumpărarea nu ar fi obligatorie, ci la alegerea deţinătorului, sau dacă acţiunea ar fi în mod obligatoriu convertibilă într-un număr variabil de acţiuni ordinare calculate astfel încât să fie egale cu o sumă fixă sau cu o sumă bazată pe modificări ale unei variabile de bază (de exemplu, o marfă). Totuşi, dacă sunt adăugate dividendele neplătite la suma răscumpărării, întregul instrument constituie o datorie. În acest caz, dividendele sunt clasificate drept cheltuieli cu dobânzile.</w:t>
      </w:r>
      <w:bookmarkEnd w:id="295"/>
    </w:p>
    <w:p w:rsidR="00504F27" w:rsidRDefault="00504F27">
      <w:pPr>
        <w:pStyle w:val="IASBSectionTitle2Ind"/>
      </w:pPr>
      <w:bookmarkStart w:id="296" w:name="SL147382"/>
      <w:r>
        <w:t>Compensarea unui activ financiar şi a unei datorii financiare</w:t>
      </w:r>
      <w:r>
        <w:br/>
        <w:t>(punctele 42-50)</w:t>
      </w:r>
      <w:bookmarkEnd w:id="296"/>
    </w:p>
    <w:p w:rsidR="00504F27" w:rsidRDefault="00504F27">
      <w:pPr>
        <w:pStyle w:val="IASBNormalnpara"/>
      </w:pPr>
      <w:r>
        <w:t>AG38</w:t>
      </w:r>
      <w:r>
        <w:tab/>
      </w:r>
      <w:bookmarkStart w:id="297" w:name="SL17316337"/>
      <w:r>
        <w:t>[Eliminate]</w:t>
      </w:r>
      <w:bookmarkEnd w:id="297"/>
    </w:p>
    <w:p w:rsidR="00504F27" w:rsidRDefault="00504F27">
      <w:pPr>
        <w:pStyle w:val="IASBSectionTitle3Ind"/>
      </w:pPr>
      <w:bookmarkStart w:id="298" w:name="F17320336"/>
      <w:r>
        <w:t>Criteriul conform căruia o entitate „are în prezent un drept exercitabil legal de a compensa valorile recunoscute” (punctul 42 litera (a))</w:t>
      </w:r>
      <w:bookmarkEnd w:id="298"/>
    </w:p>
    <w:p w:rsidR="00504F27" w:rsidRDefault="00504F27">
      <w:pPr>
        <w:pStyle w:val="IASBNormalnpara"/>
      </w:pPr>
      <w:r>
        <w:t>AG38A</w:t>
      </w:r>
      <w:r>
        <w:tab/>
      </w:r>
      <w:bookmarkStart w:id="299" w:name="F17320337"/>
      <w:r>
        <w:t>Un drept de a compensa poate fi disponibil în perioada curentă sau poate depinde de un eveniment viitor (de exemplu, dreptul poate fi declanșat sau poate deveni exercitabil doar la producerea unui anumit eveniment viitor, cum ar fi nerespectarea obligațiilor, insolvența sau falimentul unuia dintre co-contractanți). Chiar dacă dreptul de a compensa nu depinde de un eveniment viitor, el poate să fie exercitabil doar din punct de vedere legal în cursul normal al activității, sau în cazul nerespectării obligațiilor, ori în cazul insolvenței sau falimentului unuia dintre co-contractanți sau al tuturor co-contractanților.</w:t>
      </w:r>
      <w:bookmarkEnd w:id="299"/>
    </w:p>
    <w:p w:rsidR="00504F27" w:rsidRDefault="00504F27">
      <w:pPr>
        <w:pStyle w:val="IASBNormalnpara"/>
      </w:pPr>
      <w:r>
        <w:t>AG38B</w:t>
      </w:r>
      <w:r>
        <w:tab/>
      </w:r>
      <w:bookmarkStart w:id="300" w:name="F17320338"/>
      <w:r>
        <w:t>Pentru a îndeplini criteriul de la punctul 42 litera (a), o entitate trebuie să aibă în prezent un drept de compensare exercitabil din punct de vedere legal. Aceasta înseamnă că dreptul de a compensa:</w:t>
      </w:r>
      <w:bookmarkEnd w:id="300"/>
    </w:p>
    <w:p w:rsidR="00504F27" w:rsidRDefault="00504F27">
      <w:pPr>
        <w:pStyle w:val="IASBNormalnparaL1"/>
      </w:pPr>
      <w:r>
        <w:t>(a)</w:t>
      </w:r>
      <w:r>
        <w:tab/>
      </w:r>
      <w:bookmarkStart w:id="301" w:name="F17320341"/>
      <w:r>
        <w:t>nu trebuie să depindă de un eveniment viitor; și</w:t>
      </w:r>
      <w:bookmarkEnd w:id="301"/>
    </w:p>
    <w:p w:rsidR="00504F27" w:rsidRDefault="00504F27">
      <w:pPr>
        <w:pStyle w:val="IASBNormalnparaL1"/>
      </w:pPr>
      <w:r>
        <w:t>(b)</w:t>
      </w:r>
      <w:r>
        <w:tab/>
      </w:r>
      <w:bookmarkStart w:id="302" w:name="F17320343"/>
      <w:r>
        <w:t>trebuie să fie exercitabil din punct de vedere legal în toate situațiile următoare:</w:t>
      </w:r>
      <w:bookmarkEnd w:id="302"/>
    </w:p>
    <w:p w:rsidR="00504F27" w:rsidRDefault="00504F27">
      <w:pPr>
        <w:pStyle w:val="IASBNormalnparaL2"/>
      </w:pPr>
      <w:r>
        <w:t>(i)</w:t>
      </w:r>
      <w:r>
        <w:tab/>
      </w:r>
      <w:bookmarkStart w:id="303" w:name="F17320346"/>
      <w:r>
        <w:t>pe parcursul desfăşurării normale a activităţii;</w:t>
      </w:r>
      <w:bookmarkEnd w:id="303"/>
    </w:p>
    <w:p w:rsidR="00504F27" w:rsidRDefault="00504F27">
      <w:pPr>
        <w:pStyle w:val="IASBNormalnparaL2"/>
      </w:pPr>
      <w:r>
        <w:t>(ii)</w:t>
      </w:r>
      <w:r>
        <w:tab/>
      </w:r>
      <w:bookmarkStart w:id="304" w:name="F17320348"/>
      <w:r>
        <w:t>în cazul nerespectării obligațiilor; și</w:t>
      </w:r>
      <w:bookmarkEnd w:id="304"/>
    </w:p>
    <w:p w:rsidR="00504F27" w:rsidRDefault="00504F27">
      <w:pPr>
        <w:pStyle w:val="IASBNormalnparaL2"/>
      </w:pPr>
      <w:r>
        <w:t>(iii)</w:t>
      </w:r>
      <w:r>
        <w:tab/>
      </w:r>
      <w:bookmarkStart w:id="305" w:name="F17320350"/>
      <w:r>
        <w:t>în caz de insolvență sau faliment</w:t>
      </w:r>
      <w:bookmarkEnd w:id="305"/>
    </w:p>
    <w:p w:rsidR="00504F27" w:rsidRDefault="00504F27">
      <w:pPr>
        <w:pStyle w:val="IASBNormalnparaL1P"/>
      </w:pPr>
      <w:bookmarkStart w:id="306" w:name="F17320351"/>
      <w:r>
        <w:t>al entității și al tuturor co-contractanților.</w:t>
      </w:r>
      <w:bookmarkEnd w:id="306"/>
    </w:p>
    <w:p w:rsidR="00504F27" w:rsidRDefault="00504F27">
      <w:pPr>
        <w:pStyle w:val="IASBNormalnpara"/>
      </w:pPr>
      <w:r>
        <w:t>AG38C</w:t>
      </w:r>
      <w:r>
        <w:tab/>
      </w:r>
      <w:bookmarkStart w:id="307" w:name="F17320352"/>
      <w:r>
        <w:t xml:space="preserve">Natura și amploarea dreptului de compensare, inclusiv orice condiții asociate exercitării acestuia și posibilitatea păstrării dreptului în cazul nerespectării obligaţiilor sau al insolvenței sau falimentului, pot varia de la o jurisdicţie la alta. Prin urmare, nu se poate presupune că dreptul de a compensa este disponibil automat în afara cursului normal al activității. De exemplu, legislația referitoare la insolvență sau faliment dintr-o anumită jurisdicţie poate interzice sau restricționa dreptul de a compensa în cazul falimentului sau insolvenței, în anumite circumstanțe. </w:t>
      </w:r>
      <w:bookmarkEnd w:id="307"/>
    </w:p>
    <w:p w:rsidR="00504F27" w:rsidRDefault="00504F27">
      <w:pPr>
        <w:pStyle w:val="IASBNormalnpara"/>
      </w:pPr>
      <w:r>
        <w:t>AG38D</w:t>
      </w:r>
      <w:r>
        <w:tab/>
      </w:r>
      <w:bookmarkStart w:id="308" w:name="F17320353"/>
      <w:r>
        <w:t>Legislația aplicabilă relației dintre părți (de exemplu, prevederile contractuale, legile care guvernează contractul, sau legile aplicabile părților în cazul nerespectării obligațiilor, al insolvenței sau falimentului) trebuie luată în considerare pentru a se determina dacă dreptul de a compensa este sau nu exercitabil în cursul normal al activității, în cazul nerespectării obligațiilor și în caz de insolvență sau faliment al entității și al tuturor co-contractanților (conform celor stipulate la punctul AG38B litera (b)).</w:t>
      </w:r>
      <w:bookmarkEnd w:id="308"/>
    </w:p>
    <w:p w:rsidR="00504F27" w:rsidRDefault="00504F27">
      <w:pPr>
        <w:pStyle w:val="IASBSectionTitle3Ind"/>
      </w:pPr>
      <w:bookmarkStart w:id="309" w:name="F17320317"/>
      <w:r>
        <w:t>Criteriul conform căruia o entitate „intenţionează fie să deconteze datoria pe o bază netă, fie să valorifice activul şi să deconteze datoria simultan” (punctul 42 litera (b))</w:t>
      </w:r>
      <w:bookmarkEnd w:id="309"/>
    </w:p>
    <w:p w:rsidR="00504F27" w:rsidRDefault="00504F27">
      <w:pPr>
        <w:pStyle w:val="IASBNormalnpara"/>
      </w:pPr>
      <w:r>
        <w:t>AG38E</w:t>
      </w:r>
      <w:r>
        <w:tab/>
      </w:r>
      <w:bookmarkStart w:id="310" w:name="F17320318"/>
      <w:r>
        <w:t>Pentru a îndeplini criteriul de la punctul 42 litera (b), o entitate trebuie să intenţioneze fie să deconteze datoria pe o bază netă, fie să valorifice activul şi să deconteze datoria simultan. Cu toate că entitatea poate avea dreptul de a deconta net, entitatea poate totuși să valorifice activul și să deconteze datoria separat.</w:t>
      </w:r>
      <w:bookmarkEnd w:id="310"/>
    </w:p>
    <w:p w:rsidR="00504F27" w:rsidRDefault="00504F27">
      <w:pPr>
        <w:pStyle w:val="IASBNormalnpara"/>
      </w:pPr>
      <w:r>
        <w:t>AG38F</w:t>
      </w:r>
      <w:r>
        <w:tab/>
      </w:r>
      <w:bookmarkStart w:id="311" w:name="F17320319"/>
      <w:r>
        <w:t>Dacă entitatea poate deconta sumele în așa fel încât rezultatul respectiv este, de fapt, echivalent cu decontarea netă, entitatea va îndeplini criteriul de decontare netă de la punctul 42 litera (b). Acest lucru se întâmplă dacă și numai dacă mecanismul de decontare brută prezintă caracteristici care elimină sau generează un risc nesemnificativ de lichiditate și de credit, iar creanţele și datoriile vor fi procesate într-un singur proces sau ciclu de decontare. De exemplu, un sistem de decontare brută care prezintă toate caracteristicile de mai jos ar îndeplini criteriul de decontare netă de la punctul 42 litera (b):</w:t>
      </w:r>
      <w:bookmarkEnd w:id="311"/>
    </w:p>
    <w:p w:rsidR="00504F27" w:rsidRDefault="00504F27">
      <w:pPr>
        <w:pStyle w:val="IASBNormalnparaL1"/>
      </w:pPr>
      <w:r>
        <w:t>(a)</w:t>
      </w:r>
      <w:r>
        <w:tab/>
      </w:r>
      <w:bookmarkStart w:id="312" w:name="F17320322"/>
      <w:r>
        <w:t>activele financiare și datoriile financiare eligibile pentru compensare sunt pregătite pentru procesare la același moment în timp;</w:t>
      </w:r>
      <w:bookmarkEnd w:id="312"/>
    </w:p>
    <w:p w:rsidR="00504F27" w:rsidRDefault="00504F27">
      <w:pPr>
        <w:pStyle w:val="IASBNormalnparaL1"/>
      </w:pPr>
      <w:r>
        <w:lastRenderedPageBreak/>
        <w:t>(b)</w:t>
      </w:r>
      <w:r>
        <w:tab/>
      </w:r>
      <w:bookmarkStart w:id="313" w:name="F17320324"/>
      <w:r>
        <w:t>odată ce activele financiare și datoriile financiare sunt pregătite pentru procesare, părțile se angajează să îndeplinească obligația de decontare;</w:t>
      </w:r>
      <w:bookmarkEnd w:id="313"/>
    </w:p>
    <w:p w:rsidR="00504F27" w:rsidRDefault="00504F27">
      <w:pPr>
        <w:pStyle w:val="IASBNormalnparaL1"/>
      </w:pPr>
      <w:r>
        <w:t>(c)</w:t>
      </w:r>
      <w:r>
        <w:tab/>
      </w:r>
      <w:bookmarkStart w:id="314" w:name="F17320326"/>
      <w:r>
        <w:t>odată ce activele și datoriile au fost pregătite pentru procesare, fluxurile de trezorerie generate de aceste active și datorii nu se mai pot modifica (doar dacă procesarea nu eșuează - a se vedea litera (d) de mai jos);</w:t>
      </w:r>
      <w:bookmarkEnd w:id="314"/>
    </w:p>
    <w:p w:rsidR="00504F27" w:rsidRDefault="00504F27">
      <w:pPr>
        <w:pStyle w:val="IASBNormalnparaL1"/>
      </w:pPr>
      <w:r>
        <w:t>(d)</w:t>
      </w:r>
      <w:r>
        <w:tab/>
      </w:r>
      <w:bookmarkStart w:id="315" w:name="F17320328"/>
      <w:r>
        <w:t>activele și datoriile pentru care există garanţii reale sub forma titlurilor de valoare vor fi decontate la un transfer de titluri de valoare sau într-un sistem similar (de exemplu, livrare contra plată), astfel încât, dacă transferul titlurilor de valoare eșuează, va eșua și procesarea creanțelor sau datoriilor aferente pentru care titlurile de valoare reprezintă garanţii reale (și invers);</w:t>
      </w:r>
      <w:bookmarkEnd w:id="315"/>
    </w:p>
    <w:p w:rsidR="00504F27" w:rsidRDefault="00504F27">
      <w:pPr>
        <w:pStyle w:val="IASBNormalnparaL1"/>
      </w:pPr>
      <w:r>
        <w:t>(e)</w:t>
      </w:r>
      <w:r>
        <w:tab/>
      </w:r>
      <w:bookmarkStart w:id="316" w:name="F17320330"/>
      <w:r>
        <w:t>orice tranzacții care eșuează, așa cum se subliniază la litera (d), vor fi reintroduse în sistemul de procesare până când sunt decontate;</w:t>
      </w:r>
      <w:bookmarkEnd w:id="316"/>
    </w:p>
    <w:p w:rsidR="00504F27" w:rsidRDefault="00504F27">
      <w:pPr>
        <w:pStyle w:val="IASBNormalnparaL1"/>
      </w:pPr>
      <w:r>
        <w:t>(f)</w:t>
      </w:r>
      <w:r>
        <w:tab/>
      </w:r>
      <w:bookmarkStart w:id="317" w:name="F17320332"/>
      <w:r>
        <w:t>decontarea este realizată prin intermediul aceleiași instituții de decontare (de exemplu, o bancă de decontare, o bancă centrală sau un depozit central de titluri de valoare); și</w:t>
      </w:r>
      <w:bookmarkEnd w:id="317"/>
    </w:p>
    <w:p w:rsidR="00504F27" w:rsidRDefault="00504F27">
      <w:pPr>
        <w:pStyle w:val="IASBNormalnparaL1"/>
      </w:pPr>
      <w:r>
        <w:t>(g)</w:t>
      </w:r>
      <w:r>
        <w:tab/>
      </w:r>
      <w:bookmarkStart w:id="318" w:name="F17320334"/>
      <w:r>
        <w:t>este disponibilă o facilitate de credit valabilă pe parcursul unei zile care poate furniza suficiente sume de descoperire pentru a permite procesarea plăților la data decontării pentru fiecare dintre părți și este absolut sigur că facilitatea de credit valabilă pe parcursul unei zile va fi onorată dacă se va face apel la ea.</w:t>
      </w:r>
      <w:bookmarkEnd w:id="318"/>
    </w:p>
    <w:p w:rsidR="00504F27" w:rsidRDefault="00504F27">
      <w:pPr>
        <w:pStyle w:val="IASBNormalnpara"/>
      </w:pPr>
      <w:r>
        <w:t>AG39</w:t>
      </w:r>
      <w:r>
        <w:tab/>
      </w:r>
      <w:bookmarkStart w:id="319" w:name="SL31658"/>
      <w:r>
        <w:t>Standardul nu prevede un tratament special pentru aşa-numitele „instrumente sintetice”, care sunt grupări de instrumente financiare separate dobândite şi deţinute pentru a imita caracteristicile altui instrument. De exemplu, o datorie pe termen lung cu o rată fluctuantă combinată cu un swap pe rata dobânzii care implică încasarea de plăţi variabile şi efectuarea de plăţi fixe este sintetizată într-o datorie cu rată fixă pe termen lung. Fiecare dintre instrumentele financiare individuale care constituie împreună un „instrument sintetic” reprezintă un drept contractual sau o obligaţie contractuală cu propriile termene şi condiţii, putând fi transferat(ă) sau decontat(ă) separat. Fiecare instrument financiar este expus unor riscuri care pot fi diferite de riscurile la care sunt expuse alte instrumente financiare. Prin urmare, atunci când un instrument financiar dintr-un „instrument sintetic” este un activ şi un altul este o datorie, ele nu sunt compensate şi prezentate în situaţia poziţiei financiare a unei entităţi pe o bază netă, în afară de cazul în care îndeplinesc criteriile de compensare de la punctul 42.</w:t>
      </w:r>
      <w:bookmarkEnd w:id="319"/>
    </w:p>
    <w:p w:rsidR="00504F27" w:rsidRDefault="00504F27">
      <w:pPr>
        <w:pStyle w:val="IASBNormalnpara"/>
      </w:pPr>
      <w:r>
        <w:t>AG40</w:t>
      </w:r>
      <w:r>
        <w:tab/>
      </w:r>
      <w:bookmarkStart w:id="320" w:name="SL31659"/>
      <w:r>
        <w:t>[Eliminate]</w:t>
      </w:r>
      <w:bookmarkEnd w:id="320"/>
    </w:p>
    <w:p w:rsidR="00504F27" w:rsidRDefault="00504F27" w:rsidP="001F613B">
      <w:pPr>
        <w:pStyle w:val="IASBIdentifier"/>
      </w:pPr>
      <w:bookmarkStart w:id="321" w:name="_GoBack"/>
      <w:bookmarkEnd w:id="321"/>
    </w:p>
    <w:sectPr w:rsidR="00504F27">
      <w:headerReference w:type="even" r:id="rId10"/>
      <w:headerReference w:type="default" r:id="rId11"/>
      <w:footerReference w:type="even" r:id="rId12"/>
      <w:footerReference w:type="default" r:id="rId13"/>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327" w:rsidRDefault="00966327">
      <w:r>
        <w:separator/>
      </w:r>
    </w:p>
  </w:endnote>
  <w:endnote w:type="continuationSeparator" w:id="0">
    <w:p w:rsidR="00966327" w:rsidRDefault="00966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2A0F7F">
      <w:rPr>
        <w:noProof/>
        <w:sz w:val="17"/>
      </w:rPr>
      <w:t>14</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2A0F7F">
      <w:rPr>
        <w:noProof/>
        <w:sz w:val="17"/>
      </w:rPr>
      <w:t>15</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2A0F7F">
      <w:rPr>
        <w:noProof/>
        <w:sz w:val="17"/>
      </w:rPr>
      <w:t>24</w:t>
    </w:r>
    <w:r>
      <w:rPr>
        <w:sz w:val="17"/>
      </w:rPr>
      <w:fldChar w:fldCharType="end"/>
    </w:r>
    <w:r>
      <w:tab/>
    </w:r>
    <w:r>
      <w:rPr>
        <w:sz w:val="17"/>
        <w:vertAlign w:val="superscript"/>
      </w:rPr>
      <w:t>©</w:t>
    </w:r>
    <w:r>
      <w:rPr>
        <w:sz w:val="17"/>
      </w:rPr>
      <w:t xml:space="preserve"> Fundaţia 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2A0F7F">
      <w:rPr>
        <w:noProof/>
        <w:sz w:val="17"/>
      </w:rPr>
      <w:t>25</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327" w:rsidRDefault="00966327">
      <w:r>
        <w:separator/>
      </w:r>
    </w:p>
  </w:footnote>
  <w:footnote w:type="continuationSeparator" w:id="0">
    <w:p w:rsidR="00966327" w:rsidRDefault="00966327">
      <w:r>
        <w:continuationSeparator/>
      </w:r>
    </w:p>
  </w:footnote>
  <w:footnote w:id="1">
    <w:p w:rsidR="00504F27" w:rsidRDefault="00504F27" w:rsidP="001F613B">
      <w:pPr>
        <w:rPr>
          <w:rStyle w:val="FootnoteReference"/>
          <w:sz w:val="16"/>
          <w:szCs w:val="20"/>
          <w:vertAlign w:val="baseline"/>
          <w:lang w:val="en-US"/>
        </w:rPr>
      </w:pPr>
      <w:r>
        <w:rPr>
          <w:rStyle w:val="FootnoteReference"/>
        </w:rPr>
        <w:footnoteRef/>
      </w:r>
      <w:r>
        <w:tab/>
      </w:r>
      <w:r>
        <w:rPr>
          <w:rStyle w:val="FootnoteReference"/>
          <w:sz w:val="16"/>
          <w:vertAlign w:val="baseline"/>
        </w:rPr>
        <w:t>În prezentul standard, valorile monetare sunt exprimate în „unităţi monetare (u.m.)”.</w:t>
      </w:r>
    </w:p>
  </w:footnote>
  <w:footnote w:id="2">
    <w:p w:rsidR="00504F27" w:rsidRDefault="00504F27" w:rsidP="00CD72B5">
      <w:pPr>
        <w:rPr>
          <w:rStyle w:val="FootnoteReference"/>
          <w:sz w:val="16"/>
          <w:szCs w:val="20"/>
          <w:vertAlign w:val="baseline"/>
          <w:lang w:val="en-US"/>
        </w:rPr>
      </w:pPr>
      <w:r>
        <w:rPr>
          <w:rStyle w:val="FootnoteReference"/>
        </w:rPr>
        <w:footnoteRef/>
      </w:r>
      <w:r>
        <w:tab/>
      </w:r>
      <w:r>
        <w:rPr>
          <w:rStyle w:val="FootnoteReference"/>
          <w:sz w:val="16"/>
          <w:vertAlign w:val="baseline"/>
        </w:rPr>
        <w:t xml:space="preserve">În august 2005, IASB a transferat toate prezentările de informaţii privind instrumentele financiare în IFRS 7 </w:t>
      </w:r>
      <w:r>
        <w:rPr>
          <w:rStyle w:val="FootnoteReference"/>
          <w:i/>
          <w:sz w:val="16"/>
          <w:vertAlign w:val="baseline"/>
        </w:rPr>
        <w:t>Instrumente financiare: informaţii de furnizat</w:t>
      </w:r>
      <w:r>
        <w:rPr>
          <w:rStyle w:val="FootnoteReference"/>
          <w:sz w:val="16"/>
          <w:vertAlign w:val="baseline"/>
        </w:rPr>
        <w:t>.</w:t>
      </w:r>
    </w:p>
  </w:footnote>
  <w:footnote w:id="3">
    <w:p w:rsidR="00504F27" w:rsidRDefault="00504F27" w:rsidP="00CD72B5">
      <w:pPr>
        <w:rPr>
          <w:rStyle w:val="FootnoteReference"/>
          <w:sz w:val="16"/>
          <w:szCs w:val="20"/>
          <w:vertAlign w:val="baseline"/>
          <w:lang w:val="en-US"/>
        </w:rPr>
      </w:pPr>
      <w:r>
        <w:rPr>
          <w:rStyle w:val="FootnoteReference"/>
        </w:rPr>
        <w:footnoteRef/>
      </w:r>
      <w:r>
        <w:tab/>
      </w:r>
      <w:r>
        <w:rPr>
          <w:rStyle w:val="FootnoteReference"/>
          <w:sz w:val="16"/>
          <w:vertAlign w:val="baseline"/>
        </w:rPr>
        <w:t>În aceste îndrumări, valorile monetare sunt exprimate în „unităţi monetare (u.m.)”.</w:t>
      </w:r>
    </w:p>
  </w:footnote>
  <w:footnote w:id="4">
    <w:p w:rsidR="00504F27" w:rsidRDefault="00504F27" w:rsidP="00CD72B5">
      <w:pPr>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Acest lucru este adevărat pentru majoritatea instrumentelor derivate, dar nu pentru toate, de exemplu, în unele contracte încrucişate de swap valutar, principalul este schimbat la începutul contractului (şi schimbat din nou la scadenţă).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IAS 32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IAS 32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736422">
    <w:pPr>
      <w:pStyle w:val="IASBNormalnparaL1P"/>
      <w:tabs>
        <w:tab w:val="right" w:pos="9354"/>
      </w:tabs>
      <w:spacing w:before="0"/>
      <w:ind w:left="0"/>
      <w:jc w:val="lef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FA3"/>
    <w:rsid w:val="00040C7C"/>
    <w:rsid w:val="000B4EC8"/>
    <w:rsid w:val="001F613B"/>
    <w:rsid w:val="002A0F7F"/>
    <w:rsid w:val="003A31FE"/>
    <w:rsid w:val="00504F27"/>
    <w:rsid w:val="005E7C7D"/>
    <w:rsid w:val="005F7281"/>
    <w:rsid w:val="00736422"/>
    <w:rsid w:val="00856313"/>
    <w:rsid w:val="00871FA3"/>
    <w:rsid w:val="00966327"/>
    <w:rsid w:val="00CD72B5"/>
    <w:rsid w:val="00DA6F01"/>
    <w:rsid w:val="00DB1E0C"/>
    <w:rsid w:val="00F4669E"/>
    <w:rsid w:val="00F63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7EBD79"/>
  <w14:defaultImageDpi w14:val="0"/>
  <w15:docId w15:val="{8624E377-54DF-4F1A-88FC-859140005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871F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17072</Words>
  <Characters>97313</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114157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2017-03-13T12:36:00Z</dcterms:created>
  <dcterms:modified xsi:type="dcterms:W3CDTF">2018-01-02T16:28:00Z</dcterms:modified>
</cp:coreProperties>
</file>