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4C1" w:rsidRDefault="006854C1">
      <w:pPr>
        <w:pStyle w:val="IASBSectionTitle2NonInd"/>
      </w:pPr>
      <w:bookmarkStart w:id="0" w:name="SL148094"/>
      <w:r>
        <w:t>Standardul Internaţional de Contabilitate 33</w:t>
      </w:r>
      <w:r>
        <w:br/>
      </w:r>
      <w:r>
        <w:rPr>
          <w:i/>
        </w:rPr>
        <w:t>Rezultatul pe acţiune</w:t>
      </w:r>
      <w:bookmarkEnd w:id="0"/>
    </w:p>
    <w:p w:rsidR="006854C1" w:rsidRDefault="006854C1">
      <w:pPr>
        <w:pStyle w:val="IASBSectionTitle1NonInd"/>
      </w:pPr>
      <w:bookmarkStart w:id="1" w:name="SL148096"/>
      <w:r>
        <w:t>Obiectiv</w:t>
      </w:r>
      <w:bookmarkEnd w:id="1"/>
    </w:p>
    <w:p w:rsidR="006854C1" w:rsidRDefault="006854C1">
      <w:pPr>
        <w:pStyle w:val="IASBNormalnpara"/>
      </w:pPr>
      <w:r>
        <w:rPr>
          <w:b/>
        </w:rPr>
        <w:t>1</w:t>
      </w:r>
      <w:r>
        <w:tab/>
      </w:r>
      <w:bookmarkStart w:id="2" w:name="SL31678"/>
      <w:r>
        <w:t>Obiectivul prezentului standard este de a prescrie principiile necesare pentru determinarea şi prezentarea rezultatului pe acţiune, care să permită o mai bună comparare a indicatorilor de performanţă ai diferitelor entităţi în cadrul aceleiaşi perioade de raportare, precum şi a indicatorilor aceleiaşi entităţi de la o perioadă de raportare la alta. Deşi datele privind rezultatul pe acţiune au o utilitate limitată din cauza diferitelor politici contabile aplicate în scopul determinării „rezultatului”, acurateţea raportării financiare este mărită dacă numitorul se determină prin metode consecvente. Prezentul standard se concentrează asupra calculului numitorului rezultatului pe acţiune.</w:t>
      </w:r>
      <w:bookmarkEnd w:id="2"/>
    </w:p>
    <w:p w:rsidR="006854C1" w:rsidRDefault="006854C1">
      <w:pPr>
        <w:pStyle w:val="IASBSectionTitle1NonInd"/>
      </w:pPr>
      <w:bookmarkStart w:id="3" w:name="SL148097"/>
      <w:r>
        <w:t>Domeniu de aplicare</w:t>
      </w:r>
      <w:bookmarkEnd w:id="3"/>
    </w:p>
    <w:p w:rsidR="006854C1" w:rsidRDefault="006854C1">
      <w:pPr>
        <w:pStyle w:val="IASBNormalnpara"/>
        <w:rPr>
          <w:b/>
        </w:rPr>
      </w:pPr>
      <w:r>
        <w:t>2</w:t>
      </w:r>
      <w:bookmarkStart w:id="4" w:name="SL31679"/>
      <w:r w:rsidR="00F6014D">
        <w:tab/>
      </w:r>
      <w:r>
        <w:rPr>
          <w:b/>
        </w:rPr>
        <w:t>Prezentul standard trebuie aplicat</w:t>
      </w:r>
      <w:bookmarkEnd w:id="4"/>
    </w:p>
    <w:p w:rsidR="006854C1" w:rsidRDefault="006854C1">
      <w:pPr>
        <w:pStyle w:val="IASBNormalnparaL1"/>
      </w:pPr>
      <w:r>
        <w:rPr>
          <w:b/>
        </w:rPr>
        <w:t>(a)</w:t>
      </w:r>
      <w:bookmarkStart w:id="5" w:name="F1483839"/>
      <w:r>
        <w:rPr>
          <w:b/>
        </w:rPr>
        <w:t>situaţiilor financiare separate sau individuale ale unei entităţi:</w:t>
      </w:r>
      <w:bookmarkEnd w:id="5"/>
    </w:p>
    <w:p w:rsidR="006854C1" w:rsidRDefault="006854C1">
      <w:pPr>
        <w:pStyle w:val="IASBNormalnparaL2"/>
      </w:pPr>
      <w:r>
        <w:rPr>
          <w:b/>
        </w:rPr>
        <w:t>(i)</w:t>
      </w:r>
      <w:bookmarkStart w:id="6" w:name="F1483844"/>
      <w:r>
        <w:rPr>
          <w:b/>
        </w:rPr>
        <w:t>ale cărei acţiuni ordinare sau acţiuni ordinare potenţiale sunt tranzacţionate pe o piaţă publică (o bursă de valori naţională sau străină sau o altă piaţă nereglementată – OTC, inclusiv pieţele locale şi regionale) sau</w:t>
      </w:r>
      <w:bookmarkEnd w:id="6"/>
    </w:p>
    <w:p w:rsidR="006854C1" w:rsidRDefault="006854C1">
      <w:pPr>
        <w:pStyle w:val="IASBNormalnparaL2"/>
      </w:pPr>
      <w:r>
        <w:rPr>
          <w:b/>
        </w:rPr>
        <w:t>(ii)</w:t>
      </w:r>
      <w:bookmarkStart w:id="7" w:name="F1483852"/>
      <w:r>
        <w:rPr>
          <w:b/>
        </w:rPr>
        <w:t>care îşi înaintează, sau este pe cale de a-şi înainta, situaţiile financiare unei comisii de reglementare a titlurilor de valori sau unui alt organism de reglementare, în sensul emiterii de acţiuni ordinare pe o piaţă publică; și</w:t>
      </w:r>
      <w:bookmarkEnd w:id="7"/>
    </w:p>
    <w:p w:rsidR="006854C1" w:rsidRDefault="006854C1">
      <w:pPr>
        <w:pStyle w:val="IASBNormalnparaL1"/>
      </w:pPr>
      <w:r>
        <w:rPr>
          <w:b/>
        </w:rPr>
        <w:t>(b)</w:t>
      </w:r>
      <w:bookmarkStart w:id="8" w:name="F1483841"/>
      <w:r>
        <w:rPr>
          <w:b/>
        </w:rPr>
        <w:t>situaţiilor financiare consolidate ale unui grup cu o societate-mamă:</w:t>
      </w:r>
      <w:bookmarkEnd w:id="8"/>
    </w:p>
    <w:p w:rsidR="006854C1" w:rsidRDefault="006854C1">
      <w:pPr>
        <w:pStyle w:val="IASBNormalnparaL2"/>
      </w:pPr>
      <w:r>
        <w:rPr>
          <w:b/>
        </w:rPr>
        <w:t>(i)</w:t>
      </w:r>
      <w:bookmarkStart w:id="9" w:name="F1483855"/>
      <w:r>
        <w:rPr>
          <w:b/>
        </w:rPr>
        <w:t>ale cărei acţiuni ordinare sau acţiuni ordinare potenţiale sunt tranzacţionate pe o piaţă publică (o bursă de valori naţională sau străină sau o altă piaţă nereglementată – OTC, inclusiv pieţele locale şi regionale) sau</w:t>
      </w:r>
      <w:bookmarkEnd w:id="9"/>
    </w:p>
    <w:p w:rsidR="006854C1" w:rsidRDefault="006854C1">
      <w:pPr>
        <w:pStyle w:val="IASBNormalnparaL2"/>
      </w:pPr>
      <w:r>
        <w:rPr>
          <w:b/>
        </w:rPr>
        <w:t>(ii)</w:t>
      </w:r>
      <w:bookmarkStart w:id="10" w:name="F1483857"/>
      <w:r>
        <w:rPr>
          <w:b/>
        </w:rPr>
        <w:t>care îşi înaintează, sau este pe cale de a-şi înainta, situaţiile financiare unei comisii de reglementare a titlurilor de valori sau unui alt organism de reglementare, în sensul emiterii de acţiuni ordinare pe o piaţă publică.</w:t>
      </w:r>
      <w:bookmarkEnd w:id="10"/>
    </w:p>
    <w:p w:rsidR="006854C1" w:rsidRDefault="006854C1">
      <w:pPr>
        <w:pStyle w:val="IASBNormalnpara"/>
        <w:rPr>
          <w:b/>
        </w:rPr>
      </w:pPr>
      <w:r>
        <w:t>3</w:t>
      </w:r>
      <w:bookmarkStart w:id="11" w:name="SL31680"/>
      <w:r w:rsidR="00F6014D">
        <w:tab/>
      </w:r>
      <w:r>
        <w:rPr>
          <w:b/>
        </w:rPr>
        <w:t>O entitate care prezintă rezultatul pe acţiune trebuie să calculeze şi să prezinte acest rezultat pe acţiune în conformitate cu prezentul standard.</w:t>
      </w:r>
      <w:bookmarkEnd w:id="11"/>
    </w:p>
    <w:p w:rsidR="006854C1" w:rsidRDefault="006854C1">
      <w:pPr>
        <w:pStyle w:val="IASBNormalnpara"/>
        <w:rPr>
          <w:b/>
        </w:rPr>
      </w:pPr>
      <w:r>
        <w:t>4</w:t>
      </w:r>
      <w:bookmarkStart w:id="12" w:name="SL31681"/>
      <w:r w:rsidR="00F6014D">
        <w:tab/>
      </w:r>
      <w:r>
        <w:rPr>
          <w:b/>
        </w:rPr>
        <w:t xml:space="preserve">Atunci când o entitate prezintă atât situații financiare consolidate, cât și situații financiare individuale întocmite în conformitate cu IFRS 10 </w:t>
      </w:r>
      <w:r>
        <w:rPr>
          <w:b/>
          <w:i/>
        </w:rPr>
        <w:t>Situații financiare consolidate</w:t>
      </w:r>
      <w:r>
        <w:rPr>
          <w:b/>
        </w:rPr>
        <w:t xml:space="preserve"> și, respectiv, IAS 27 </w:t>
      </w:r>
      <w:r>
        <w:rPr>
          <w:b/>
          <w:i/>
        </w:rPr>
        <w:t>Situații financiare individuale</w:t>
      </w:r>
      <w:r>
        <w:rPr>
          <w:b/>
        </w:rPr>
        <w:t>, prezentarea informațiilor prevăzute de prezentul standard trebuie să se bazeze doar pe informațiile consolidate. O entitate care alege să prezinte rezultatul pe acţiune pe baza situaţiilor sale financiare individuale trebuie să prezinte astfel de informaţii referitoare la rezultatul pe acţiune doar în situaţia rezultatului global. O entitate nu trebuie să prezinte un astfel de rezultat pe acţiune în situaţiile financiare consolidate.</w:t>
      </w:r>
      <w:bookmarkEnd w:id="12"/>
    </w:p>
    <w:p w:rsidR="006854C1" w:rsidRDefault="006854C1">
      <w:pPr>
        <w:pStyle w:val="IASBNormalnpara"/>
        <w:rPr>
          <w:b/>
        </w:rPr>
      </w:pPr>
      <w:r>
        <w:rPr>
          <w:b/>
        </w:rPr>
        <w:t>4A</w:t>
      </w:r>
      <w:bookmarkStart w:id="13" w:name="F4421890"/>
      <w:r w:rsidR="00F6014D">
        <w:rPr>
          <w:b/>
        </w:rPr>
        <w:tab/>
      </w:r>
      <w:r>
        <w:rPr>
          <w:b/>
        </w:rPr>
        <w:t xml:space="preserve">Dacă o entitate prezintă elementele de profit sau pierdere într-o situaţie individuală, așa cum se descrie la punctul 10A din IAS 1 </w:t>
      </w:r>
      <w:r>
        <w:rPr>
          <w:b/>
          <w:i/>
        </w:rPr>
        <w:t>Prezentarea situaţiilor financiare</w:t>
      </w:r>
      <w:r>
        <w:rPr>
          <w:b/>
        </w:rPr>
        <w:t xml:space="preserve"> (revizuit în 2011), atunci ea prezintă rezultatul pe acţiune doar în această situaţie individuală.</w:t>
      </w:r>
      <w:bookmarkEnd w:id="13"/>
    </w:p>
    <w:p w:rsidR="006854C1" w:rsidRDefault="006854C1">
      <w:pPr>
        <w:pStyle w:val="IASBSectionTitle1NonInd"/>
      </w:pPr>
      <w:bookmarkStart w:id="14" w:name="SL148098"/>
      <w:r>
        <w:t>Definiţii</w:t>
      </w:r>
      <w:bookmarkEnd w:id="14"/>
    </w:p>
    <w:p w:rsidR="006854C1" w:rsidRDefault="006854C1">
      <w:pPr>
        <w:pStyle w:val="IASBNormalnpara"/>
        <w:rPr>
          <w:b/>
        </w:rPr>
      </w:pPr>
      <w:r>
        <w:t>5</w:t>
      </w:r>
      <w:bookmarkStart w:id="15" w:name="SL31682"/>
      <w:r w:rsidR="00F6014D">
        <w:tab/>
      </w:r>
      <w:r>
        <w:rPr>
          <w:b/>
        </w:rPr>
        <w:t xml:space="preserve">Următorii termeni sunt utilizaţi în prezentul standard cu înţelesul specificat în continuare: </w:t>
      </w:r>
      <w:bookmarkEnd w:id="15"/>
    </w:p>
    <w:p w:rsidR="006854C1" w:rsidRDefault="006854C1">
      <w:pPr>
        <w:pStyle w:val="IASBNormalnparaP"/>
      </w:pPr>
      <w:bookmarkStart w:id="16" w:name="SL148099"/>
      <w:r>
        <w:rPr>
          <w:b/>
          <w:i/>
        </w:rPr>
        <w:t>Antidiluarea</w:t>
      </w:r>
      <w:r>
        <w:rPr>
          <w:b/>
        </w:rPr>
        <w:t xml:space="preserve"> este o creştere a rezultatului pe acţiune sau o reducere a pierderii pe acţiune rezultată din ipoteza că instrumentele convertibile sunt convertite, că opţiunile sau warantele sunt exercitate sau că acţiunile ordinare sunt emise după îndeplinirea unor condiţii specificate.</w:t>
      </w:r>
      <w:bookmarkEnd w:id="16"/>
    </w:p>
    <w:p w:rsidR="006854C1" w:rsidRDefault="006854C1">
      <w:pPr>
        <w:pStyle w:val="IASBNormalnparaP"/>
      </w:pPr>
      <w:bookmarkStart w:id="17" w:name="SL148100"/>
      <w:r>
        <w:rPr>
          <w:b/>
        </w:rPr>
        <w:t xml:space="preserve">Un </w:t>
      </w:r>
      <w:r>
        <w:rPr>
          <w:b/>
          <w:i/>
        </w:rPr>
        <w:t>contract contingent</w:t>
      </w:r>
      <w:r>
        <w:rPr>
          <w:b/>
        </w:rPr>
        <w:t xml:space="preserve"> privind emisiunea de acţiuni este un contract de emisiune de acţiuni care depinde de îndeplinirea unor condiţii specificate.</w:t>
      </w:r>
      <w:bookmarkEnd w:id="17"/>
    </w:p>
    <w:p w:rsidR="006854C1" w:rsidRDefault="006854C1">
      <w:pPr>
        <w:pStyle w:val="IASBNormalnparaP"/>
      </w:pPr>
      <w:bookmarkStart w:id="18" w:name="SL148101"/>
      <w:r>
        <w:rPr>
          <w:b/>
          <w:i/>
        </w:rPr>
        <w:lastRenderedPageBreak/>
        <w:t>Acţiunile ordinare care pot fi emise în mod condiţionat</w:t>
      </w:r>
      <w:r>
        <w:rPr>
          <w:b/>
        </w:rPr>
        <w:t xml:space="preserve"> sunt acţiuni ordinare care pot fi emise pentru o sumă în numerar foarte mică sau egală cu zero sau pentru alte tipuri de contravalori după îndeplinirea anumitor condiţii dintr-un contract contingent privind emisiunea de acţiuni.</w:t>
      </w:r>
      <w:bookmarkEnd w:id="18"/>
    </w:p>
    <w:p w:rsidR="006854C1" w:rsidRDefault="006854C1">
      <w:pPr>
        <w:pStyle w:val="IASBNormalnparaP"/>
      </w:pPr>
      <w:bookmarkStart w:id="19" w:name="SL148102"/>
      <w:r>
        <w:rPr>
          <w:b/>
          <w:i/>
        </w:rPr>
        <w:t>Diluarea</w:t>
      </w:r>
      <w:r>
        <w:rPr>
          <w:b/>
        </w:rPr>
        <w:t xml:space="preserve"> este o reducere a rezultatului pe acţiune sau o creştere a pierderii pe acţiune rezultată din ipoteza că instrumentele convertibile sunt convertite, că opţiunile sau warantele sunt exercitate sau că acţiunile ordinare sunt emise după îndeplinirea unor condiţii specificate.</w:t>
      </w:r>
      <w:bookmarkEnd w:id="19"/>
    </w:p>
    <w:p w:rsidR="006854C1" w:rsidRDefault="006854C1">
      <w:pPr>
        <w:pStyle w:val="IASBNormalnparaP"/>
      </w:pPr>
      <w:bookmarkStart w:id="20" w:name="SL148103"/>
      <w:r>
        <w:rPr>
          <w:b/>
          <w:i/>
        </w:rPr>
        <w:t>Opţiunile, warantele şi echivalentele acestora</w:t>
      </w:r>
      <w:r>
        <w:rPr>
          <w:b/>
        </w:rPr>
        <w:t xml:space="preserve"> sunt instrumente financiare care îi conferă deţinătorului dreptul de a cumpăra acţiuni ordinare.</w:t>
      </w:r>
      <w:bookmarkEnd w:id="20"/>
    </w:p>
    <w:p w:rsidR="006854C1" w:rsidRDefault="006854C1">
      <w:pPr>
        <w:pStyle w:val="IASBNormalnparaP"/>
      </w:pPr>
      <w:bookmarkStart w:id="21" w:name="SL148104"/>
      <w:r>
        <w:rPr>
          <w:b/>
        </w:rPr>
        <w:t xml:space="preserve">O </w:t>
      </w:r>
      <w:r>
        <w:rPr>
          <w:b/>
          <w:i/>
        </w:rPr>
        <w:t>acţiune ordinară</w:t>
      </w:r>
      <w:r>
        <w:rPr>
          <w:b/>
        </w:rPr>
        <w:t xml:space="preserve"> este un instrument de capitaluri proprii care este subordonat tuturor celorlalte clase de instrumente de capitaluri proprii.</w:t>
      </w:r>
      <w:bookmarkEnd w:id="21"/>
    </w:p>
    <w:p w:rsidR="006854C1" w:rsidRDefault="006854C1">
      <w:pPr>
        <w:pStyle w:val="IASBNormalnparaP"/>
      </w:pPr>
      <w:bookmarkStart w:id="22" w:name="SL148105"/>
      <w:r>
        <w:rPr>
          <w:b/>
        </w:rPr>
        <w:t xml:space="preserve">O </w:t>
      </w:r>
      <w:r>
        <w:rPr>
          <w:b/>
          <w:i/>
        </w:rPr>
        <w:t>acţiune ordinară potenţială</w:t>
      </w:r>
      <w:r>
        <w:rPr>
          <w:b/>
        </w:rPr>
        <w:t xml:space="preserve"> este un instrument financiar sau alt contract care îi poate da deţinătorului dreptul la acţiuni ordinare.</w:t>
      </w:r>
      <w:bookmarkEnd w:id="22"/>
    </w:p>
    <w:p w:rsidR="006854C1" w:rsidRDefault="006854C1">
      <w:pPr>
        <w:pStyle w:val="IASBNormalnparaP"/>
      </w:pPr>
      <w:bookmarkStart w:id="23" w:name="SL148106"/>
      <w:r>
        <w:rPr>
          <w:b/>
          <w:i/>
        </w:rPr>
        <w:t>Opţiunile put</w:t>
      </w:r>
      <w:r>
        <w:rPr>
          <w:b/>
        </w:rPr>
        <w:t xml:space="preserve"> pe acţiuni ordinare sunt contracte care îi dau deţinătorului dreptul de a vinde acţiuni ordinare la un preţ specificat pentru o anumită perioadă.</w:t>
      </w:r>
      <w:bookmarkEnd w:id="23"/>
    </w:p>
    <w:p w:rsidR="006854C1" w:rsidRDefault="006854C1">
      <w:pPr>
        <w:pStyle w:val="IASBNormalnpara"/>
      </w:pPr>
      <w:r>
        <w:rPr>
          <w:b/>
        </w:rPr>
        <w:t>6</w:t>
      </w:r>
      <w:r>
        <w:tab/>
      </w:r>
      <w:bookmarkStart w:id="24" w:name="SL31683"/>
      <w:r>
        <w:t>Acţiunile ordinare participă la profitul aferent perioadei numai după distribuirea profitului aferent celorlalte tipuri de acţiuni, de exemplu, celor preferenţiale. O entitate poate emite mai multe clase de acţiuni ordinare. Acţiunile ordinare din aceeaşi clasă au aceleaşi drepturi de a primi dividende.</w:t>
      </w:r>
      <w:bookmarkEnd w:id="24"/>
    </w:p>
    <w:p w:rsidR="006854C1" w:rsidRDefault="006854C1">
      <w:pPr>
        <w:pStyle w:val="IASBNormalnpara"/>
      </w:pPr>
      <w:r>
        <w:rPr>
          <w:b/>
        </w:rPr>
        <w:t>7</w:t>
      </w:r>
      <w:r>
        <w:tab/>
      </w:r>
      <w:bookmarkStart w:id="25" w:name="SL31684"/>
      <w:r>
        <w:t xml:space="preserve">Exemple de acţiuni ordinare potenţiale sunt: </w:t>
      </w:r>
      <w:bookmarkEnd w:id="25"/>
    </w:p>
    <w:p w:rsidR="006854C1" w:rsidRDefault="006854C1">
      <w:pPr>
        <w:pStyle w:val="IASBNormalnparaL1"/>
      </w:pPr>
      <w:r>
        <w:t>(a)</w:t>
      </w:r>
      <w:r>
        <w:tab/>
      </w:r>
      <w:bookmarkStart w:id="26" w:name="SL148109"/>
      <w:r>
        <w:t>datoriile financiare sau instrumentele de capitaluri proprii, inclusiv acţiunile preferenţiale, convertibile în acţiuni ordinare;</w:t>
      </w:r>
      <w:bookmarkEnd w:id="26"/>
    </w:p>
    <w:p w:rsidR="006854C1" w:rsidRDefault="006854C1">
      <w:pPr>
        <w:pStyle w:val="IASBNormalnparaL1"/>
      </w:pPr>
      <w:r>
        <w:t>(b)</w:t>
      </w:r>
      <w:r>
        <w:tab/>
      </w:r>
      <w:bookmarkStart w:id="27" w:name="SL148111"/>
      <w:r>
        <w:t>opţiunile şi warantele;</w:t>
      </w:r>
      <w:bookmarkEnd w:id="27"/>
    </w:p>
    <w:p w:rsidR="006854C1" w:rsidRDefault="006854C1">
      <w:pPr>
        <w:pStyle w:val="IASBNormalnparaL1"/>
      </w:pPr>
      <w:r>
        <w:t>(c)</w:t>
      </w:r>
      <w:r>
        <w:tab/>
      </w:r>
      <w:bookmarkStart w:id="28" w:name="SL148113"/>
      <w:r>
        <w:t>acţiunile care vor fi emise numai după îndeplinirea anumitor condiţii care rezultă din angajamente contractuale, cum ar fi cumpărarea unei întreprinderi sau a altor active.</w:t>
      </w:r>
      <w:bookmarkEnd w:id="28"/>
    </w:p>
    <w:p w:rsidR="006854C1" w:rsidRDefault="006854C1">
      <w:pPr>
        <w:pStyle w:val="IASBNormalnpara"/>
      </w:pPr>
      <w:r>
        <w:rPr>
          <w:b/>
        </w:rPr>
        <w:t>8</w:t>
      </w:r>
      <w:r>
        <w:tab/>
      </w:r>
      <w:bookmarkStart w:id="29" w:name="SL31685"/>
      <w:r>
        <w:t xml:space="preserve">Termenii definiţi în IAS 32 </w:t>
      </w:r>
      <w:r>
        <w:rPr>
          <w:i/>
        </w:rPr>
        <w:t>Instrumente financiare: prezentare</w:t>
      </w:r>
      <w:r>
        <w:t xml:space="preserve"> sunt utilizaţi în prezentul standard cu înţelesul specificat la punctul 11 al IAS 32, cu excepţia cazului în care se prevede altfel. În IAS 32 sunt definite instrumentul financiar, activul financiar, datoria financiară şi instrumentul de capitaluri proprii şi sunt prezentate îndrumări de aplicare a acelor definiţii. IFRS 13 </w:t>
      </w:r>
      <w:r>
        <w:rPr>
          <w:i/>
        </w:rPr>
        <w:t>Evaluarea la valoarea justă</w:t>
      </w:r>
      <w:r>
        <w:t xml:space="preserve"> defineşte valoarea justă şi prevede dispozițiile pentru aplicarea acelei definiţii. </w:t>
      </w:r>
      <w:bookmarkEnd w:id="29"/>
    </w:p>
    <w:p w:rsidR="006854C1" w:rsidRDefault="006854C1">
      <w:pPr>
        <w:pStyle w:val="IASBSectionTitle1NonInd"/>
      </w:pPr>
      <w:bookmarkStart w:id="30" w:name="SL148114"/>
      <w:r>
        <w:t>Evaluare</w:t>
      </w:r>
      <w:bookmarkEnd w:id="30"/>
    </w:p>
    <w:p w:rsidR="006854C1" w:rsidRDefault="006854C1">
      <w:pPr>
        <w:pStyle w:val="IASBSectionTitle2Ind"/>
      </w:pPr>
      <w:bookmarkStart w:id="31" w:name="SL148115"/>
      <w:r>
        <w:t>Rezultatul pe acţiune de bază</w:t>
      </w:r>
      <w:bookmarkEnd w:id="31"/>
    </w:p>
    <w:p w:rsidR="006854C1" w:rsidRDefault="006854C1">
      <w:pPr>
        <w:pStyle w:val="IASBNormalnpara"/>
        <w:rPr>
          <w:b/>
        </w:rPr>
      </w:pPr>
      <w:r>
        <w:t>9</w:t>
      </w:r>
      <w:bookmarkStart w:id="32" w:name="SL31686"/>
      <w:r w:rsidR="00F6014D">
        <w:tab/>
      </w:r>
      <w:r>
        <w:rPr>
          <w:b/>
        </w:rPr>
        <w:t>O entitate trebuie să calculeze valoarea rezultatului pe acţiune de bază pentru profitul sau pierderea atribuibil(ă) acţionarilor ordinari ai societăţii-mamă şi, dacă aceste informaţii sunt prezentate, profitul sau pierderea din activităţi continue atribuibil(ă) acelor acţionari.</w:t>
      </w:r>
      <w:bookmarkEnd w:id="32"/>
    </w:p>
    <w:p w:rsidR="006854C1" w:rsidRDefault="006854C1">
      <w:pPr>
        <w:pStyle w:val="IASBNormalnpara"/>
        <w:rPr>
          <w:b/>
        </w:rPr>
      </w:pPr>
      <w:r>
        <w:t>10</w:t>
      </w:r>
      <w:bookmarkStart w:id="33" w:name="SL31687"/>
      <w:r w:rsidR="00F6014D">
        <w:tab/>
      </w:r>
      <w:r>
        <w:rPr>
          <w:b/>
        </w:rPr>
        <w:t>Rezultatul pe acţiune de bază trebuie să se calculeze împărţind profitul sau pierderea atribuibil(ă) acţionarilor ordinari ai societăţii-mamă (numărătorul) la media ponderată a numărului de acţiuni ordinare în circulaţie (numitorul) pe parcursul perioadei.</w:t>
      </w:r>
      <w:bookmarkEnd w:id="33"/>
    </w:p>
    <w:p w:rsidR="006854C1" w:rsidRDefault="006854C1">
      <w:pPr>
        <w:pStyle w:val="IASBNormalnpara"/>
      </w:pPr>
      <w:r>
        <w:rPr>
          <w:b/>
        </w:rPr>
        <w:t>11</w:t>
      </w:r>
      <w:r>
        <w:tab/>
      </w:r>
      <w:bookmarkStart w:id="34" w:name="SL31688"/>
      <w:r>
        <w:t>Obiectivul informaţiilor cu privire la rezultatul pe acţiune de bază este de a evalua cota-parte a fiecărei acţiuni ordinare a unei societăţi-mamă în performanţa entităţii pe parcursul perioadei de raportare.</w:t>
      </w:r>
      <w:bookmarkEnd w:id="34"/>
    </w:p>
    <w:p w:rsidR="006854C1" w:rsidRDefault="006854C1">
      <w:pPr>
        <w:pStyle w:val="IASBSectionTitle3Ind"/>
      </w:pPr>
      <w:bookmarkStart w:id="35" w:name="SL148116"/>
      <w:r>
        <w:t>Rezultate</w:t>
      </w:r>
      <w:bookmarkEnd w:id="35"/>
    </w:p>
    <w:p w:rsidR="006854C1" w:rsidRDefault="006854C1">
      <w:pPr>
        <w:pStyle w:val="IASBNormalnpara"/>
        <w:rPr>
          <w:b/>
        </w:rPr>
      </w:pPr>
      <w:r>
        <w:t>12</w:t>
      </w:r>
      <w:bookmarkStart w:id="36" w:name="SL31689"/>
      <w:r w:rsidR="00F6014D">
        <w:tab/>
      </w:r>
      <w:r>
        <w:rPr>
          <w:b/>
        </w:rPr>
        <w:t xml:space="preserve">În scopul calculării rezultatului pe acţiune de bază, valorile atribuibile acţionarilor ordinari ai societăţii-mamă cu privire la: </w:t>
      </w:r>
      <w:bookmarkEnd w:id="36"/>
    </w:p>
    <w:p w:rsidR="006854C1" w:rsidRDefault="006854C1">
      <w:pPr>
        <w:pStyle w:val="IASBNormalnparaL1"/>
      </w:pPr>
      <w:r>
        <w:rPr>
          <w:b/>
        </w:rPr>
        <w:t>(a)</w:t>
      </w:r>
      <w:bookmarkStart w:id="37" w:name="SL148119"/>
      <w:r>
        <w:rPr>
          <w:b/>
        </w:rPr>
        <w:t>profitul sau pierderea din activităţile continue atribuibil(ă) societăţii-mamă; și</w:t>
      </w:r>
      <w:bookmarkEnd w:id="37"/>
    </w:p>
    <w:p w:rsidR="006854C1" w:rsidRDefault="006854C1">
      <w:pPr>
        <w:pStyle w:val="IASBNormalnparaL1"/>
      </w:pPr>
      <w:r>
        <w:rPr>
          <w:b/>
        </w:rPr>
        <w:t>(b)</w:t>
      </w:r>
      <w:bookmarkStart w:id="38" w:name="SL148121"/>
      <w:r>
        <w:rPr>
          <w:b/>
        </w:rPr>
        <w:t>profitul sau pierderea atribuibil(ă) societăţii-mamă</w:t>
      </w:r>
      <w:bookmarkEnd w:id="38"/>
    </w:p>
    <w:p w:rsidR="006854C1" w:rsidRDefault="006854C1">
      <w:pPr>
        <w:pStyle w:val="IASBNormalnparaP"/>
      </w:pPr>
      <w:bookmarkStart w:id="39" w:name="SL148122"/>
      <w:r>
        <w:rPr>
          <w:b/>
        </w:rPr>
        <w:t>trebuie să fie valorile de la literele (a) şi (b) ajustate cu valorile după impozitare ale dividendelor preferenţiale, cu diferenţele care rezultă din decontarea acţiunilor preferenţiale, precum şi cu alte efecte similare ale acţiunilor preferenţiale clasificate drept capitaluri proprii.</w:t>
      </w:r>
      <w:bookmarkEnd w:id="39"/>
    </w:p>
    <w:p w:rsidR="006854C1" w:rsidRDefault="006854C1">
      <w:pPr>
        <w:pStyle w:val="IASBNormalnpara"/>
      </w:pPr>
      <w:r>
        <w:rPr>
          <w:b/>
        </w:rPr>
        <w:t>13</w:t>
      </w:r>
      <w:r>
        <w:tab/>
      </w:r>
      <w:bookmarkStart w:id="40" w:name="SL31690"/>
      <w:r>
        <w:t xml:space="preserve">Toate elementele de venituri şi cheltuieli atribuibile acţionarilor ordinari ai societăţii-mamă recunoscute într-o perioadă, inclusiv cheltuielile cu impozitele şi dividendele acţiunilor preferenţiale clasificate drept </w:t>
      </w:r>
      <w:r>
        <w:lastRenderedPageBreak/>
        <w:t>datorii, sunt incluse în determinarea profiturilor sau pierderilor aferente perioadei, atribuibile acţionarilor ordinari ai societăţii-mamă (a se vedea IAS 1).</w:t>
      </w:r>
      <w:bookmarkEnd w:id="40"/>
    </w:p>
    <w:p w:rsidR="006854C1" w:rsidRDefault="006854C1">
      <w:pPr>
        <w:pStyle w:val="IASBNormalnpara"/>
      </w:pPr>
      <w:r>
        <w:rPr>
          <w:b/>
        </w:rPr>
        <w:t>14</w:t>
      </w:r>
      <w:r>
        <w:tab/>
      </w:r>
      <w:bookmarkStart w:id="41" w:name="SL31691"/>
      <w:r>
        <w:t xml:space="preserve">Valoarea dividendelor preferenţiale după impozitare, care este dedusă din profit sau pierdere, este următoarea: </w:t>
      </w:r>
      <w:bookmarkEnd w:id="41"/>
    </w:p>
    <w:p w:rsidR="006854C1" w:rsidRDefault="006854C1">
      <w:pPr>
        <w:pStyle w:val="IASBNormalnparaL1"/>
      </w:pPr>
      <w:r>
        <w:t>(a)</w:t>
      </w:r>
      <w:r>
        <w:tab/>
      </w:r>
      <w:bookmarkStart w:id="42" w:name="SL148125"/>
      <w:r>
        <w:t>valoarea după impozitare a oricăror dividende preferenţiale, aferente acţiunilor preferenţiale necumulate, declarate pentru perioadă; și</w:t>
      </w:r>
      <w:bookmarkEnd w:id="42"/>
    </w:p>
    <w:p w:rsidR="006854C1" w:rsidRDefault="006854C1">
      <w:pPr>
        <w:pStyle w:val="IASBNormalnparaL1"/>
      </w:pPr>
      <w:r>
        <w:t>(b)</w:t>
      </w:r>
      <w:r>
        <w:tab/>
      </w:r>
      <w:bookmarkStart w:id="43" w:name="SL148127"/>
      <w:r>
        <w:t>valoarea după impozitare a dividendelor preferenţiale, aferente acţiunilor preferenţiale cumulate, prevăzute pentru perioada respectivă, indiferent dacă asemenea dividende au fost declarate sau nu. Valoarea dividendelor preferenţiale pentru perioadă nu include valoarea oricăror dividende preferenţiale aferente acţiunilor preferenţiale cumulate, plătite sau declarate pentru perioada curentă cu privire la perioadele anterioare.</w:t>
      </w:r>
      <w:bookmarkEnd w:id="43"/>
    </w:p>
    <w:p w:rsidR="006854C1" w:rsidRDefault="006854C1">
      <w:pPr>
        <w:pStyle w:val="IASBNormalnpara"/>
      </w:pPr>
      <w:r>
        <w:rPr>
          <w:b/>
        </w:rPr>
        <w:t>15</w:t>
      </w:r>
      <w:r>
        <w:tab/>
      </w:r>
      <w:bookmarkStart w:id="44" w:name="SL31692"/>
      <w:r>
        <w:t>Acţiunile preferenţiale care prevăd un dividend iniţial scăzut pentru a compensa entitatea pentru vânzarea acţiunilor preferenţiale cu preţ redus, sau un dividend peste preţul pieţei pentru perioadele ulterioare pentru a compensa investitorii pentru cumpărarea acţiunilor preferenţiale la un preţ majorat, sunt câteodată considerate acţiuni preferenţiale cu rată crescătoare. Orice element original de reducere sau de majorare aferent acţiunilor preferenţiale cu rată crescătoare este amortizat la rezultatul reportat utilizând metoda dobânzii efective şi este tratat ca dividend preferenţial în sensul calculării rezultatului pe acţiune.</w:t>
      </w:r>
      <w:bookmarkEnd w:id="44"/>
    </w:p>
    <w:p w:rsidR="006854C1" w:rsidRDefault="006854C1">
      <w:pPr>
        <w:pStyle w:val="IASBNormalnpara"/>
      </w:pPr>
      <w:r>
        <w:rPr>
          <w:b/>
        </w:rPr>
        <w:t>16</w:t>
      </w:r>
      <w:r>
        <w:tab/>
      </w:r>
      <w:bookmarkStart w:id="45" w:name="SL31693"/>
      <w:r>
        <w:t>Acţiunile preferenţiale pot fi răscumpărate printr-o ofertă scrisă de achiziţie din partea entităţii către acţionari. Surplusul valorii juste a contravalorii plătite acţionarilor preferenţiali faţă de valoarea contabilă a acţiunilor preferenţiale reprezintă o rentabilitate pentru deţinătorii de acţiuni preferenţiale şi o datorie la rezultatul reportat pentru entitate. Această valoare este dedusă din calculul pierderilor sau profiturilor atribuibile acţionarilor ordinari ai societăţii-mamă.</w:t>
      </w:r>
      <w:bookmarkEnd w:id="45"/>
    </w:p>
    <w:p w:rsidR="006854C1" w:rsidRDefault="006854C1">
      <w:pPr>
        <w:pStyle w:val="IASBNormalnpara"/>
      </w:pPr>
      <w:r>
        <w:rPr>
          <w:b/>
        </w:rPr>
        <w:t>17</w:t>
      </w:r>
      <w:r>
        <w:tab/>
      </w:r>
      <w:bookmarkStart w:id="46" w:name="SL31694"/>
      <w:r>
        <w:t>Conversia anticipată a acţiunilor preferenţiale convertibile poate fi generată de către o entitate prin modificări favorabile ale condiţiilor iniţiale ale conversiei sau prin plata unei contraprestaţii suplimentare. Surplusul valorii juste a acţiunilor ordinare sau a altei contravalori plătite faţă de valoarea justă a acţiunilor ordinare care pot fi emise în conformitate cu termenele iniţiale de conversie reprezintă o rentabilitate pentru acţionarii preferenţiali şi este dedus din calculul profitului sau pierderii atribuibil(e) acţionarilor ordinari ai societăţii-mamă.</w:t>
      </w:r>
      <w:bookmarkEnd w:id="46"/>
    </w:p>
    <w:p w:rsidR="006854C1" w:rsidRDefault="006854C1">
      <w:pPr>
        <w:pStyle w:val="IASBNormalnpara"/>
      </w:pPr>
      <w:r>
        <w:rPr>
          <w:b/>
        </w:rPr>
        <w:t>18</w:t>
      </w:r>
      <w:r>
        <w:tab/>
      </w:r>
      <w:bookmarkStart w:id="47" w:name="SL31695"/>
      <w:r>
        <w:t>Orice surplus al valorii contabile a acţiunilor preferenţiale faţă de valoarea justă a contravalorii plătite pentru decontarea lor se adaugă în calcularea profitului sau pierderii atribuibil(e) acţionarilor ordinari ai societăţii-mamă.</w:t>
      </w:r>
      <w:bookmarkEnd w:id="47"/>
    </w:p>
    <w:p w:rsidR="006854C1" w:rsidRDefault="006854C1">
      <w:pPr>
        <w:pStyle w:val="IASBSectionTitle3Ind"/>
      </w:pPr>
      <w:bookmarkStart w:id="48" w:name="SL148128"/>
      <w:r>
        <w:t>Acţiuni</w:t>
      </w:r>
      <w:bookmarkEnd w:id="48"/>
    </w:p>
    <w:p w:rsidR="006854C1" w:rsidRDefault="006854C1">
      <w:pPr>
        <w:pStyle w:val="IASBNormalnpara"/>
        <w:rPr>
          <w:b/>
        </w:rPr>
      </w:pPr>
      <w:r>
        <w:t>19</w:t>
      </w:r>
      <w:bookmarkStart w:id="49" w:name="SL31696"/>
      <w:r w:rsidR="00F6014D">
        <w:tab/>
      </w:r>
      <w:r>
        <w:rPr>
          <w:b/>
        </w:rPr>
        <w:t>În scopul calculării rezultatului pe acţiune de bază, numărul acţiunilor ordinare trebuie să fie egal cu media ponderată a numărului de acţiuni ordinare în circulaţie în perioada respectivă.</w:t>
      </w:r>
      <w:bookmarkEnd w:id="49"/>
    </w:p>
    <w:p w:rsidR="006854C1" w:rsidRDefault="006854C1">
      <w:pPr>
        <w:pStyle w:val="IASBNormalnpara"/>
      </w:pPr>
      <w:r>
        <w:rPr>
          <w:b/>
        </w:rPr>
        <w:t>20</w:t>
      </w:r>
      <w:r>
        <w:tab/>
      </w:r>
      <w:bookmarkStart w:id="50" w:name="SL31697"/>
      <w:r>
        <w:t>Utilizarea mediei ponderate a numărului de acţiuni ordinare în circulaţie în perioada respectivă reflectă posibilitatea ca valoarea capitalului acţionarilor să fi variat în timpul perioadei, ca urmare a unui număr mai mare sau mai mic de acţiuni aflate în circulaţie în orice moment. Media ponderată a numărului de acţiuni ordinare în circulaţie în timpul perioadei este numărul de acţiuni ordinare în circulaţie la începutul perioadei, ajustat cu numărul de acţiuni ordinare răscumpărate sau emise în perioada respectivă, înmulţit cu un factor de ponderare a timpului. Factorul de ponderare a timpului este numărul de zile în care acţiunile respective s-au aflat în circulaţie, ca proporţie din numărul total de zile ale perioadei; în multe situaţii este adecvată o aproximare rezonabilă a acestei medii ponderate.</w:t>
      </w:r>
      <w:bookmarkEnd w:id="50"/>
    </w:p>
    <w:p w:rsidR="006854C1" w:rsidRDefault="006854C1">
      <w:pPr>
        <w:pStyle w:val="IASBNormalnpara"/>
      </w:pPr>
      <w:r>
        <w:rPr>
          <w:b/>
        </w:rPr>
        <w:t>21</w:t>
      </w:r>
      <w:r>
        <w:tab/>
      </w:r>
      <w:bookmarkStart w:id="51" w:name="SL31698"/>
      <w:r>
        <w:t xml:space="preserve">În majoritatea cazurilor, acţiunile sunt incluse în media ponderată a acţiunilor de la data la care contraprestaţia devine creanţă (aceasta este de obicei data la care au fost emise), de exemplu: </w:t>
      </w:r>
      <w:bookmarkEnd w:id="51"/>
    </w:p>
    <w:p w:rsidR="006854C1" w:rsidRDefault="006854C1">
      <w:pPr>
        <w:pStyle w:val="IASBNormalnparaL1"/>
      </w:pPr>
      <w:r>
        <w:t>(a)</w:t>
      </w:r>
      <w:r>
        <w:tab/>
      </w:r>
      <w:bookmarkStart w:id="52" w:name="SL148131"/>
      <w:r>
        <w:t>acţiunile ordinare emise contra numerar sunt incluse când numerarul se înregistrează drept creanţă;</w:t>
      </w:r>
      <w:bookmarkEnd w:id="52"/>
    </w:p>
    <w:p w:rsidR="006854C1" w:rsidRDefault="006854C1">
      <w:pPr>
        <w:pStyle w:val="IASBNormalnparaL1"/>
      </w:pPr>
      <w:r>
        <w:t>(b)</w:t>
      </w:r>
      <w:r>
        <w:tab/>
      </w:r>
      <w:bookmarkStart w:id="53" w:name="SL148133"/>
      <w:r>
        <w:t>acţiunile ordinare emise în urma reinvestirii voluntare a dividendelor în acţiunile ordinare sau preferenţiale sunt incluse la data reinvestirii dividendelor;</w:t>
      </w:r>
      <w:bookmarkEnd w:id="53"/>
    </w:p>
    <w:p w:rsidR="006854C1" w:rsidRDefault="006854C1">
      <w:pPr>
        <w:pStyle w:val="IASBNormalnparaL1"/>
      </w:pPr>
      <w:r>
        <w:t>(c)</w:t>
      </w:r>
      <w:r>
        <w:tab/>
      </w:r>
      <w:bookmarkStart w:id="54" w:name="SL148135"/>
      <w:r>
        <w:t>acţiunile ordinare emise în urma conversiei unui instrument de datorie în acţiuni ordinare sunt incluse de la data la care încetează acumularea dobânzii;</w:t>
      </w:r>
      <w:bookmarkEnd w:id="54"/>
    </w:p>
    <w:p w:rsidR="006854C1" w:rsidRDefault="006854C1">
      <w:pPr>
        <w:pStyle w:val="IASBNormalnparaL1"/>
      </w:pPr>
      <w:r>
        <w:t>(d)</w:t>
      </w:r>
      <w:r>
        <w:tab/>
      </w:r>
      <w:bookmarkStart w:id="55" w:name="SL148137"/>
      <w:r>
        <w:t>acţiunile ordinare emise în schimbul dobânzii sau al principalului aferente altor instrumente financiare sunt incluse de la data la care încetează acumularea dobânzii;</w:t>
      </w:r>
      <w:bookmarkEnd w:id="55"/>
    </w:p>
    <w:p w:rsidR="006854C1" w:rsidRDefault="006854C1">
      <w:pPr>
        <w:pStyle w:val="IASBNormalnparaL1"/>
      </w:pPr>
      <w:r>
        <w:t>(e)</w:t>
      </w:r>
      <w:r>
        <w:tab/>
      </w:r>
      <w:bookmarkStart w:id="56" w:name="SL148139"/>
      <w:r>
        <w:t>acţiunile ordinare emise în schimbul decontării unei datorii a entităţii sunt incluse de la data decontării datoriei;</w:t>
      </w:r>
      <w:bookmarkEnd w:id="56"/>
    </w:p>
    <w:p w:rsidR="006854C1" w:rsidRDefault="006854C1">
      <w:pPr>
        <w:pStyle w:val="IASBNormalnparaL1"/>
      </w:pPr>
      <w:r>
        <w:lastRenderedPageBreak/>
        <w:t>(f)</w:t>
      </w:r>
      <w:r>
        <w:tab/>
      </w:r>
      <w:bookmarkStart w:id="57" w:name="SL148141"/>
      <w:r>
        <w:t>acţiunile ordinare emise ca o contravaloare a achiziţionării unui activ, altul decât numerarul, sunt incluse de la data la care se recunoaşte achiziţia; și</w:t>
      </w:r>
      <w:bookmarkEnd w:id="57"/>
    </w:p>
    <w:p w:rsidR="006854C1" w:rsidRDefault="006854C1">
      <w:pPr>
        <w:pStyle w:val="IASBNormalnparaL1"/>
      </w:pPr>
      <w:r>
        <w:t>(g)</w:t>
      </w:r>
      <w:r>
        <w:tab/>
      </w:r>
      <w:bookmarkStart w:id="58" w:name="SL148143"/>
      <w:r>
        <w:t>acţiunile ordinare emise în schimbul prestării de servicii pentru entitate sunt incluse pe măsură ce se prestează serviciile.</w:t>
      </w:r>
      <w:bookmarkEnd w:id="58"/>
    </w:p>
    <w:p w:rsidR="006854C1" w:rsidRDefault="006854C1">
      <w:pPr>
        <w:pStyle w:val="IASBNormalnparaP"/>
      </w:pPr>
      <w:bookmarkStart w:id="59" w:name="SL148144"/>
      <w:r>
        <w:t>Plasarea în timp a includerii acţiunilor ordinare este determinată de termenele şi condiţiile specifice asociate emisiunii lor. Este necesar să se acorde atenţia cuvenită conţinutului oricărui contract conex emiterii.</w:t>
      </w:r>
      <w:bookmarkEnd w:id="59"/>
    </w:p>
    <w:p w:rsidR="006854C1" w:rsidRDefault="006854C1">
      <w:pPr>
        <w:pStyle w:val="IASBNormalnpara"/>
      </w:pPr>
      <w:r>
        <w:rPr>
          <w:b/>
        </w:rPr>
        <w:t>22</w:t>
      </w:r>
      <w:r>
        <w:tab/>
      </w:r>
      <w:bookmarkStart w:id="60" w:name="SL31699"/>
      <w:r>
        <w:t>Acţiunile ordinare emise ca parte a contravalorii transferate într-o combinare de întreprinderi sunt incluse în media ponderată a numărului de acţiuni de la data achiziţiei. Motivul este că entitatea dobânditoare include în situaţia rezultatului global profiturile şi pierderile entităţii dobândite începând cu data achiziţiei.</w:t>
      </w:r>
      <w:bookmarkEnd w:id="60"/>
    </w:p>
    <w:p w:rsidR="006854C1" w:rsidRDefault="006854C1">
      <w:pPr>
        <w:pStyle w:val="IASBNormalnpara"/>
      </w:pPr>
      <w:r>
        <w:rPr>
          <w:b/>
        </w:rPr>
        <w:t>23</w:t>
      </w:r>
      <w:r>
        <w:tab/>
      </w:r>
      <w:bookmarkStart w:id="61" w:name="SL31700"/>
      <w:r>
        <w:t>Acţiunile ordinare care vor fi emise la conversia unui instrument convertibil obligatoriu sunt incluse în calculul rezultatului pe acţiune de bază începând cu data încheierii contractului.</w:t>
      </w:r>
      <w:bookmarkEnd w:id="61"/>
    </w:p>
    <w:p w:rsidR="006854C1" w:rsidRDefault="006854C1">
      <w:pPr>
        <w:pStyle w:val="IASBNormalnpara"/>
      </w:pPr>
      <w:r>
        <w:rPr>
          <w:b/>
        </w:rPr>
        <w:t>24</w:t>
      </w:r>
      <w:r>
        <w:tab/>
      </w:r>
      <w:bookmarkStart w:id="62" w:name="SL31701"/>
      <w:r>
        <w:t>Acţiunile care pot fi emise în mod condiţionat sunt tratate ca fiind în circulaţie şi sunt incluse în calculul rezultatului pe acţiune de bază doar de la data la care sunt îndeplinite toate condiţiile necesare (adică atunci când evenimentele au avut loc). Acţiunile care sunt emise doar după trecerea unei perioade de timp nu sunt acţiuni care pot fi emise în mod condiţionat, deoarece trecerea timpului este o certitudine. Acţiunile ordinare în circulaţie care pot fi restituite în mod condiţionat (adică fac obiectul revocării) nu sunt tratate ca fiind în circulaţie şi sunt excluse din calculul rezultatului pe acţiune de bază până la data la care acţiunile nu mai fac obiectul revocării.</w:t>
      </w:r>
      <w:bookmarkEnd w:id="62"/>
    </w:p>
    <w:p w:rsidR="006854C1" w:rsidRDefault="006854C1">
      <w:pPr>
        <w:pStyle w:val="IASBNormalnpara"/>
      </w:pPr>
      <w:r>
        <w:rPr>
          <w:b/>
        </w:rPr>
        <w:t>25</w:t>
      </w:r>
      <w:r>
        <w:tab/>
      </w:r>
      <w:bookmarkStart w:id="63" w:name="SL31702"/>
      <w:r>
        <w:t>[Eliminat]</w:t>
      </w:r>
      <w:bookmarkEnd w:id="63"/>
    </w:p>
    <w:p w:rsidR="006854C1" w:rsidRDefault="006854C1">
      <w:pPr>
        <w:pStyle w:val="IASBNormalnpara"/>
        <w:rPr>
          <w:b/>
        </w:rPr>
      </w:pPr>
      <w:r>
        <w:t>26</w:t>
      </w:r>
      <w:bookmarkStart w:id="64" w:name="SL31703"/>
      <w:r w:rsidR="00F6014D">
        <w:tab/>
      </w:r>
      <w:r>
        <w:rPr>
          <w:b/>
        </w:rPr>
        <w:t>Media ponderată a numărului de acţiuni în circulaţie în perioada respectivă, precum şi mediile ponderate calculate pentru toate perioadele prezentate trebuie ajustate în cazul unor evenimente, altele decât conversia acţiunilor ordinare potenţiale, care au modificat numărul de acţiuni ordinare aflate în circulaţie fără a genera o modificare corespunzătoare a resurselor.</w:t>
      </w:r>
      <w:bookmarkEnd w:id="64"/>
    </w:p>
    <w:p w:rsidR="006854C1" w:rsidRDefault="006854C1">
      <w:pPr>
        <w:pStyle w:val="IASBNormalnpara"/>
      </w:pPr>
      <w:r>
        <w:rPr>
          <w:b/>
        </w:rPr>
        <w:t>27</w:t>
      </w:r>
      <w:r>
        <w:tab/>
      </w:r>
      <w:bookmarkStart w:id="65" w:name="SL31704"/>
      <w:r>
        <w:t xml:space="preserve">Acţiunile ordinare se pot emite, sau numărul acţiunilor în circulaţie poate fi redus, fără să aibă loc o modificare corespunzătoare a resurselor. Exemplele includ: </w:t>
      </w:r>
      <w:bookmarkEnd w:id="65"/>
    </w:p>
    <w:p w:rsidR="006854C1" w:rsidRDefault="006854C1">
      <w:pPr>
        <w:pStyle w:val="IASBNormalnparaL1"/>
      </w:pPr>
      <w:r>
        <w:t>(a)</w:t>
      </w:r>
      <w:r>
        <w:tab/>
      </w:r>
      <w:bookmarkStart w:id="66" w:name="SL148147"/>
      <w:r>
        <w:t>o capitalizare sau o emisiune de acţiuni gratuite (numite uneori dividende de capital);</w:t>
      </w:r>
      <w:bookmarkEnd w:id="66"/>
    </w:p>
    <w:p w:rsidR="006854C1" w:rsidRDefault="006854C1">
      <w:pPr>
        <w:pStyle w:val="IASBNormalnparaL1"/>
      </w:pPr>
      <w:r>
        <w:t>(b)</w:t>
      </w:r>
      <w:r>
        <w:tab/>
      </w:r>
      <w:bookmarkStart w:id="67" w:name="SL148149"/>
      <w:r>
        <w:t>un element de prime în orice altă emisiune, de exemplu, un element de prime în cazul unei emisiuni de drepturi pentru acţionarii existenţi;</w:t>
      </w:r>
      <w:bookmarkEnd w:id="67"/>
    </w:p>
    <w:p w:rsidR="006854C1" w:rsidRDefault="006854C1">
      <w:pPr>
        <w:pStyle w:val="IASBNormalnparaL1"/>
      </w:pPr>
      <w:r>
        <w:t>(c)</w:t>
      </w:r>
      <w:r>
        <w:tab/>
      </w:r>
      <w:bookmarkStart w:id="68" w:name="SL148151"/>
      <w:r>
        <w:t>o divizare a acţiunilor; și</w:t>
      </w:r>
      <w:bookmarkEnd w:id="68"/>
    </w:p>
    <w:p w:rsidR="006854C1" w:rsidRDefault="006854C1">
      <w:pPr>
        <w:pStyle w:val="IASBNormalnparaL1"/>
      </w:pPr>
      <w:r>
        <w:t>(d)</w:t>
      </w:r>
      <w:r>
        <w:tab/>
      </w:r>
      <w:bookmarkStart w:id="69" w:name="SL148153"/>
      <w:r>
        <w:t>o divizare inversă de acţiuni (consolidarea acţiunilor).</w:t>
      </w:r>
      <w:bookmarkEnd w:id="69"/>
    </w:p>
    <w:p w:rsidR="006854C1" w:rsidRDefault="006854C1">
      <w:pPr>
        <w:pStyle w:val="IASBNormalnpara"/>
      </w:pPr>
      <w:r>
        <w:rPr>
          <w:b/>
        </w:rPr>
        <w:t>28</w:t>
      </w:r>
      <w:r>
        <w:tab/>
      </w:r>
      <w:bookmarkStart w:id="70" w:name="SL31705"/>
      <w:r>
        <w:t>În cazul unei capitalizări sau unei emisiuni de acţiuni gratuite ori al unei divizări a acţiunilor, acţiunile ordinare se emit pentru acţionarii existenţi fără nicio contraprestaţie suplimentară. Prin urmare, creşte numărul acţiunilor ordinare în circulaţie fără ca acest lucru să determine o creştere a resurselor. Numărul acţiunilor ordinare în circulaţie înaintea operaţiunii respective se ajustează în funcție de modificarea proporţională a numărului de acţiuni ordinare în circulaţie ca şi când operaţiunea ar fi avut loc la începutul primei perioade prezentate. De exemplu, în cazul unei emisiuni de acţiuni gratuite într-un raport de doi la unu, numărul acţiunilor ordinare în circulaţie înainte de emisiune se înmulţeşte cu trei pentru a se obţine noul număr total de acţiuni ordinare, sau cu doi pentru a se obţine numărul suplimentar de acţiuni ordinare.</w:t>
      </w:r>
      <w:bookmarkEnd w:id="70"/>
    </w:p>
    <w:p w:rsidR="006854C1" w:rsidRDefault="006854C1">
      <w:pPr>
        <w:pStyle w:val="IASBNormalnpara"/>
      </w:pPr>
      <w:r>
        <w:rPr>
          <w:b/>
        </w:rPr>
        <w:t>29</w:t>
      </w:r>
      <w:r>
        <w:tab/>
      </w:r>
      <w:bookmarkStart w:id="71" w:name="SL31706"/>
      <w:r>
        <w:t>O consolidare a acţiunilor ordinare reduce, în general, numărul acţiunilor ordinare în circulaţie fără o reducere corespunzătoare a resurselor. Cu toate acestea, atunci când efectul general este răscumpărarea acţiunilor la valoarea lor justă, reducerea numărului acţiunilor ordinare în circulaţie este rezultatul unei reduceri corespunzătoare a resurselor. Un exemplu este consolidarea de acţiuni combinată cu un dividend special. Media ponderată a numărului de acţiuni ordinare în circulaţie în perioada în care are loc tranzacţia combinată este ajustată pentru reducerea numărului acţiunilor ordinare de la data recunoaşterii dividendului special.</w:t>
      </w:r>
      <w:bookmarkEnd w:id="71"/>
    </w:p>
    <w:p w:rsidR="006854C1" w:rsidRDefault="006854C1">
      <w:pPr>
        <w:pStyle w:val="IASBSectionTitle2Ind"/>
      </w:pPr>
      <w:bookmarkStart w:id="72" w:name="SL148154"/>
      <w:r>
        <w:t>Rezultatul pe acţiune diluat</w:t>
      </w:r>
      <w:bookmarkEnd w:id="72"/>
    </w:p>
    <w:p w:rsidR="006854C1" w:rsidRDefault="006854C1">
      <w:pPr>
        <w:pStyle w:val="IASBNormalnpara"/>
        <w:rPr>
          <w:b/>
        </w:rPr>
      </w:pPr>
      <w:r>
        <w:t>30</w:t>
      </w:r>
      <w:bookmarkStart w:id="73" w:name="SL31707"/>
      <w:r w:rsidR="00F6014D">
        <w:tab/>
      </w:r>
      <w:r>
        <w:rPr>
          <w:b/>
        </w:rPr>
        <w:t>O entitate trebuie să calculeze valorile rezultatului pe acţiune diluat pentru profitul sau pierderea atribuibil(ă) acţionarilor ordinari ai societăţii-mamă şi, dacă sunt prezentate, pentru profitul sau pierderea care derivă din activităţile continue atribuibile acelor acţionari.</w:t>
      </w:r>
      <w:bookmarkEnd w:id="73"/>
    </w:p>
    <w:p w:rsidR="006854C1" w:rsidRDefault="006854C1">
      <w:pPr>
        <w:pStyle w:val="IASBNormalnpara"/>
        <w:rPr>
          <w:b/>
        </w:rPr>
      </w:pPr>
      <w:r>
        <w:t>31</w:t>
      </w:r>
      <w:bookmarkStart w:id="74" w:name="SL31708"/>
      <w:r w:rsidR="00F6014D">
        <w:tab/>
      </w:r>
      <w:r>
        <w:rPr>
          <w:b/>
        </w:rPr>
        <w:t>În scopul calculării rezultatului pe acţiune diluat, o entitate trebuie să ajusteze profitul sau pierderea atribuibil(ă) acţionarilor ordinari ai societăţii-mamă şi media ponderată a numărului de acţiuni în circulaţie cu efectele tuturor acţiunilor ordinare potenţiale diluante.</w:t>
      </w:r>
      <w:bookmarkEnd w:id="74"/>
    </w:p>
    <w:p w:rsidR="006854C1" w:rsidRDefault="006854C1">
      <w:pPr>
        <w:pStyle w:val="IASBNormalnpara"/>
      </w:pPr>
      <w:r>
        <w:rPr>
          <w:b/>
        </w:rPr>
        <w:t>32</w:t>
      </w:r>
      <w:r>
        <w:tab/>
      </w:r>
      <w:bookmarkStart w:id="75" w:name="SL31709"/>
      <w:r>
        <w:t xml:space="preserve">Obiectivul rezultatului pe acţiune diluat este conform cu acela al rezultatului pe acţiune de bază – de a evalua participarea fiecărei acţiuni ordinare în cadrul performanţei unei entităţi – luându-se în considerare </w:t>
      </w:r>
      <w:r>
        <w:lastRenderedPageBreak/>
        <w:t xml:space="preserve">influenţa tuturor acţiunilor ordinare potenţiale diluante aflate în circulaţie în perioada respectivă. Drept rezultat: </w:t>
      </w:r>
      <w:bookmarkEnd w:id="75"/>
    </w:p>
    <w:p w:rsidR="006854C1" w:rsidRDefault="006854C1">
      <w:pPr>
        <w:pStyle w:val="IASBNormalnparaL1"/>
      </w:pPr>
      <w:r>
        <w:t>(a)</w:t>
      </w:r>
      <w:r>
        <w:tab/>
      </w:r>
      <w:bookmarkStart w:id="76" w:name="SL148157"/>
      <w:r>
        <w:t>profitul sau pierderea atribuibil(ă) acţionarilor ordinari ai societăţii-mamă se majorează cu valoarea după impozitare a dividendelor şi dobânzii recunoscute în cursul perioadei, aferentă acţiunilor ordinare potenţiale diluante, şi sunt ajustate în funcţie de orice alte modificări ale veniturilor sau cheltuielilor care ar rezulta din conversia acţiunilor ordinare potenţiale diluante; și</w:t>
      </w:r>
      <w:bookmarkEnd w:id="76"/>
    </w:p>
    <w:p w:rsidR="006854C1" w:rsidRDefault="006854C1">
      <w:pPr>
        <w:pStyle w:val="IASBNormalnparaL1"/>
      </w:pPr>
      <w:r>
        <w:t>(b)</w:t>
      </w:r>
      <w:r>
        <w:tab/>
      </w:r>
      <w:bookmarkStart w:id="77" w:name="SL148159"/>
      <w:r>
        <w:t>media ponderată a numărului de acţiuni ordinare în circulaţie este majorată cu media ponderată a numărului de acţiuni ordinare suplimentare care s-ar fi aflat în circulaţie în cazul conversiei tuturor acţiunilor ordinare potenţiale diluante.</w:t>
      </w:r>
      <w:bookmarkEnd w:id="77"/>
    </w:p>
    <w:p w:rsidR="006854C1" w:rsidRDefault="006854C1">
      <w:pPr>
        <w:pStyle w:val="IASBSectionTitle3Ind"/>
      </w:pPr>
      <w:bookmarkStart w:id="78" w:name="SL148160"/>
      <w:r>
        <w:t>Rezultate</w:t>
      </w:r>
      <w:bookmarkEnd w:id="78"/>
    </w:p>
    <w:p w:rsidR="006854C1" w:rsidRDefault="006854C1">
      <w:pPr>
        <w:pStyle w:val="IASBNormalnpara"/>
        <w:rPr>
          <w:b/>
        </w:rPr>
      </w:pPr>
      <w:r>
        <w:t>33</w:t>
      </w:r>
      <w:bookmarkStart w:id="79" w:name="SL31710"/>
      <w:r w:rsidR="00F6014D">
        <w:tab/>
      </w:r>
      <w:r>
        <w:rPr>
          <w:b/>
        </w:rPr>
        <w:t xml:space="preserve">În sensul calculării rezultatului pe acţiune diluat, o entitate trebuie să ajusteze profitul sau pierderea atribuibil(ă) acţionarilor ordinari ai societăţii-mamă, calculat(ă) în conformitate cu punctul 12, cu efectul după impozitare al: </w:t>
      </w:r>
      <w:bookmarkEnd w:id="79"/>
    </w:p>
    <w:p w:rsidR="006854C1" w:rsidRDefault="006854C1">
      <w:pPr>
        <w:pStyle w:val="IASBNormalnparaL1"/>
      </w:pPr>
      <w:r>
        <w:rPr>
          <w:b/>
        </w:rPr>
        <w:t>(a)</w:t>
      </w:r>
      <w:bookmarkStart w:id="80" w:name="SL148163"/>
      <w:r w:rsidR="00F6014D">
        <w:rPr>
          <w:b/>
        </w:rPr>
        <w:tab/>
      </w:r>
      <w:r>
        <w:rPr>
          <w:b/>
        </w:rPr>
        <w:t>oricăror dividende sau al altor elemente aferente acţiunilor ordinare potenţiale diluante, care au fost deduse pentru a se ajunge la profitul sau pierderea atribuibil(ă) acţionarilor ordinari ai societăţii-mamă, calculat(ă) în conformitate cu punctul 12;</w:t>
      </w:r>
      <w:bookmarkEnd w:id="80"/>
    </w:p>
    <w:p w:rsidR="006854C1" w:rsidRDefault="006854C1">
      <w:pPr>
        <w:pStyle w:val="IASBNormalnparaL1"/>
      </w:pPr>
      <w:r>
        <w:rPr>
          <w:b/>
        </w:rPr>
        <w:t>(b)</w:t>
      </w:r>
      <w:bookmarkStart w:id="81" w:name="SL148165"/>
      <w:r w:rsidR="00F6014D">
        <w:rPr>
          <w:b/>
        </w:rPr>
        <w:tab/>
      </w:r>
      <w:r>
        <w:rPr>
          <w:b/>
        </w:rPr>
        <w:t>oricărei dobânzi recunoscute în perioada corespunzătoare acţiunilor ordinare potenţiale diluante; și</w:t>
      </w:r>
      <w:bookmarkEnd w:id="81"/>
    </w:p>
    <w:p w:rsidR="006854C1" w:rsidRDefault="006854C1">
      <w:pPr>
        <w:pStyle w:val="IASBNormalnparaL1"/>
      </w:pPr>
      <w:r>
        <w:rPr>
          <w:b/>
        </w:rPr>
        <w:t>(c)</w:t>
      </w:r>
      <w:bookmarkStart w:id="82" w:name="SL148167"/>
      <w:r w:rsidR="00F6014D">
        <w:rPr>
          <w:b/>
        </w:rPr>
        <w:tab/>
      </w:r>
      <w:r>
        <w:rPr>
          <w:b/>
        </w:rPr>
        <w:t>oricăror alte modificări ale veniturilor sau cheltuielilor care ar fi generate în urma conversiei acţiunilor ordinare potenţiale diluante.</w:t>
      </w:r>
      <w:bookmarkEnd w:id="82"/>
    </w:p>
    <w:p w:rsidR="006854C1" w:rsidRDefault="006854C1">
      <w:pPr>
        <w:pStyle w:val="IASBNormalnpara"/>
      </w:pPr>
      <w:r>
        <w:rPr>
          <w:b/>
        </w:rPr>
        <w:t>34</w:t>
      </w:r>
      <w:r>
        <w:tab/>
      </w:r>
      <w:bookmarkStart w:id="83" w:name="SL36677042"/>
      <w:r>
        <w:t>După ce acţiunile ordinare potenţiale sunt convertite în acţiuni ordinare, elementele identificate la punctul 33 literele (a)–(c) nu mai apar. În schimb, noile acţiuni ordinare au dreptul să participe la profitul sau pierderea atribuibil(ă) acţionarilor ordinari ai societăţii-mamă. Prin urmare, profitul sau pierderea atribuibil(ă) acţionarilor ordinari ai societăţii-mamă, calculat(ă) în conformitate cu punctul 12, este ajustat(ă) cu elementele identificate la punctul 33 literele (a)–(c) şi cu oricare impozite conexe. Cheltuielile asociate cu acţiuni ordinare potenţiale includ costuri de tranzacţie şi reduceri contabilizate în conformitate cu metoda dobânzii efective (a se vedea IFRS 9).</w:t>
      </w:r>
      <w:bookmarkEnd w:id="83"/>
    </w:p>
    <w:p w:rsidR="006854C1" w:rsidRDefault="006854C1">
      <w:pPr>
        <w:pStyle w:val="IASBNormalnpara"/>
      </w:pPr>
      <w:r>
        <w:rPr>
          <w:b/>
        </w:rPr>
        <w:t>35</w:t>
      </w:r>
      <w:r>
        <w:tab/>
      </w:r>
      <w:bookmarkStart w:id="84" w:name="SL31712"/>
      <w:r>
        <w:t>Conversia unor acţiuni ordinare potenţiale poate genera modificări ale veniturilor sau cheltuielilor. De exemplu, reducerea cheltuielilor cu dobânzile aferente acţiunilor ordinare potenţiale, precum şi creşterea rezultată a profitului sau reducerea pierderii pot genera o creştere a cheltuielilor aferente unui plan de participare nediscreţionară la profit a angajaţilor. În sensul calculării rezultatului pe acţiune diluat, profitul sau pierderea de atribuit acţionarilor ordinari ai societăţii-mamă se ajustează pentru orice astfel de modificări semnificative ale veniturilor sau cheltuielilor.</w:t>
      </w:r>
      <w:bookmarkEnd w:id="84"/>
    </w:p>
    <w:p w:rsidR="006854C1" w:rsidRDefault="006854C1">
      <w:pPr>
        <w:pStyle w:val="IASBSectionTitle3Ind"/>
      </w:pPr>
      <w:bookmarkStart w:id="85" w:name="SL148168"/>
      <w:r>
        <w:t>Acţiuni</w:t>
      </w:r>
      <w:bookmarkEnd w:id="85"/>
    </w:p>
    <w:p w:rsidR="006854C1" w:rsidRDefault="006854C1">
      <w:pPr>
        <w:pStyle w:val="IASBNormalnpara"/>
        <w:rPr>
          <w:b/>
        </w:rPr>
      </w:pPr>
      <w:r>
        <w:t>36</w:t>
      </w:r>
      <w:bookmarkStart w:id="86" w:name="SL31713"/>
      <w:r w:rsidR="00F6014D">
        <w:tab/>
      </w:r>
      <w:r>
        <w:rPr>
          <w:b/>
        </w:rPr>
        <w:t>În scopul calculării rezultatului pe acţiune diluat, numărul de acţiuni ordinare trebuie să fie egal cu media ponderată a acţiunilor ordinare calculată în conformitate cu punctele 19 şi 26, plus media ponderată a acţiunilor ordinare care vor fi emise cu ocazia conversiei tuturor acţiunilor ordinare potenţiale diluante în acţiuni ordinare. Acţiunile ordinare potenţiale diluante trebuie considerate drept transformate în acţiuni ordinare la începutul perioadei sau, dacă mai târziu, la data emisiunii de acţiuni ordinare potenţiale.</w:t>
      </w:r>
      <w:bookmarkEnd w:id="86"/>
    </w:p>
    <w:p w:rsidR="006854C1" w:rsidRDefault="006854C1">
      <w:pPr>
        <w:pStyle w:val="IASBNormalnpara"/>
      </w:pPr>
      <w:r>
        <w:rPr>
          <w:b/>
        </w:rPr>
        <w:t>37</w:t>
      </w:r>
      <w:r>
        <w:tab/>
      </w:r>
      <w:bookmarkStart w:id="87" w:name="SL31714"/>
      <w:r>
        <w:t>Acţiunile ordinare potenţiale diluante trebuie determinate separat pentru fiecare perioadă prezentată. Numărul acţiunilor ordinare potenţiale diluante incluse în perioada de la începutul exerciţiului până în prezent nu reprezintă media ponderată a acţiunilor ordinare potenţiale diluante incluse în fiecare calculare interimară.</w:t>
      </w:r>
      <w:bookmarkEnd w:id="87"/>
    </w:p>
    <w:p w:rsidR="006854C1" w:rsidRDefault="006854C1">
      <w:pPr>
        <w:pStyle w:val="IASBNormalnpara"/>
      </w:pPr>
      <w:r>
        <w:rPr>
          <w:b/>
        </w:rPr>
        <w:t>38</w:t>
      </w:r>
      <w:r>
        <w:tab/>
      </w:r>
      <w:bookmarkStart w:id="88" w:name="SL31715"/>
      <w:r>
        <w:t>Acţiunile ordinare potenţiale sunt ponderate pentru perioada în care sunt în circulaţie. Acţiunile ordinare potenţiale care sunt anulate sau care sunt lăsate să îşi piardă valabilitatea în timpul perioadei sunt incluse în calcularea rezultatului pe acţiune diluat doar pentru perioada de timp în care sunt în circulaţie. Acţiunile ordinare potenţiale care sunt convertite în acţiuni ordinare în timpul perioadei sunt incluse în calcularea rezultatului pe acţiune diluat de la începutul perioadei până la data conversiei; de la data conversiei, acţiunile ordinare care rezultă sunt incluse atât în rezultatul pe acţiune de bază, cât şi în rezultatul pe acţiune diluat.</w:t>
      </w:r>
      <w:bookmarkEnd w:id="88"/>
    </w:p>
    <w:p w:rsidR="006854C1" w:rsidRDefault="006854C1">
      <w:pPr>
        <w:pStyle w:val="IASBNormalnpara"/>
      </w:pPr>
      <w:r>
        <w:rPr>
          <w:b/>
        </w:rPr>
        <w:t>39</w:t>
      </w:r>
      <w:r>
        <w:tab/>
      </w:r>
      <w:bookmarkStart w:id="89" w:name="SL31716"/>
      <w:r>
        <w:t xml:space="preserve">Numărul de acţiuni ordinare emise în cazul conversiei acţiunilor ordinare potenţiale diluante se determină conform clauzelor asociate acţiunilor ordinare potenţiale. Atunci când există mai mult de o bază de </w:t>
      </w:r>
      <w:r>
        <w:lastRenderedPageBreak/>
        <w:t>conversie, calculul utilizează cea mai avantajoasă rată de conversie sau cel mai avantajos preţ de exercitare din punctul de vedere al deţinătorului de acţiuni ordinare potenţiale.</w:t>
      </w:r>
      <w:bookmarkEnd w:id="89"/>
    </w:p>
    <w:p w:rsidR="006854C1" w:rsidRDefault="006854C1">
      <w:pPr>
        <w:pStyle w:val="IASBNormalnpara"/>
      </w:pPr>
      <w:r>
        <w:rPr>
          <w:b/>
        </w:rPr>
        <w:t>40</w:t>
      </w:r>
      <w:r>
        <w:tab/>
      </w:r>
      <w:bookmarkStart w:id="90" w:name="SL31717"/>
      <w:r>
        <w:t>O filială, o asociere în participație sau o entitate asociată poate să emită, către alte părți decât societatea-mamă sau investitorii care dețin controlul comun sau o influență semnificativă asupra entității în care s-a investit, acțiuni ordinare potențiale convertibile fie în acțiuni ordinare ale filialei, ale asocierii în participație sau ale entității asociate, fie în acțiuni ordinare ale societății-mamă sau ale investitorilor care dețin controlul comun sau o influență semnificativă (entitatea raportoare) asupra entității în care s-a investit. Dacă aceste acţiuni ordinare potenţiale ale filialei, ale asocierii în participaţie sau ale entităţii asociate au efect de diluare asupra rezultatului pe acţiune de bază al entităţii raportoare, ele sunt incluse în calcularea rezultatului pe acţiune diluat.</w:t>
      </w:r>
      <w:bookmarkEnd w:id="90"/>
    </w:p>
    <w:p w:rsidR="006854C1" w:rsidRDefault="006854C1">
      <w:pPr>
        <w:pStyle w:val="IASBSectionTitle3Ind"/>
      </w:pPr>
      <w:bookmarkStart w:id="91" w:name="SL148169"/>
      <w:r>
        <w:t>Acţiuni ordinare potenţiale diluante</w:t>
      </w:r>
      <w:bookmarkEnd w:id="91"/>
    </w:p>
    <w:p w:rsidR="006854C1" w:rsidRDefault="006854C1">
      <w:pPr>
        <w:pStyle w:val="IASBNormalnpara"/>
        <w:rPr>
          <w:b/>
        </w:rPr>
      </w:pPr>
      <w:r>
        <w:t>41</w:t>
      </w:r>
      <w:bookmarkStart w:id="92" w:name="SL31718"/>
      <w:r w:rsidR="00F6014D">
        <w:tab/>
      </w:r>
      <w:r>
        <w:rPr>
          <w:b/>
        </w:rPr>
        <w:t>Acţiunile ordinare potenţiale trebuie tratate drept diluante atunci şi numai atunci când în urma conversiei lor în acţiuni ordinare ar scădea rezultatul pe acţiune sau ar creşte pierderile pe acţiune din activităţile continue.</w:t>
      </w:r>
      <w:bookmarkEnd w:id="92"/>
    </w:p>
    <w:p w:rsidR="006854C1" w:rsidRDefault="006854C1">
      <w:pPr>
        <w:pStyle w:val="IASBNormalnpara"/>
      </w:pPr>
      <w:r>
        <w:rPr>
          <w:b/>
        </w:rPr>
        <w:t>42</w:t>
      </w:r>
      <w:r>
        <w:tab/>
      </w:r>
      <w:bookmarkStart w:id="93" w:name="SL31719"/>
      <w:r>
        <w:t>O entitate utilizează profitul sau pierderea din operaţiunile continue atribuibil(ă) societăţii-mamă ca număr de control în a stabili dacă acţiunile ordinare potenţiale sunt diluante sau antidiluante. Profitul sau pierderea din operaţiunile continue atribuibil(ă) societăţii-mamă este ajustat(ă) în conformitate cu punctul 12 şi exclude elementele referitoare la activităţile întrerupte.</w:t>
      </w:r>
      <w:bookmarkEnd w:id="93"/>
    </w:p>
    <w:p w:rsidR="006854C1" w:rsidRDefault="006854C1">
      <w:pPr>
        <w:pStyle w:val="IASBNormalnpara"/>
      </w:pPr>
      <w:r>
        <w:rPr>
          <w:b/>
        </w:rPr>
        <w:t>43</w:t>
      </w:r>
      <w:r>
        <w:tab/>
      </w:r>
      <w:bookmarkStart w:id="94" w:name="SL31720"/>
      <w:r>
        <w:t>Acţiunile ordinare potenţiale sunt antidiluante atunci când conversia lor în acţiuni ordinare ar majora rezultatul pe acţiune sau ar diminua pierderea pe acţiune din activităţile continue. Calcularea rezultatului pe acţiune diluat nu ia în considerare ipoteze precum conversia, exercitarea sau un alt aspect legat de acţiunile potenţiale ordinare care ar avea un efect de antidiluare asupra rezultatului pe acţiune.</w:t>
      </w:r>
      <w:bookmarkEnd w:id="94"/>
    </w:p>
    <w:p w:rsidR="006854C1" w:rsidRDefault="006854C1">
      <w:pPr>
        <w:pStyle w:val="IASBNormalnpara"/>
      </w:pPr>
      <w:r>
        <w:rPr>
          <w:b/>
        </w:rPr>
        <w:t>44</w:t>
      </w:r>
      <w:r>
        <w:tab/>
      </w:r>
      <w:bookmarkStart w:id="95" w:name="SL31721"/>
      <w:r>
        <w:t>Atunci când se determină dacă acţiunile ordinare potenţiale sunt diluante sau antidiluante, fiecare emisiune sau serie de acţiuni ordinare potenţiale este luată în considerare separat, şi nu în totalitate. Ordinea în care sunt luate în considerare acţiunile ordinare potenţiale poate influenţa calitatea lor de a fi sau nu diluante. Prin urmare, pentru maximizarea diluării rezultatului pe acţiune de bază, fiecare emisiune sau serie de acţiuni ordinare potenţiale este luată în considerare în ordine, de la cele mai diluante la cele mai puţin diluante, adică acţiunile ordinare potenţiale diluante cu cel mai mic „rezultat pe acţiune incrementală” sunt incluse în calcularea rezultatului pe acţiune diluat înaintea celor cu un rezultat mai ridicat pe acţiune incrementală. Opţiunile şi warantele sunt în general incluse primele, deoarece acestea nu afectează numărătorul calculului.</w:t>
      </w:r>
      <w:bookmarkEnd w:id="95"/>
    </w:p>
    <w:p w:rsidR="006854C1" w:rsidRDefault="006854C1">
      <w:pPr>
        <w:pStyle w:val="IASBSectionTitle4Ind"/>
      </w:pPr>
      <w:bookmarkStart w:id="96" w:name="SL148170"/>
      <w:r>
        <w:t>Opţiuni, warante şi echivalentele acestora</w:t>
      </w:r>
      <w:bookmarkEnd w:id="96"/>
    </w:p>
    <w:p w:rsidR="006854C1" w:rsidRDefault="006854C1">
      <w:pPr>
        <w:pStyle w:val="IASBNormalnpara"/>
        <w:rPr>
          <w:b/>
        </w:rPr>
      </w:pPr>
      <w:r>
        <w:t>45</w:t>
      </w:r>
      <w:bookmarkStart w:id="97" w:name="SL31722"/>
      <w:r w:rsidR="00F6014D">
        <w:tab/>
      </w:r>
      <w:r>
        <w:rPr>
          <w:b/>
        </w:rPr>
        <w:t>În scopul calculării rezultatului pe acţiune diluat, o entitate trebuie să plece de la ipoteza că opţiunile şi warantele diluante ale entităţii au fost exercitate. Sumele rezultate ca urmare a presupunerii exercitării acestor instrumente trebuie considerate drept primite din emisiunea de acţiuni ordinare la preţul mediu de piaţă al acţiunilor ordinare ale perioadei. Diferenţa dintre numărul de acţiuni ordinare emise şi numărul de acţiuni ordinare care ar fi fost emise la preţul mediu de piaţă al acţiunilor ordinare pe parcursul perioadei trebuie tratată ca o emisiune de acţiuni ordinare fără nicio contraprestaţie.</w:t>
      </w:r>
      <w:bookmarkEnd w:id="97"/>
    </w:p>
    <w:p w:rsidR="006854C1" w:rsidRDefault="006854C1">
      <w:pPr>
        <w:pStyle w:val="IASBNormalnpara"/>
      </w:pPr>
      <w:r>
        <w:rPr>
          <w:b/>
        </w:rPr>
        <w:t>46</w:t>
      </w:r>
      <w:r>
        <w:tab/>
      </w:r>
      <w:bookmarkStart w:id="98" w:name="SL31723"/>
      <w:r>
        <w:t xml:space="preserve">Opţiunile şi warantele sunt diluante când au drept rezultat o emisiune de acţiuni ordinare cu un preţ mai mic decât preţul mediu de piaţă al acţiunilor ordinare în perioada respectivă. Valoarea diluării este preţul mediu de piaţă al acţiunilor ordinare în perioada respectivă minus preţul de emisiune. Prin urmare, pentru a calcula rezultatul pe acţiune diluat, acţiunile ordinare potenţiale sunt tratate ca fiind compuse din: </w:t>
      </w:r>
      <w:bookmarkEnd w:id="98"/>
    </w:p>
    <w:p w:rsidR="006854C1" w:rsidRDefault="006854C1">
      <w:pPr>
        <w:pStyle w:val="IASBNormalnparaL1"/>
      </w:pPr>
      <w:r>
        <w:t>(a)</w:t>
      </w:r>
      <w:r>
        <w:tab/>
      </w:r>
      <w:bookmarkStart w:id="99" w:name="SL148173"/>
      <w:r>
        <w:t>un contract de emisiune a unui anumit număr de acţiuni ordinare la preţul mediu de piaţă în perioada respectivă. Se presupune că astfel de acţiuni ordinare sunt evaluate fidel şi că nu sunt nici diluante, nici antidiluante. Ele nu se iau în considerare în calcularea rezultatului pe acţiune diluat.</w:t>
      </w:r>
      <w:bookmarkEnd w:id="99"/>
    </w:p>
    <w:p w:rsidR="006854C1" w:rsidRDefault="006854C1">
      <w:pPr>
        <w:pStyle w:val="IASBNormalnparaL1"/>
      </w:pPr>
      <w:r>
        <w:t>(b)</w:t>
      </w:r>
      <w:r>
        <w:tab/>
      </w:r>
      <w:bookmarkStart w:id="100" w:name="SL148175"/>
      <w:r>
        <w:t>un contract de emisiune a restului de acţiuni ordinare, fără nicio contraprestaţie. Astfel de acţiuni ordinare nu generează niciun fel de încasare şi nu au niciun efect asupra profitului sau pierderii atribuibil(e) acţiunilor ordinare în circulaţie. Prin urmare, astfel de acţiuni sunt diluante şi se adaugă numărului de acţiuni ordinare în circulaţie pentru calcularea rezultatului pe acţiune diluat.</w:t>
      </w:r>
      <w:bookmarkEnd w:id="100"/>
    </w:p>
    <w:p w:rsidR="006854C1" w:rsidRDefault="006854C1">
      <w:pPr>
        <w:pStyle w:val="IASBNormalnpara"/>
      </w:pPr>
      <w:r>
        <w:rPr>
          <w:b/>
        </w:rPr>
        <w:t>47</w:t>
      </w:r>
      <w:r>
        <w:tab/>
      </w:r>
      <w:bookmarkStart w:id="101" w:name="SL31724"/>
      <w:r>
        <w:t>Opţiunile şi warantele au un efect de diluare doar atunci când preţul mediu de piaţă al acţiunilor ordinare în perioada respectivă depăşeşte preţul exerciţiului pentru opţiuni şi warante (adică sunt „în bani” – „in the money”). Rezultatul pe acţiune raportat anterior nu este ajustat retroactiv pentru a reflecta modificările preţului acţiunilor ordinare.</w:t>
      </w:r>
      <w:bookmarkEnd w:id="101"/>
    </w:p>
    <w:p w:rsidR="006854C1" w:rsidRDefault="006854C1">
      <w:pPr>
        <w:pStyle w:val="IASBNormalnpara"/>
      </w:pPr>
      <w:r>
        <w:lastRenderedPageBreak/>
        <w:t>47A</w:t>
      </w:r>
      <w:r>
        <w:tab/>
      </w:r>
      <w:bookmarkStart w:id="102" w:name="SL31725"/>
      <w:r>
        <w:t xml:space="preserve">În cazul opţiunilor pe acţiuni şi al altor angajamente de plată pe bază de acţiuni cărora li se aplică IFRS 2 </w:t>
      </w:r>
      <w:r>
        <w:rPr>
          <w:i/>
        </w:rPr>
        <w:t>Plata pe bază de acţiuni</w:t>
      </w:r>
      <w:r>
        <w:t>, preţul de emisiune la care se face referire la punctul 46 şi preţul de exercitare la care se face referire la punctul 47 trebuie să includă valoarea justă (evaluată în conformitate cu IFRS 2) a oricăror bunuri sau servicii care trebuie să fie furnizate entităţii în viitor conform opţiunii pe acţiune sau altui angajament de plată pe bază de acţiuni.</w:t>
      </w:r>
      <w:bookmarkEnd w:id="102"/>
    </w:p>
    <w:p w:rsidR="006854C1" w:rsidRDefault="006854C1">
      <w:pPr>
        <w:pStyle w:val="IASBNormalnpara"/>
      </w:pPr>
      <w:r>
        <w:rPr>
          <w:b/>
        </w:rPr>
        <w:t>48</w:t>
      </w:r>
      <w:r>
        <w:tab/>
      </w:r>
      <w:bookmarkStart w:id="103" w:name="SL31726"/>
      <w:r>
        <w:t>Opţiunile pe acţiuni ale angajaţilor cu termene fixe sau determinabile şi acţiunile ordinare revocabile sunt tratate ca opţiuni în calcularea rezultatului pe acţiune diluat, deşi ele pot fi condiţionate de intrarea în drepturi. Ele sunt tratate ca fiind în circulaţie la data acordării. Opţiunile pe acţiuni ale angajaţilor condiţionate de performanţă sunt tratate ca fiind acţiuni care pot fi emise în mod condiţionat, deoarece emisiunea lor este condiţionată de îndeplinirea unor condiţii specifice, pe lângă cea de trecere a unei anumite perioade de timp.</w:t>
      </w:r>
      <w:bookmarkEnd w:id="103"/>
    </w:p>
    <w:p w:rsidR="006854C1" w:rsidRDefault="006854C1">
      <w:pPr>
        <w:pStyle w:val="IASBSectionTitle4Ind"/>
      </w:pPr>
      <w:bookmarkStart w:id="104" w:name="SL148176"/>
      <w:r>
        <w:t>Instrumente convertibile</w:t>
      </w:r>
      <w:bookmarkEnd w:id="104"/>
    </w:p>
    <w:p w:rsidR="006854C1" w:rsidRDefault="006854C1">
      <w:pPr>
        <w:pStyle w:val="IASBNormalnpara"/>
      </w:pPr>
      <w:r>
        <w:rPr>
          <w:b/>
        </w:rPr>
        <w:t>49</w:t>
      </w:r>
      <w:r>
        <w:tab/>
      </w:r>
      <w:bookmarkStart w:id="105" w:name="SL31727"/>
      <w:r>
        <w:t>Efectul de diluare al instrumentelor convertibile trebuie reflectat în rezultatul pe acţiune diluat în conformitate cu punctele 33 şi 36.</w:t>
      </w:r>
      <w:bookmarkEnd w:id="105"/>
    </w:p>
    <w:p w:rsidR="006854C1" w:rsidRDefault="006854C1">
      <w:pPr>
        <w:pStyle w:val="IASBNormalnpara"/>
      </w:pPr>
      <w:r>
        <w:rPr>
          <w:b/>
        </w:rPr>
        <w:t>50</w:t>
      </w:r>
      <w:r>
        <w:tab/>
      </w:r>
      <w:bookmarkStart w:id="106" w:name="SL31728"/>
      <w:r>
        <w:t>Acţiunile preferenţiale convertibile sunt antidiluante oricând valoarea dividendului unor astfel de acţiuni declarate sau acumulate în perioada curentă pe acţiune ordinară care poate fi obţinut în urma conversiei depăşeşte valoarea rezultatului pe acţiune de bază. În mod similar, datoria convertibilă este antidiluantă ori de câte ori dobânda sa (valoarea netă după impozitare sau alte modificări ale venitului sau cheltuielilor) pe acţiune ordinară care poate fi obţinută în urma conversiei depăşeşte valoarea rezultatului pe acţiune de bază.</w:t>
      </w:r>
      <w:bookmarkEnd w:id="106"/>
    </w:p>
    <w:p w:rsidR="006854C1" w:rsidRDefault="006854C1">
      <w:pPr>
        <w:pStyle w:val="IASBNormalnpara"/>
      </w:pPr>
      <w:r>
        <w:rPr>
          <w:b/>
        </w:rPr>
        <w:t>51</w:t>
      </w:r>
      <w:r>
        <w:tab/>
      </w:r>
      <w:bookmarkStart w:id="107" w:name="SL31729"/>
      <w:r>
        <w:t>Răscumpărarea sau conversia indusă a acţiunilor preferenţiale convertibile poate afecta doar o parte a acţiunilor preferenţiale convertibile care erau anterior în circulaţie. În astfel de cazuri, orice surplus al contraprestaţiei la care se face referire la punctul 17 este atribuit acelor acţiuni care sunt răscumpărate sau convertite pentru a determina dacă acţiunile preferenţiale care rămân în circulaţie sunt diluante. Acţiunile răscumpărate sau convertite sunt luate în considerare separat de acţiunile care nu sunt răscumpărate sau convertite.</w:t>
      </w:r>
      <w:bookmarkEnd w:id="107"/>
    </w:p>
    <w:p w:rsidR="006854C1" w:rsidRDefault="006854C1">
      <w:pPr>
        <w:pStyle w:val="IASBSectionTitle4Ind"/>
      </w:pPr>
      <w:bookmarkStart w:id="108" w:name="SL148177"/>
      <w:r>
        <w:t>Acţiuni care pot fi emise în mod condiţionat</w:t>
      </w:r>
      <w:bookmarkEnd w:id="108"/>
    </w:p>
    <w:p w:rsidR="006854C1" w:rsidRDefault="006854C1">
      <w:pPr>
        <w:pStyle w:val="IASBNormalnpara"/>
      </w:pPr>
      <w:r>
        <w:rPr>
          <w:b/>
        </w:rPr>
        <w:t>52</w:t>
      </w:r>
      <w:r>
        <w:tab/>
      </w:r>
      <w:bookmarkStart w:id="109" w:name="SL31730"/>
      <w:r>
        <w:t>Ca şi în cazul calculării rezultatului pe acţiune de bază, acţiunile ordinare care pot fi emise în mod condiţionat sunt tratate ca fiind în circulaţie şi sunt incluse în calcularea rezultatului pe acţiune diluat dacă sunt îndeplinite condiţiile (adică dacă au avut loc evenimentele). Acţiunile care pot fi emise în mod condiţionat sunt incluse de la începutul perioadei (sau, dacă mai târziu, de la data contractului condiţionat privind emisiunea de acţiuni). Dacă nu sunt îndeplinite condiţiile, numărul acţiunilor care pot fi emise în mod condiţionat, incluse în calcularea rezultatului pe acţiune diluat, are la bază numărul acţiunilor care ar fi emise în cazul în care sfârşitul perioadei ar corespunde cu sfârşitul perioadei condiţionate. Nu se permite retratarea dacă nu sunt îndeplinite condiţiile atunci când perioada condiţionată se încheie.</w:t>
      </w:r>
      <w:bookmarkEnd w:id="109"/>
    </w:p>
    <w:p w:rsidR="006854C1" w:rsidRDefault="006854C1">
      <w:pPr>
        <w:pStyle w:val="IASBNormalnpara"/>
      </w:pPr>
      <w:r>
        <w:rPr>
          <w:b/>
        </w:rPr>
        <w:t>53</w:t>
      </w:r>
      <w:r>
        <w:tab/>
      </w:r>
      <w:bookmarkStart w:id="110" w:name="SL31731"/>
      <w:r>
        <w:t>Dacă dobândirea sau menţinerea unei valori specifice a rezultatului unei perioade reprezintă condiţia unei emisiuni condiţionate şi dacă această valoare a fost obţinută la finalul perioadei de raportare, dar trebuie menţinută pe o perioadă suplimentară după finalul perioadei de raportare, atunci acţiunile ordinare suplimentare sunt tratate ca fiind în circulaţie dacă efectul este de diluare atunci când se calculează rezultatul pe acţiune diluat. În acest caz, calcularea rezultatului pe acţiune diluat are la bază numărul acţiunilor ordinare care ar fi fost emise dacă valoarea rezultatului la finalul perioadei de raportare ar fi fost valoarea rezultatului la încheierea perioadei condiţionate. Deoarece rezultatele pot suferi modificări pe parcursul unei perioade viitoare, calcularea rezultatului pe acţiune de bază nu include asemenea acţiuni care pot fi emise în mod condiţionat până la încheierea perioadei condiţionate deoarece nu au fost îndeplinite toate condiţiile necesare.</w:t>
      </w:r>
      <w:bookmarkEnd w:id="110"/>
    </w:p>
    <w:p w:rsidR="006854C1" w:rsidRDefault="006854C1">
      <w:pPr>
        <w:pStyle w:val="IASBNormalnpara"/>
      </w:pPr>
      <w:r>
        <w:rPr>
          <w:b/>
        </w:rPr>
        <w:t>54</w:t>
      </w:r>
      <w:r>
        <w:tab/>
      </w:r>
      <w:bookmarkStart w:id="111" w:name="SL31732"/>
      <w:r>
        <w:t>Numărul acţiunilor ordinare care pot fi emise în mod condiţionat poate depinde de preţul viitor pe piaţă al acţiunilor ordinare. În acest caz, dacă efectul este diluant, calcularea rezultatului pe acţiune diluat are la bază numărul acţiunilor ordinare care ar fi fost emise dacă preţul pe piaţă la finalul perioadei de raportare ar fi fost preţul pe piaţă la sfârşitul perioadei condiţionate. Atunci când condiţia are la bază o medie a preţurilor pieţei pentru o perioadă de timp care se extinde dincolo de finalul perioadei de raportare, se va utiliza media preţurilor pentru perioada de timp care a trecut. Deoarece preţul pe piaţă poate suferi modificări în viitor, calcularea rezultatului pe acţiune de bază nu include astfel de acţiuni ordinare care pot fi emise în mod condiţionat până la sfârşitul perioadei condiţionate deoarece nu au fost îndeplinite toate condiţiile necesare.</w:t>
      </w:r>
      <w:bookmarkEnd w:id="111"/>
    </w:p>
    <w:p w:rsidR="006854C1" w:rsidRDefault="006854C1">
      <w:pPr>
        <w:pStyle w:val="IASBNormalnpara"/>
      </w:pPr>
      <w:r>
        <w:rPr>
          <w:b/>
        </w:rPr>
        <w:t>55</w:t>
      </w:r>
      <w:r>
        <w:tab/>
      </w:r>
      <w:bookmarkStart w:id="112" w:name="SL31733"/>
      <w:r>
        <w:t xml:space="preserve">Numărul acţiunilor ordinare care pot fi emise în mod condiţionat poate depinde de rezultatele şi preţurile viitoare ale acţiunilor ordinare. În astfel de cazuri, numărul acţiunilor ordinare incluse în calcularea rezultatului pe acţiune diluat se bazează pe ambele condiţii (adică rezultatul până la zi şi preţul curent al </w:t>
      </w:r>
      <w:r>
        <w:lastRenderedPageBreak/>
        <w:t>pieţei la finalul perioadei de raportare). Acţiunile ordinare care pot fi emise în mod condiţionat nu sunt incluse în calcularea rezultatului pe acţiune diluat decât dacă ambele condiţii sunt îndeplinite.</w:t>
      </w:r>
      <w:bookmarkEnd w:id="112"/>
    </w:p>
    <w:p w:rsidR="006854C1" w:rsidRDefault="006854C1">
      <w:pPr>
        <w:pStyle w:val="IASBNormalnpara"/>
      </w:pPr>
      <w:r>
        <w:rPr>
          <w:b/>
        </w:rPr>
        <w:t>56</w:t>
      </w:r>
      <w:r>
        <w:tab/>
      </w:r>
      <w:bookmarkStart w:id="113" w:name="SL31734"/>
      <w:r>
        <w:t>În alte cazuri, numărul acţiunilor ordinare care pot fi emise în mod condiţionat depinde de o altă condiţie decât rezultatele sau preţul pieţei (de exemplu, deschiderea unui anumit număr de magazine de desfacere). În astfel de cazuri, presupunând că situaţia curentă a condiţiei rămâne nemodificată până la finalul perioadei condiţionate, acţiunile ordinare care pot fi emise în mod condiţionat sunt incluse în calcularea rezultatului pe acţiune diluat conform situaţiei de la finalul perioadei de raportare.</w:t>
      </w:r>
      <w:bookmarkEnd w:id="113"/>
    </w:p>
    <w:p w:rsidR="006854C1" w:rsidRDefault="006854C1">
      <w:pPr>
        <w:pStyle w:val="IASBNormalnpara"/>
      </w:pPr>
      <w:r>
        <w:rPr>
          <w:b/>
        </w:rPr>
        <w:t>57</w:t>
      </w:r>
      <w:r>
        <w:tab/>
      </w:r>
      <w:bookmarkStart w:id="114" w:name="SL31735"/>
      <w:r>
        <w:t xml:space="preserve">Acţiunile ordinare potenţiale care pot fi emise în mod condiţionat (în afara celor incluse într-un contract contingent privind emisiunea de acţiuni, cum ar fi instrumentele convertibile care pot fi emise în mod condiţionat) sunt incluse în calcularea rezultatului pe acţiune diluat după cum urmează: </w:t>
      </w:r>
      <w:bookmarkEnd w:id="114"/>
    </w:p>
    <w:p w:rsidR="006854C1" w:rsidRDefault="006854C1">
      <w:pPr>
        <w:pStyle w:val="IASBNormalnparaL1"/>
      </w:pPr>
      <w:r>
        <w:t>(a)</w:t>
      </w:r>
      <w:r>
        <w:tab/>
      </w:r>
      <w:bookmarkStart w:id="115" w:name="SL148180"/>
      <w:r>
        <w:t>o entitate determină dacă se poate presupune că acţiunile ordinare potenţiale vor fi emise pe baza condiţiilor specificate pentru emisiunea lor în conformitate cu prevederile privind acţiunile ordinare contingente de la punctele 52-56; și</w:t>
      </w:r>
      <w:bookmarkEnd w:id="115"/>
    </w:p>
    <w:p w:rsidR="006854C1" w:rsidRDefault="006854C1">
      <w:pPr>
        <w:pStyle w:val="IASBNormalnparaL1"/>
      </w:pPr>
      <w:r>
        <w:t>(b)</w:t>
      </w:r>
      <w:r>
        <w:tab/>
      </w:r>
      <w:bookmarkStart w:id="116" w:name="SL148182"/>
      <w:r>
        <w:t>dacă respectivele acţiuni ordinare potenţiale trebuie să se reflecte în rezultatul pe acţiune diluat, o entitate determină impactul acestora asupra calculului rezultatului pe acţiune diluat prin respectarea prevederilor privind opţiunile şi warantele de la punctele 45-48, a prevederilor privind instrumentele convertibile de la punctele 49-51, a prevederilor privind contractele care pot fi decontate în acţiuni ordinare sau în numerar de la punctele 58-61, sau a altor prevederi, după caz.</w:t>
      </w:r>
      <w:bookmarkEnd w:id="116"/>
    </w:p>
    <w:p w:rsidR="006854C1" w:rsidRDefault="006854C1">
      <w:pPr>
        <w:pStyle w:val="IASBNormalnparaP"/>
      </w:pPr>
      <w:bookmarkStart w:id="117" w:name="SL148183"/>
      <w:r>
        <w:t>Cu toate acestea, nu se presupune exercitarea sau conversia în sensul calculării rezultatului pe acţiune diluat decât dacă se presupune exercitarea sau conversia unor acţiuni ordinare potenţiale în circulaţie similare care nu sunt emise în mod condiţionat.</w:t>
      </w:r>
      <w:bookmarkEnd w:id="117"/>
    </w:p>
    <w:p w:rsidR="006854C1" w:rsidRDefault="006854C1">
      <w:pPr>
        <w:pStyle w:val="IASBSectionTitle4Ind"/>
      </w:pPr>
      <w:bookmarkStart w:id="118" w:name="SL148184"/>
      <w:r>
        <w:t>Contracte care pot fi decontate în acţiuni ordinare sau în numerar</w:t>
      </w:r>
      <w:bookmarkEnd w:id="118"/>
    </w:p>
    <w:p w:rsidR="006854C1" w:rsidRDefault="006854C1">
      <w:pPr>
        <w:pStyle w:val="IASBNormalnpara"/>
        <w:rPr>
          <w:b/>
        </w:rPr>
      </w:pPr>
      <w:r>
        <w:t>58</w:t>
      </w:r>
      <w:bookmarkStart w:id="119" w:name="SL31736"/>
      <w:r w:rsidR="00F6014D">
        <w:tab/>
      </w:r>
      <w:r>
        <w:rPr>
          <w:b/>
        </w:rPr>
        <w:t>Atunci când o entitate a emis un contract care poate fi decontat în acţiuni ordinare sau în numerar, la alegerea entităţii, entitatea trebuie să presupună că acel contract va fi decontat în acţiuni ordinare şi că acţiunile ordinare potenţiale care rezultă trebuie incluse în rezultatul pe acţiune diluat atunci când efectul este de diluare.</w:t>
      </w:r>
      <w:bookmarkEnd w:id="119"/>
    </w:p>
    <w:p w:rsidR="006854C1" w:rsidRDefault="006854C1">
      <w:pPr>
        <w:pStyle w:val="IASBNormalnpara"/>
      </w:pPr>
      <w:r>
        <w:rPr>
          <w:b/>
        </w:rPr>
        <w:t>59</w:t>
      </w:r>
      <w:r>
        <w:tab/>
      </w:r>
      <w:bookmarkStart w:id="120" w:name="SL31737"/>
      <w:r>
        <w:t>Atunci când un astfel de contract este prezentat în scopuri contabile ca activ sau datorie, sau dacă include un element de capital propriu şi unul de datorie, entitatea trebuie să ajusteze numărătorul cu toate modificările profitului sau pierderii care ar fi rezultat pe perioada respectivă dacă acel contract ar fi fost clasificat în totalitate ca instrument de capitaluri proprii. Această ajustare este similară ajustărilor prevăzute la punctul 33.</w:t>
      </w:r>
      <w:bookmarkEnd w:id="120"/>
    </w:p>
    <w:p w:rsidR="006854C1" w:rsidRDefault="006854C1">
      <w:pPr>
        <w:pStyle w:val="IASBNormalnpara"/>
        <w:rPr>
          <w:b/>
        </w:rPr>
      </w:pPr>
      <w:r>
        <w:t>60</w:t>
      </w:r>
      <w:bookmarkStart w:id="121" w:name="SL31738"/>
      <w:r w:rsidR="00F6014D">
        <w:tab/>
      </w:r>
      <w:r>
        <w:rPr>
          <w:b/>
        </w:rPr>
        <w:t>În cazul contractelor care pot fi decontate în acţiuni ordinare sau în numerar, la alegerea deţinătorului, în calcularea rezultatului pe acţiune diluat trebuie utilizată cea mai diluată dintre decontarea în numerar şi decontarea în acţiuni.</w:t>
      </w:r>
      <w:bookmarkEnd w:id="121"/>
    </w:p>
    <w:p w:rsidR="006854C1" w:rsidRDefault="006854C1">
      <w:pPr>
        <w:pStyle w:val="IASBNormalnpara"/>
      </w:pPr>
      <w:r>
        <w:rPr>
          <w:b/>
        </w:rPr>
        <w:t>61</w:t>
      </w:r>
      <w:r>
        <w:tab/>
      </w:r>
      <w:bookmarkStart w:id="122" w:name="SL31739"/>
      <w:r>
        <w:t>Un exemplu de contract care poate fi decontat în acţiuni ordinare sau în numerar este un instrument de datorie care, la scadenţă, îi conferă entităţii dreptul nerestricţionat de a deconta valoarea principalului în numerar sau în propriile acţiuni ordinare. Un alt exemplu este o opţiune de put emisă care îi dă deţinătorului posibilitatea de a alege între decontarea în acţiuni ordinare sau în numerar.</w:t>
      </w:r>
      <w:bookmarkEnd w:id="122"/>
    </w:p>
    <w:p w:rsidR="006854C1" w:rsidRDefault="006854C1">
      <w:pPr>
        <w:pStyle w:val="IASBSectionTitle4Ind"/>
      </w:pPr>
      <w:bookmarkStart w:id="123" w:name="SL148185"/>
      <w:r>
        <w:t>Opţiuni cumpărate</w:t>
      </w:r>
      <w:bookmarkEnd w:id="123"/>
    </w:p>
    <w:p w:rsidR="006854C1" w:rsidRDefault="006854C1">
      <w:pPr>
        <w:pStyle w:val="IASBNormalnpara"/>
      </w:pPr>
      <w:r>
        <w:rPr>
          <w:b/>
        </w:rPr>
        <w:t>62</w:t>
      </w:r>
      <w:r>
        <w:tab/>
      </w:r>
      <w:bookmarkStart w:id="124" w:name="SL31740"/>
      <w:r>
        <w:t>Contractele precum opţiunile put şi call cumpărate (adică opţiunile deţinute de o entitate pe propriile acţiuni ordinare) nu sunt incluse în calcularea rezultatului pe acţiune diluat, deoarece includerea lor ar fi antidiluantă. Opţiunea put ar fi exercitată doar dacă preţul exerciţiului ar fi mai mare decât preţul pieţei, iar opţiunea call ar fi exercitată doar dacă preţul exerciţiului ar fi mai mic decât preţul pieţei.</w:t>
      </w:r>
      <w:bookmarkEnd w:id="124"/>
    </w:p>
    <w:p w:rsidR="006854C1" w:rsidRDefault="006854C1">
      <w:pPr>
        <w:pStyle w:val="IASBSectionTitle4Ind"/>
      </w:pPr>
      <w:bookmarkStart w:id="125" w:name="SL148186"/>
      <w:r>
        <w:t>Opţiuni put emise</w:t>
      </w:r>
      <w:bookmarkEnd w:id="125"/>
    </w:p>
    <w:p w:rsidR="006854C1" w:rsidRDefault="006854C1">
      <w:pPr>
        <w:pStyle w:val="IASBNormalnpara"/>
        <w:rPr>
          <w:b/>
        </w:rPr>
      </w:pPr>
      <w:r>
        <w:t>63</w:t>
      </w:r>
      <w:bookmarkStart w:id="126" w:name="SL31741"/>
      <w:r w:rsidR="00F6014D">
        <w:tab/>
      </w:r>
      <w:r>
        <w:rPr>
          <w:b/>
        </w:rPr>
        <w:t xml:space="preserve">Contractele care impun entităţii să îşi răscumpere propriile acţiuni, de exemplu, opţiunile put emise şi contractele de cumpărare forward, sunt reflectate în calcularea rezultatului pe acţiune diluat dacă efectul este de diluare. Dacă aceste contracte sunt „în bani” („in the money”) pe parcursul perioadei (adică preţul de exercitare sau preţul de decontare este mai mare decât preţul mediu al pieţei pentru acea perioadă), efectul de diluare potenţial asupra rezultatului pe acţiune trebuie calculat după cum urmează: </w:t>
      </w:r>
      <w:bookmarkEnd w:id="126"/>
    </w:p>
    <w:p w:rsidR="006854C1" w:rsidRDefault="006854C1">
      <w:pPr>
        <w:pStyle w:val="IASBNormalnparaL1"/>
      </w:pPr>
      <w:r>
        <w:rPr>
          <w:b/>
        </w:rPr>
        <w:lastRenderedPageBreak/>
        <w:t>(a)</w:t>
      </w:r>
      <w:bookmarkStart w:id="127" w:name="SL148189"/>
      <w:r w:rsidR="00F6014D">
        <w:rPr>
          <w:b/>
        </w:rPr>
        <w:tab/>
      </w:r>
      <w:r>
        <w:rPr>
          <w:b/>
        </w:rPr>
        <w:t>trebuie să se presupună că la începutul perioadei se vor emite suficiente acţiuni ordinare (la preţul mediu al pieţei pentru perioada respectivă) pentru a se majora încasările în vederea îndeplinirii clauzelor contractului;</w:t>
      </w:r>
      <w:bookmarkEnd w:id="127"/>
    </w:p>
    <w:p w:rsidR="006854C1" w:rsidRDefault="006854C1">
      <w:pPr>
        <w:pStyle w:val="IASBNormalnparaL1"/>
      </w:pPr>
      <w:r>
        <w:rPr>
          <w:b/>
        </w:rPr>
        <w:t>(b)</w:t>
      </w:r>
      <w:bookmarkStart w:id="128" w:name="SL148191"/>
      <w:r w:rsidR="00F6014D">
        <w:rPr>
          <w:b/>
        </w:rPr>
        <w:tab/>
      </w:r>
      <w:r>
        <w:rPr>
          <w:b/>
        </w:rPr>
        <w:t>trebuie să se presupună că încasările în urma emisiunii sunt utilizate în vederea îndeplinirii clauzelor contractului (adică pentru răscumpărarea acţiunilor ordinare); și</w:t>
      </w:r>
      <w:bookmarkEnd w:id="128"/>
    </w:p>
    <w:p w:rsidR="006854C1" w:rsidRDefault="006854C1">
      <w:pPr>
        <w:pStyle w:val="IASBNormalnparaL1"/>
      </w:pPr>
      <w:r>
        <w:rPr>
          <w:b/>
        </w:rPr>
        <w:t>(c)</w:t>
      </w:r>
      <w:bookmarkStart w:id="129" w:name="SL148193"/>
      <w:r w:rsidR="00F6014D">
        <w:rPr>
          <w:b/>
        </w:rPr>
        <w:tab/>
      </w:r>
      <w:r>
        <w:rPr>
          <w:b/>
        </w:rPr>
        <w:t>acţiunile ordinare incrementale (diferenţa dintre numărul de acţiuni ordinare despre care se presupune că sunt emise şi numărul de acţiuni ordinare primite în urma îndeplinirii clauzelor contractului) trebuie incluse în calcularea rezultatului pe acţiune diluat.</w:t>
      </w:r>
      <w:bookmarkEnd w:id="129"/>
    </w:p>
    <w:p w:rsidR="006854C1" w:rsidRDefault="006854C1">
      <w:pPr>
        <w:pStyle w:val="IASBSectionTitle1NonInd"/>
      </w:pPr>
      <w:bookmarkStart w:id="130" w:name="SL148194"/>
      <w:r>
        <w:t>Ajustări retroactive</w:t>
      </w:r>
      <w:bookmarkEnd w:id="130"/>
    </w:p>
    <w:p w:rsidR="006854C1" w:rsidRDefault="006854C1">
      <w:pPr>
        <w:pStyle w:val="IASBNormalnpara"/>
        <w:rPr>
          <w:b/>
        </w:rPr>
      </w:pPr>
      <w:r>
        <w:t>64</w:t>
      </w:r>
      <w:bookmarkStart w:id="131" w:name="SL31742"/>
      <w:r w:rsidR="00F6014D">
        <w:tab/>
      </w:r>
      <w:r>
        <w:rPr>
          <w:b/>
        </w:rPr>
        <w:t xml:space="preserve">Dacă numărul de acţiuni ordinare sau ordinare potenţiale în circulaţie creşte ca urmare a unei capitalizări, a unei emisiuni de acţiuni gratuite sau a unei divizări a acţiunilor, sau dacă acest număr scade ca urmare a unei divizări inverse de acţiuni, calcularea rezultatului pe acţiune de bază şi a rezultatului pe acţiune diluat aferente tuturor perioadelor prezentate trebuie ajustată retroactiv. Dacă aceste modificări survin după perioada de raportare, dar înainte ca situaţiile financiare să fie aprobate în vederea publicării, calcularea valorilor pe acţiune corespunzătoare acestor situaţii financiare, ca şi a celor din situaţiile financiare anterioare, trebuie să aibă la bază noul număr de acţiuni. Trebuie prezentat faptul că acest calcul pe acţiune reflectă aceste modificări ale numărului de acţiuni. În plus, rezultatul pe acţiune de bază şi cel diluat aferente tuturor perioadelor prezentate trebuie ajustate cu efectele erorilor şi ale ajustărilor determinate de modificările politicilor contabile contabilizate retroactiv. </w:t>
      </w:r>
      <w:bookmarkEnd w:id="131"/>
    </w:p>
    <w:p w:rsidR="006854C1" w:rsidRDefault="006854C1">
      <w:pPr>
        <w:pStyle w:val="IASBNormalnpara"/>
      </w:pPr>
      <w:r>
        <w:rPr>
          <w:b/>
        </w:rPr>
        <w:t>65</w:t>
      </w:r>
      <w:r>
        <w:tab/>
      </w:r>
      <w:bookmarkStart w:id="132" w:name="SL31743"/>
      <w:r>
        <w:t>O entitate nu îşi retratează rezultatul pe acţiune diluat pentru nicio perioadă prezentată anterior pentru modificările ipotezelor utilizate în calcularea rezultatului pe acţiune sau pentru conversia acţiunilor ordinare potenţiale în acţiuni ordinare.</w:t>
      </w:r>
      <w:bookmarkEnd w:id="132"/>
    </w:p>
    <w:p w:rsidR="006854C1" w:rsidRDefault="006854C1">
      <w:pPr>
        <w:pStyle w:val="IASBSectionTitle1NonInd"/>
      </w:pPr>
      <w:bookmarkStart w:id="133" w:name="SL148195"/>
      <w:r>
        <w:t>Prezentare</w:t>
      </w:r>
      <w:bookmarkEnd w:id="133"/>
    </w:p>
    <w:p w:rsidR="006854C1" w:rsidRDefault="006854C1">
      <w:pPr>
        <w:pStyle w:val="IASBNormalnpara"/>
        <w:rPr>
          <w:b/>
        </w:rPr>
      </w:pPr>
      <w:r>
        <w:t>66</w:t>
      </w:r>
      <w:bookmarkStart w:id="134" w:name="SL31744"/>
      <w:r w:rsidR="00F6014D">
        <w:tab/>
      </w:r>
      <w:r>
        <w:rPr>
          <w:b/>
        </w:rPr>
        <w:t>O entitate trebuie să prezinte în situaţia rezultatului global rezultatul pe acţiune de bază şi diluat pentru profitul sau pierderea care derivă din activităţile continue atribuibil(ă) acţionarilor ordinari ai societăţii-mamă şi pentru profitul sau pierderea atribuibil(ă) acţionarilor ordinari ai societăţii-mamă pentru perioada respectivă, pentru fiecare clasă de acţiuni ordinare care are drepturi la cote-părţi diferite din profitul pe perioada respectivă. O entitate trebuie să prezinte rezultatul pe acţiune de bază şi rezultatul pe acţiune diluat aferente tuturor perioadelor acordându-le o importanţă similară.</w:t>
      </w:r>
      <w:bookmarkEnd w:id="134"/>
    </w:p>
    <w:p w:rsidR="006854C1" w:rsidRDefault="006854C1">
      <w:pPr>
        <w:pStyle w:val="IASBNormalnpara"/>
      </w:pPr>
      <w:r>
        <w:rPr>
          <w:b/>
        </w:rPr>
        <w:t>67</w:t>
      </w:r>
      <w:r>
        <w:tab/>
      </w:r>
      <w:bookmarkStart w:id="135" w:name="SL31745"/>
      <w:r>
        <w:t>Rezultatul pe acţiune este prezentat pentru fiecare perioadă pentru care este prezentată o situaţie a rezultatului global. Dacă rezultatul pe acţiune diluat este raportat pentru cel puţin o perioadă, acesta trebuie raportat pentru toate perioadele prezentate, chiar dacă este egal cu rezultatul pe acţiune de bază. Dacă rezultatul pe acţiune de bază şi cel diluat sunt egale, dubla prezentare poate fi realizată pe un singur rând al situaţiei rezultatului global.</w:t>
      </w:r>
      <w:bookmarkEnd w:id="135"/>
    </w:p>
    <w:p w:rsidR="006854C1" w:rsidRDefault="006854C1">
      <w:pPr>
        <w:pStyle w:val="IASBNormalnpara"/>
      </w:pPr>
      <w:r>
        <w:t>67A</w:t>
      </w:r>
      <w:r>
        <w:tab/>
      </w:r>
      <w:bookmarkStart w:id="136" w:name="F4421892"/>
      <w:r>
        <w:t>Dacă o entitate prezintă elementele de profit sau pierdere într-o situaţie individuală a veniturilor şi cheltuielilor, după cum este prevăzut la punctul 10A din IAS 1 (modificat în 2011), atunci ea prezintă rezultatul pe acţiune doar în această situaţie individuală, după cum este prevăzut la punctele 66 şi 67.</w:t>
      </w:r>
      <w:bookmarkEnd w:id="136"/>
    </w:p>
    <w:p w:rsidR="006854C1" w:rsidRDefault="006854C1">
      <w:pPr>
        <w:pStyle w:val="IASBNormalnpara"/>
        <w:rPr>
          <w:b/>
        </w:rPr>
      </w:pPr>
      <w:r>
        <w:t>68</w:t>
      </w:r>
      <w:bookmarkStart w:id="137" w:name="SL31746"/>
      <w:r w:rsidR="00F6014D">
        <w:tab/>
      </w:r>
      <w:r>
        <w:rPr>
          <w:b/>
        </w:rPr>
        <w:t>O entitate care raportează o activitate întreruptă trebuie să prezinte valoarea pe acţiune de bază și valoarea pe acțiune diluată pentru activităţile întrerupte fie în situaţia rezultatului global, fie în note.</w:t>
      </w:r>
      <w:bookmarkEnd w:id="137"/>
    </w:p>
    <w:p w:rsidR="006854C1" w:rsidRDefault="006854C1">
      <w:pPr>
        <w:pStyle w:val="IASBNormalnpara"/>
      </w:pPr>
      <w:r>
        <w:t>68A</w:t>
      </w:r>
      <w:r>
        <w:tab/>
      </w:r>
      <w:bookmarkStart w:id="138" w:name="F4497041"/>
      <w:r>
        <w:t>Dacă o entitate prezintă elementele de profit sau pierdere într-o situaţie individuală a veniturilor şi cheltuielilor, după cum este prevăzut la punctul 10A din IAS 1 (modificat în 2011), atunci aceasta prezintă rezultatul pe acţiune de bază şi rezultatul pe acţiune diluat pentru activitatea întreruptă fie în această situaţie individuală, fie în note, după cum este prevăzut la punctul 68.</w:t>
      </w:r>
      <w:bookmarkEnd w:id="138"/>
    </w:p>
    <w:p w:rsidR="006854C1" w:rsidRDefault="006854C1">
      <w:pPr>
        <w:pStyle w:val="IASBNormalnpara"/>
        <w:rPr>
          <w:b/>
        </w:rPr>
      </w:pPr>
      <w:r>
        <w:t>69</w:t>
      </w:r>
      <w:bookmarkStart w:id="139" w:name="SL31747"/>
      <w:r w:rsidR="00F6014D">
        <w:tab/>
      </w:r>
      <w:r>
        <w:rPr>
          <w:b/>
        </w:rPr>
        <w:t>O entitate trebuie să prezinte rezultatul pe acţiune de bază şi rezultatul pe acţiune diluat chiar dacă valorile sunt negative (adică dacă există o pierdere pe acţiune).</w:t>
      </w:r>
      <w:bookmarkEnd w:id="139"/>
    </w:p>
    <w:p w:rsidR="006854C1" w:rsidRDefault="006854C1">
      <w:pPr>
        <w:pStyle w:val="IASBSectionTitle1NonInd"/>
      </w:pPr>
      <w:bookmarkStart w:id="140" w:name="SL148196"/>
      <w:r>
        <w:t>Prezentarea informaţiilor</w:t>
      </w:r>
      <w:bookmarkEnd w:id="140"/>
    </w:p>
    <w:p w:rsidR="006854C1" w:rsidRDefault="006854C1">
      <w:pPr>
        <w:pStyle w:val="IASBNormalnpara"/>
        <w:rPr>
          <w:b/>
        </w:rPr>
      </w:pPr>
      <w:r>
        <w:t>70</w:t>
      </w:r>
      <w:bookmarkStart w:id="141" w:name="SL31748"/>
      <w:r w:rsidR="00F6014D">
        <w:tab/>
      </w:r>
      <w:r>
        <w:rPr>
          <w:b/>
        </w:rPr>
        <w:t xml:space="preserve">O entitate trebuie să prezinte următoarele informaţii: </w:t>
      </w:r>
      <w:bookmarkEnd w:id="141"/>
    </w:p>
    <w:p w:rsidR="006854C1" w:rsidRDefault="006854C1">
      <w:pPr>
        <w:pStyle w:val="IASBNormalnparaL1"/>
      </w:pPr>
      <w:r>
        <w:rPr>
          <w:b/>
        </w:rPr>
        <w:lastRenderedPageBreak/>
        <w:t>(a)</w:t>
      </w:r>
      <w:bookmarkStart w:id="142" w:name="SL148199"/>
      <w:r w:rsidR="00F6014D">
        <w:rPr>
          <w:b/>
        </w:rPr>
        <w:tab/>
      </w:r>
      <w:r>
        <w:rPr>
          <w:b/>
        </w:rPr>
        <w:t>sumele utilizate ca numărător pentru calcularea rezultatului pe acţiune de bază şi a celui diluat, precum şi o reconciliere a acestor valori cu profitul sau pierderea atribuibil(ă) societăţii-mamă pentru perioada respectivă. Reconcilierea trebuie să conţină efectele individuale ale fiecărei clase de instrumente care afectează rezultatul pe acţiune.</w:t>
      </w:r>
      <w:bookmarkEnd w:id="142"/>
    </w:p>
    <w:p w:rsidR="006854C1" w:rsidRDefault="006854C1">
      <w:pPr>
        <w:pStyle w:val="IASBNormalnparaL1"/>
      </w:pPr>
      <w:r>
        <w:rPr>
          <w:b/>
        </w:rPr>
        <w:t>(b)</w:t>
      </w:r>
      <w:bookmarkStart w:id="143" w:name="SL148201"/>
      <w:r w:rsidR="00F6014D">
        <w:rPr>
          <w:b/>
        </w:rPr>
        <w:tab/>
      </w:r>
      <w:r>
        <w:rPr>
          <w:b/>
        </w:rPr>
        <w:t>media ponderată a numărului de acţiuni ordinare utilizat ca numitor pentru calcularea rezultatului pe acţiune de bază şi a celui diluat, precum şi o reconciliere a acestor numitori. Reconcilierea trebuie să conţină efectele individuale ale fiecărei clase de instrumente care afectează rezultatul pe acţiune.</w:t>
      </w:r>
      <w:bookmarkEnd w:id="143"/>
    </w:p>
    <w:p w:rsidR="006854C1" w:rsidRDefault="006854C1">
      <w:pPr>
        <w:pStyle w:val="IASBNormalnparaL1"/>
      </w:pPr>
      <w:r>
        <w:rPr>
          <w:b/>
        </w:rPr>
        <w:t>(c)</w:t>
      </w:r>
      <w:bookmarkStart w:id="144" w:name="SL148203"/>
      <w:r w:rsidR="00F6014D">
        <w:rPr>
          <w:b/>
        </w:rPr>
        <w:tab/>
      </w:r>
      <w:r>
        <w:rPr>
          <w:b/>
        </w:rPr>
        <w:t>instrumentele (inclusiv acţiunile care pot fi emise în mod condiţionat) care ar putea să dilueze în viitor rezultatul pe acţiune diluat, dar care nu au fost incluse în calcularea rezultatului pe acţiune diluat deoarece sunt antidiluante pentru perioada (perioadele) prezentată(e).</w:t>
      </w:r>
      <w:bookmarkEnd w:id="144"/>
    </w:p>
    <w:p w:rsidR="006854C1" w:rsidRDefault="006854C1">
      <w:pPr>
        <w:pStyle w:val="IASBNormalnparaL1"/>
      </w:pPr>
      <w:r>
        <w:rPr>
          <w:b/>
        </w:rPr>
        <w:t>(d)</w:t>
      </w:r>
      <w:bookmarkStart w:id="145" w:name="SL148205"/>
      <w:r w:rsidR="00F6014D">
        <w:rPr>
          <w:b/>
        </w:rPr>
        <w:tab/>
      </w:r>
      <w:r>
        <w:rPr>
          <w:b/>
        </w:rPr>
        <w:t>o descriere a tranzacţiilor cu acţiuni ordinare sau a tranzacţiilor cu acţiuni ordinare potenţiale, în afara celor contabilizate în conformitate cu punctul 64, care au loc după perioada de raportare şi care ar fi modificat în mod semnificativ numărul acţiunilor ordinare sau al acţiunilor ordinare potenţiale în circulaţie la încheierea perioadei dacă acele tranzacţii ar fi avut loc înainte de finalul perioadei de raportare.</w:t>
      </w:r>
      <w:bookmarkEnd w:id="145"/>
    </w:p>
    <w:p w:rsidR="006854C1" w:rsidRDefault="006854C1">
      <w:pPr>
        <w:pStyle w:val="IASBNormalnpara"/>
      </w:pPr>
      <w:r>
        <w:rPr>
          <w:b/>
        </w:rPr>
        <w:t>71</w:t>
      </w:r>
      <w:r>
        <w:tab/>
      </w:r>
      <w:bookmarkStart w:id="146" w:name="SL31749"/>
      <w:r>
        <w:t xml:space="preserve">Exemplele de tranzacţii menţionate la punctul 70 litera (d) includ: </w:t>
      </w:r>
      <w:bookmarkEnd w:id="146"/>
    </w:p>
    <w:p w:rsidR="006854C1" w:rsidRDefault="006854C1">
      <w:pPr>
        <w:pStyle w:val="IASBNormalnparaL1"/>
      </w:pPr>
      <w:r>
        <w:t>(a)</w:t>
      </w:r>
      <w:r>
        <w:tab/>
      </w:r>
      <w:bookmarkStart w:id="147" w:name="SL148208"/>
      <w:r>
        <w:t>o emisiune de acţiuni contra numerar;</w:t>
      </w:r>
      <w:bookmarkEnd w:id="147"/>
    </w:p>
    <w:p w:rsidR="006854C1" w:rsidRDefault="006854C1">
      <w:pPr>
        <w:pStyle w:val="IASBNormalnparaL1"/>
      </w:pPr>
      <w:r>
        <w:t>(b)</w:t>
      </w:r>
      <w:r>
        <w:tab/>
      </w:r>
      <w:bookmarkStart w:id="148" w:name="SL148210"/>
      <w:r>
        <w:t>o emisiune de acţiuni atunci când încasările sunt utilizate pentru a rambursa o datorie sau acţiunile preferenţiale în circulaţie la finalul perioadei de raportare;</w:t>
      </w:r>
      <w:bookmarkEnd w:id="148"/>
    </w:p>
    <w:p w:rsidR="006854C1" w:rsidRDefault="006854C1">
      <w:pPr>
        <w:pStyle w:val="IASBNormalnparaL1"/>
      </w:pPr>
      <w:r>
        <w:t>(c)</w:t>
      </w:r>
      <w:r>
        <w:tab/>
      </w:r>
      <w:bookmarkStart w:id="149" w:name="SL148212"/>
      <w:r>
        <w:t>o răscumpărare a acţiunilor ordinare în circulaţie;</w:t>
      </w:r>
      <w:bookmarkEnd w:id="149"/>
    </w:p>
    <w:p w:rsidR="006854C1" w:rsidRDefault="006854C1">
      <w:pPr>
        <w:pStyle w:val="IASBNormalnparaL1"/>
      </w:pPr>
      <w:r>
        <w:t>(d)</w:t>
      </w:r>
      <w:r>
        <w:tab/>
      </w:r>
      <w:bookmarkStart w:id="150" w:name="SL148214"/>
      <w:r>
        <w:t>conversia sau exercitarea acţiunilor ordinare potenţiale în acţiuni ordinare la finalul perioadei de raportare;</w:t>
      </w:r>
      <w:bookmarkEnd w:id="150"/>
    </w:p>
    <w:p w:rsidR="006854C1" w:rsidRDefault="006854C1">
      <w:pPr>
        <w:pStyle w:val="IASBNormalnparaL1"/>
      </w:pPr>
      <w:r>
        <w:t>(e)</w:t>
      </w:r>
      <w:r>
        <w:tab/>
      </w:r>
      <w:bookmarkStart w:id="151" w:name="SL148216"/>
      <w:r>
        <w:t>o emisiune de opţiuni, warante sau alte instrumente convertibile; și</w:t>
      </w:r>
      <w:bookmarkEnd w:id="151"/>
    </w:p>
    <w:p w:rsidR="006854C1" w:rsidRDefault="006854C1">
      <w:pPr>
        <w:pStyle w:val="IASBNormalnparaL1"/>
      </w:pPr>
      <w:r>
        <w:t>(f)</w:t>
      </w:r>
      <w:r>
        <w:tab/>
      </w:r>
      <w:bookmarkStart w:id="152" w:name="SL148218"/>
      <w:r>
        <w:t>îndeplinirea condiţiilor care ar avea drept rezultat emisiunea de acţiuni care pot fi emise în mod condiţionat.</w:t>
      </w:r>
      <w:bookmarkEnd w:id="152"/>
    </w:p>
    <w:p w:rsidR="006854C1" w:rsidRDefault="006854C1">
      <w:pPr>
        <w:pStyle w:val="IASBNormalnparaP"/>
      </w:pPr>
      <w:bookmarkStart w:id="153" w:name="SL148219"/>
      <w:r>
        <w:t>Valorile rezultatului pe acţiune nu sunt ajustate pentru tranzacţiile care au loc după perioada de raportare deoarece astfel de tranzacţii nu afectează valoarea capitalului utilizat la generarea profitului sau pierderii pentru perioada respectivă.</w:t>
      </w:r>
      <w:bookmarkEnd w:id="153"/>
    </w:p>
    <w:p w:rsidR="006854C1" w:rsidRDefault="006854C1">
      <w:pPr>
        <w:pStyle w:val="IASBNormalnpara"/>
      </w:pPr>
      <w:r>
        <w:rPr>
          <w:b/>
        </w:rPr>
        <w:t>72</w:t>
      </w:r>
      <w:r>
        <w:tab/>
      </w:r>
      <w:bookmarkStart w:id="154" w:name="SL31750"/>
      <w:r>
        <w:t xml:space="preserve">Instrumentele financiare şi alte contracte care generează acţiuni ordinare potenţiale pot include clauze şi condiţii care influenţează evaluarea rezultatului pe acţiune de bază şi diluat. Aceste clauze şi condiţii pot stabili dacă toate acţiunile ordinare potenţiale sunt diluante şi, dacă da, care este efectul lor asupra mediei ponderate a acţiunilor în circulaţie şi orice ajustări ulterioare ale profitului sau pierderii de atribuit acţionarilor ordinari. Prezentarea termenelor şi condiţiilor pentru astfel de instrumente financiare şi alte contracte este încurajată, în cazul în care nu se prevede altfel (a se vedea IFRS 7 </w:t>
      </w:r>
      <w:r>
        <w:rPr>
          <w:i/>
        </w:rPr>
        <w:t>Instrumente financiare: informaţii de furnizat).</w:t>
      </w:r>
      <w:bookmarkEnd w:id="154"/>
    </w:p>
    <w:p w:rsidR="006854C1" w:rsidRDefault="006854C1">
      <w:pPr>
        <w:pStyle w:val="IASBNormalnpara"/>
        <w:rPr>
          <w:b/>
        </w:rPr>
      </w:pPr>
      <w:r>
        <w:t>73</w:t>
      </w:r>
      <w:bookmarkStart w:id="155" w:name="SL31751"/>
      <w:r w:rsidR="00F6014D">
        <w:tab/>
      </w:r>
      <w:r>
        <w:rPr>
          <w:b/>
        </w:rPr>
        <w:t>Dacă o entitate prezintă, pe lângă rezultatul pe acţiune de bază şi cel diluat, valori pe acţiune utilizând o altă componentă raportată a situaţiei rezultatului global decât cea impusă de prezentul standard, aceste valori se calculează utilizând media ponderată a numărului de acţiuni ordinare determinat în conformitate cu prezentul standard. Valorile rezultatului pe acţiune de bază şi rezultatului pe acţiune diluat aferente unei astfel de componente trebuie prezentate cu importanţă egală, în cadrul notelor. O entitate trebuie să indice baza determinării numărătorului (numărătorilor), inclusiv măsura în care valorile pe acţiuni sunt determinate înainte de impozitare sau după. Dacă se utilizează o componentă a situaţiei rezultatului global care nu este prezentată ca element-rând în situaţia rezultatului global, reconcilierea trebuie să fie făcută între componenta utilizată şi un element-rând raportat în situaţia rezultatului global.</w:t>
      </w:r>
      <w:bookmarkEnd w:id="155"/>
    </w:p>
    <w:p w:rsidR="006854C1" w:rsidRDefault="006854C1">
      <w:pPr>
        <w:pStyle w:val="IASBNormalnpara"/>
        <w:rPr>
          <w:b/>
        </w:rPr>
      </w:pPr>
      <w:r>
        <w:rPr>
          <w:b/>
        </w:rPr>
        <w:t>73A</w:t>
      </w:r>
      <w:bookmarkStart w:id="156" w:name="F4421893"/>
      <w:r w:rsidR="00F6014D">
        <w:rPr>
          <w:b/>
        </w:rPr>
        <w:tab/>
      </w:r>
      <w:r>
        <w:rPr>
          <w:b/>
        </w:rPr>
        <w:t>Punctul 73 se aplică, de asemenea, unei entităţi care prezintă, pe lângă rezultatul pe acţiune de bază şi rezultatul pe acţiune diluat, valorile pe acţiune utilizând un element raportat de profit sau pierdere, altul decât cel prevăzut de prezentul standard.</w:t>
      </w:r>
      <w:bookmarkEnd w:id="156"/>
    </w:p>
    <w:p w:rsidR="006854C1" w:rsidRDefault="006854C1">
      <w:pPr>
        <w:pStyle w:val="IASBSectionTitle1NonInd"/>
      </w:pPr>
      <w:bookmarkStart w:id="157" w:name="SL148220"/>
      <w:r>
        <w:t>Data intrării în vigoare</w:t>
      </w:r>
      <w:bookmarkEnd w:id="157"/>
    </w:p>
    <w:p w:rsidR="006854C1" w:rsidRDefault="006854C1">
      <w:pPr>
        <w:pStyle w:val="IASBNormalnpara"/>
      </w:pPr>
      <w:r>
        <w:rPr>
          <w:b/>
        </w:rPr>
        <w:t>74</w:t>
      </w:r>
      <w:r>
        <w:tab/>
      </w:r>
      <w:bookmarkStart w:id="158" w:name="SL31752"/>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158"/>
    </w:p>
    <w:p w:rsidR="006854C1" w:rsidRDefault="006854C1">
      <w:pPr>
        <w:pStyle w:val="IASBNormalnpara"/>
      </w:pPr>
      <w:r>
        <w:lastRenderedPageBreak/>
        <w:t>74A</w:t>
      </w:r>
      <w:r>
        <w:tab/>
      </w:r>
      <w:bookmarkStart w:id="159" w:name="F4421894"/>
      <w:r>
        <w:t>IAS 1 (revizuit în 2007) a modificat terminologia folosită în cadrul IFRS-urilor. De asemenea, au fost adăugate punctele 4A, 67A, 68A şi 73A. O entitate trebuie să aplice acele amendamente pentru perioadele anuale care încep la 1 ianuarie 2009 sau ulterior acestei date. Dacă o entitate aplică IAS 1 (revizuit în 2007) pentru o perioadă anterioară, modificările trebuie aplicate pentru acea perioadă anterioară.</w:t>
      </w:r>
      <w:bookmarkEnd w:id="159"/>
    </w:p>
    <w:p w:rsidR="006854C1" w:rsidRDefault="006854C1">
      <w:pPr>
        <w:pStyle w:val="IASBNormalnpara"/>
      </w:pPr>
      <w:r>
        <w:t>74B</w:t>
      </w:r>
      <w:r>
        <w:tab/>
      </w:r>
      <w:bookmarkStart w:id="160" w:name="F16141129"/>
      <w:r>
        <w:t xml:space="preserve">IFRS 10 și IFRS 11 </w:t>
      </w:r>
      <w:r>
        <w:rPr>
          <w:i/>
        </w:rPr>
        <w:t>Angajamente comune</w:t>
      </w:r>
      <w:r>
        <w:t>, emise în mai 2011, au modificat punctele 4, 40 și A11. O entitate trebuie să aplice modificările respective atunci când aplică IFRS 10 și IFRS 11.</w:t>
      </w:r>
      <w:bookmarkEnd w:id="160"/>
    </w:p>
    <w:p w:rsidR="006854C1" w:rsidRDefault="006854C1">
      <w:pPr>
        <w:pStyle w:val="IASBNormalnpara"/>
      </w:pPr>
      <w:r>
        <w:t>74C</w:t>
      </w:r>
      <w:r>
        <w:tab/>
      </w:r>
      <w:bookmarkStart w:id="161" w:name="F16141448"/>
      <w:r>
        <w:t>IFRS 13, emis în mai 2011, a modificat punctele 8, 47A şi A2. O entitate trebuie să aplice aceste amendamente atunci când aplică IFRS 13.</w:t>
      </w:r>
      <w:bookmarkEnd w:id="161"/>
    </w:p>
    <w:p w:rsidR="006854C1" w:rsidRDefault="006854C1">
      <w:pPr>
        <w:pStyle w:val="IASBNormalnpara"/>
      </w:pPr>
      <w:r>
        <w:t>74D</w:t>
      </w:r>
      <w:r>
        <w:tab/>
      </w:r>
      <w:bookmarkStart w:id="162" w:name="F16156232"/>
      <w:r>
        <w:t xml:space="preserve">Documentul </w:t>
      </w:r>
      <w:r>
        <w:rPr>
          <w:i/>
        </w:rPr>
        <w:t xml:space="preserve">Prezentarea altor elemente ale rezultatului global </w:t>
      </w:r>
      <w:r>
        <w:t>(Amendamente la IAS 1), emis în iunie 2011, a modificat punctele 4A, 67A, 68A și 73A. O entitate trebuie să aplice aceste amendamente atunci când aplică IAS 1 aşa cum a fost modificat în iunie 2011.</w:t>
      </w:r>
      <w:bookmarkEnd w:id="162"/>
    </w:p>
    <w:p w:rsidR="006854C1" w:rsidRDefault="006854C1">
      <w:pPr>
        <w:pStyle w:val="IASBNormalnpara"/>
      </w:pPr>
      <w:r>
        <w:t>74E</w:t>
      </w:r>
      <w:r>
        <w:tab/>
      </w:r>
      <w:bookmarkStart w:id="163" w:name="F36677079"/>
      <w:r>
        <w:t xml:space="preserve">IFRS 9 </w:t>
      </w:r>
      <w:r>
        <w:rPr>
          <w:i/>
        </w:rPr>
        <w:t>Instrumente financiare</w:t>
      </w:r>
      <w:r>
        <w:t>, emis în iulie 2014, a modificat punctul 34. O entitate trebuie să aplice amendamentul respectiv atunci când aplică IFRS 9.</w:t>
      </w:r>
      <w:bookmarkEnd w:id="163"/>
    </w:p>
    <w:p w:rsidR="006854C1" w:rsidRDefault="006854C1">
      <w:pPr>
        <w:pStyle w:val="IASBSectionTitle1NonInd"/>
      </w:pPr>
      <w:bookmarkStart w:id="164" w:name="SL148221"/>
      <w:r>
        <w:t>Retragerea altor norme</w:t>
      </w:r>
      <w:bookmarkEnd w:id="164"/>
    </w:p>
    <w:p w:rsidR="006854C1" w:rsidRDefault="006854C1">
      <w:pPr>
        <w:pStyle w:val="IASBNormalnpara"/>
      </w:pPr>
      <w:r>
        <w:rPr>
          <w:b/>
        </w:rPr>
        <w:t>75</w:t>
      </w:r>
      <w:r>
        <w:tab/>
      </w:r>
      <w:bookmarkStart w:id="165" w:name="SL31753"/>
      <w:r>
        <w:t xml:space="preserve">Prezentul standard înlocuieşte IAS 33 </w:t>
      </w:r>
      <w:r>
        <w:rPr>
          <w:i/>
        </w:rPr>
        <w:t>Rezultatul pe acţiune</w:t>
      </w:r>
      <w:r>
        <w:t xml:space="preserve"> (emis în 1997).</w:t>
      </w:r>
      <w:bookmarkEnd w:id="165"/>
    </w:p>
    <w:p w:rsidR="006854C1" w:rsidRDefault="006854C1">
      <w:pPr>
        <w:pStyle w:val="IASBNormalnpara"/>
      </w:pPr>
      <w:r>
        <w:rPr>
          <w:b/>
        </w:rPr>
        <w:t>76</w:t>
      </w:r>
      <w:r>
        <w:tab/>
      </w:r>
      <w:bookmarkStart w:id="166" w:name="SL31754"/>
      <w:r>
        <w:t xml:space="preserve">Prezentul standard înlocuieşte SIC-24 </w:t>
      </w:r>
      <w:r>
        <w:rPr>
          <w:i/>
        </w:rPr>
        <w:t>Rezultatul pe acţiune – Instrumente financiare şi alte contracte care pot fi decontate în acţiuni.</w:t>
      </w:r>
      <w:bookmarkEnd w:id="166"/>
    </w:p>
    <w:p w:rsidR="006854C1" w:rsidRDefault="006854C1">
      <w:pPr>
        <w:widowControl w:val="0"/>
        <w:autoSpaceDE w:val="0"/>
        <w:autoSpaceDN w:val="0"/>
        <w:adjustRightInd w:val="0"/>
        <w:sectPr w:rsidR="006854C1">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6854C1" w:rsidRDefault="006854C1">
      <w:pPr>
        <w:pStyle w:val="IASBSectionTitle1NonInd"/>
        <w:pBdr>
          <w:bottom w:val="none" w:sz="0" w:space="0" w:color="auto"/>
        </w:pBdr>
      </w:pPr>
      <w:bookmarkStart w:id="167" w:name="SL148223"/>
      <w:r>
        <w:lastRenderedPageBreak/>
        <w:t>Anexa A Îndrumări de aplicare</w:t>
      </w:r>
      <w:bookmarkEnd w:id="167"/>
    </w:p>
    <w:p w:rsidR="006854C1" w:rsidRDefault="006854C1">
      <w:pPr>
        <w:pStyle w:val="IASBNote"/>
      </w:pPr>
      <w:bookmarkStart w:id="168" w:name="SL72147"/>
      <w:r>
        <w:t>Prezenta anexă este parte integrantă din prezentul standard.</w:t>
      </w:r>
      <w:bookmarkEnd w:id="168"/>
    </w:p>
    <w:p w:rsidR="006854C1" w:rsidRDefault="006854C1">
      <w:pPr>
        <w:pStyle w:val="IASBSectionTitle2Ind"/>
      </w:pPr>
      <w:bookmarkStart w:id="169" w:name="F3100504"/>
      <w:r>
        <w:t>Profitul sau pierderea atribuibil(ă) societăţii-mamă</w:t>
      </w:r>
      <w:bookmarkEnd w:id="169"/>
    </w:p>
    <w:p w:rsidR="006854C1" w:rsidRDefault="006854C1">
      <w:pPr>
        <w:pStyle w:val="IASBNormalnpara"/>
      </w:pPr>
      <w:r>
        <w:t>A1</w:t>
      </w:r>
      <w:r>
        <w:tab/>
      </w:r>
      <w:bookmarkStart w:id="170" w:name="SL31755"/>
      <w:r>
        <w:t>În sensul calculării rezultatului pe acţiune în baza situaţiilor financiare consolidate, profitul sau pierderea atribuibil(ă) societăţii-mamă se referă la profitul sau pierderea entităţii consolidate după ajustarea intereselor care nu controlează.</w:t>
      </w:r>
      <w:bookmarkEnd w:id="170"/>
    </w:p>
    <w:p w:rsidR="006854C1" w:rsidRDefault="006854C1">
      <w:pPr>
        <w:pStyle w:val="IASBSectionTitle2Ind"/>
      </w:pPr>
      <w:bookmarkStart w:id="171" w:name="F3100506"/>
      <w:r>
        <w:t>Emisiuni de drepturi de subscriere</w:t>
      </w:r>
      <w:bookmarkEnd w:id="171"/>
    </w:p>
    <w:p w:rsidR="006854C1" w:rsidRDefault="006854C1">
      <w:pPr>
        <w:pStyle w:val="IASBNormalnpara"/>
      </w:pPr>
      <w:r>
        <w:t>A2</w:t>
      </w:r>
      <w:r>
        <w:tab/>
      </w:r>
      <w:bookmarkStart w:id="172" w:name="SL31756"/>
      <w:r>
        <w:t xml:space="preserve">Emisiunea de acţiuni ordinare la momentul exercitării sau conversiei de acţiuni ordinare potenţiale nu dă naştere, de obicei, unui element de prime. Aceasta se datorează faptului că acţiunile ordinare potenţiale sunt evaluate de obicei la valoarea justă, ceea ce duce la o modificare proporţională a resurselor disponibile entităţii. Totuşi, într-o emisiune de drepturi de subscriere, preţul de exercitare este adesea mai mic decât valoarea justă a acţiunilor. Din acest motiv, aşa cum s-a arătat la punctul 27 litera (b), emisiunea unor astfel de drepturi de subscriere include un element de prime. Dacă o emisiune de drepturi de subscriere este oferită tuturor acţionarilor existenţi, numărul de acţiuni ordinare care se utilizează la calcularea rezultatului pe acţiune de bază şi a rezultatului pe acţiune diluat pentru toate perioadele anterioare emisiunii de drepturi de subscriere este numărul de acţiuni ordinare în circulaţie înaintea emisiunii, înmulţit cu factorul următor: </w:t>
      </w:r>
      <w:bookmarkEnd w:id="172"/>
    </w:p>
    <w:p w:rsidR="006854C1" w:rsidRDefault="006854C1">
      <w:pPr>
        <w:pStyle w:val="IASBNormalnpara"/>
      </w:pPr>
    </w:p>
    <w:tbl>
      <w:tblPr>
        <w:tblW w:w="8328" w:type="dxa"/>
        <w:tblInd w:w="964" w:type="dxa"/>
        <w:tblLayout w:type="fixed"/>
        <w:tblCellMar>
          <w:bottom w:w="57" w:type="dxa"/>
        </w:tblCellMar>
        <w:tblLook w:val="0000" w:firstRow="0" w:lastRow="0" w:firstColumn="0" w:lastColumn="0" w:noHBand="0" w:noVBand="0"/>
      </w:tblPr>
      <w:tblGrid>
        <w:gridCol w:w="8328"/>
      </w:tblGrid>
      <w:tr w:rsidR="006854C1" w:rsidTr="00D5281D">
        <w:trPr>
          <w:cantSplit/>
          <w:trHeight w:val="463"/>
        </w:trPr>
        <w:tc>
          <w:tcPr>
            <w:tcW w:w="8328" w:type="dxa"/>
            <w:tcBorders>
              <w:bottom w:val="single" w:sz="4" w:space="0" w:color="auto"/>
            </w:tcBorders>
            <w:vAlign w:val="bottom"/>
          </w:tcPr>
          <w:p w:rsidR="006854C1" w:rsidRDefault="006854C1">
            <w:pPr>
              <w:pStyle w:val="IASBTableArial"/>
              <w:jc w:val="center"/>
            </w:pPr>
            <w:r>
              <w:t>Valoarea justă pe acţiune imediat înainte de exercitarea drepturilor</w:t>
            </w:r>
          </w:p>
        </w:tc>
      </w:tr>
      <w:tr w:rsidR="006854C1" w:rsidTr="00D5281D">
        <w:trPr>
          <w:cantSplit/>
          <w:trHeight w:val="439"/>
        </w:trPr>
        <w:tc>
          <w:tcPr>
            <w:tcW w:w="8328" w:type="dxa"/>
            <w:tcBorders>
              <w:top w:val="nil"/>
            </w:tcBorders>
          </w:tcPr>
          <w:p w:rsidR="006854C1" w:rsidRDefault="006854C1">
            <w:pPr>
              <w:pStyle w:val="IASBTableArial"/>
              <w:jc w:val="center"/>
            </w:pPr>
            <w:r>
              <w:t>Valoarea justă teoretică pe acţiune după exercitarea drepturilor</w:t>
            </w:r>
          </w:p>
        </w:tc>
      </w:tr>
    </w:tbl>
    <w:p w:rsidR="006854C1" w:rsidRDefault="006854C1">
      <w:pPr>
        <w:pStyle w:val="IASBNormalnpara"/>
      </w:pPr>
    </w:p>
    <w:p w:rsidR="006854C1" w:rsidRDefault="006854C1">
      <w:pPr>
        <w:pStyle w:val="IASBNormalnparaP"/>
      </w:pPr>
      <w:bookmarkStart w:id="173" w:name="F15651561"/>
      <w:r>
        <w:t>Valoarea justă teoretică pe acţiune după exercitarea drepturilor este calculată prin adăugarea valorii agregate de piaţă a acţiunilor imediat anterioare exercitării drepturilor la încasările din exercitarea drepturilor şi împărţind la numărul de acţiuni în circulaţie după exercitarea drepturilor. În cazul în care drepturile urmează să fie tranzacţionate public, separat de acţiunile anterioare datei exercitării, valoarea justă este evaluată la închiderea ultimei zile în care acţiunile sunt tranzacţionate împreună cu drepturile.</w:t>
      </w:r>
      <w:bookmarkEnd w:id="173"/>
    </w:p>
    <w:p w:rsidR="006854C1" w:rsidRDefault="006854C1">
      <w:pPr>
        <w:pStyle w:val="IASBSectionTitle2Ind"/>
      </w:pPr>
      <w:bookmarkStart w:id="174" w:name="F3100508"/>
      <w:r>
        <w:t>Numărul de control</w:t>
      </w:r>
      <w:bookmarkEnd w:id="174"/>
    </w:p>
    <w:p w:rsidR="006854C1" w:rsidRDefault="006854C1">
      <w:pPr>
        <w:pStyle w:val="IASBNormalnpara"/>
      </w:pPr>
      <w:r>
        <w:t>A3</w:t>
      </w:r>
      <w:r>
        <w:tab/>
      </w:r>
      <w:bookmarkStart w:id="175" w:name="SL31757"/>
      <w:r>
        <w:t>Pentru a ilustra aplicarea noţiunii de număr de control descrise la punctele 42 şi 43, se presupune că o entitate are un profit de 4.800 u.m.</w:t>
      </w:r>
      <w:r>
        <w:rPr>
          <w:rStyle w:val="FootnoteReference"/>
        </w:rPr>
        <w:footnoteReference w:id="1"/>
      </w:r>
      <w:r>
        <w:t xml:space="preserve"> din activităţi continue atribuibil societăţii-mamă, o pierdere de (7.200 u.m.) din activităţi întrerupte atribuibilă societăţii-mamă, o pierdere de (2.400 u.m.) atribuibilă societăţii-mamă şi 2.000 de acţiuni ordinare şi 400 de acţiuni ordinare potenţiale în circulaţie. Entitatea are un rezultat pe acţiune de bază de 2,40 u.m. pentru activităţi continue, (3,60 u.m.) pentru activităţi întrerupte şi (1,20 u.m.) pentru pierderi. Cele 400 de acţiuni ordinare potenţiale sunt incluse în calcularea rezultatului pe acţiune diluat, deoarece rezultatul de 2,00 u.m. pe acţiune de bază pentru activităţile continue este diluant, presupunând că nu există un impact asupra profitului sau pierderii de pe urma celor 400 de acţiuni ordinare potenţiale. Deoarece profitul din activităţile continue atribuibil societăţii-mamă este numărul de control, entitatea include, de asemenea, cele 400 de acţiuni ordinare potenţiale în calcularea altui rezultat pe acţiune de bază, chiar dacă rezultatul pe acţiune rezultant este antidiluant faţă de rezultatul pe acţiune de bază comparabil, adică pierderea pe acţiune este mai mică [(3,00 u.m.) pe acţiune pentru pierderea din activităţi întrerupte şi (1,00 u.m.) pe acţiune pentru pierdere].</w:t>
      </w:r>
      <w:bookmarkEnd w:id="175"/>
    </w:p>
    <w:p w:rsidR="006854C1" w:rsidRDefault="006854C1">
      <w:pPr>
        <w:pStyle w:val="IASBSectionTitle2Ind"/>
      </w:pPr>
      <w:bookmarkStart w:id="176" w:name="F3100510"/>
      <w:r>
        <w:t>Preţul mediu de piaţă al acţiunilor ordinare</w:t>
      </w:r>
      <w:bookmarkEnd w:id="176"/>
    </w:p>
    <w:p w:rsidR="006854C1" w:rsidRDefault="006854C1">
      <w:pPr>
        <w:pStyle w:val="IASBNormalnpara"/>
      </w:pPr>
      <w:r>
        <w:t>A4</w:t>
      </w:r>
      <w:r>
        <w:tab/>
      </w:r>
      <w:bookmarkStart w:id="177" w:name="SL31758"/>
      <w:r>
        <w:t xml:space="preserve">În scopul calculării rezultatului pe acţiune diluat, preţul mediu de piaţă al acţiunilor ordinare care se presupune că vor fi emise este calculat pe baza preţului mediu de piaţă al acţiunilor ordinare în timpul perioadei. Teoretic, orice tranzacţie de pe piaţă cu acţiunile ordinare ale unei entităţi poate fi inclusă în </w:t>
      </w:r>
      <w:r>
        <w:lastRenderedPageBreak/>
        <w:t>determinarea preţului mediu de piaţă. Din punct de vedere practic, o medie simplă săptămânală sau lunară a preţurilor este mai potrivită.</w:t>
      </w:r>
      <w:bookmarkEnd w:id="177"/>
    </w:p>
    <w:p w:rsidR="006854C1" w:rsidRDefault="006854C1">
      <w:pPr>
        <w:pStyle w:val="IASBNormalnpara"/>
      </w:pPr>
      <w:r>
        <w:t>A5</w:t>
      </w:r>
      <w:r>
        <w:tab/>
      </w:r>
      <w:bookmarkStart w:id="178" w:name="SL31759"/>
      <w:r>
        <w:t>În general, preţurile de închidere ale pieţei sunt adecvate pentru calcularea preţului mediu de piaţă. Cu toate acestea, în cazul în care preţurile au variaţii mari, sunt mai reprezentative preţurile obţinute ca o medie între valoarea maximă şi cea minimă. Metoda de calculare a preţului mediu de piaţă este utilizată consecvent atât timp cât modificarea condiţiilor nu îi afectează gradul de reprezentativitate. De exemplu, o entitate care utilizează de câţiva ani preţul de închidere al pieţei pentru calcularea preţului mediu de piaţă, în condiţii de stabilitate relativă a preţurilor, poate trece la o medie a valorii maxime şi minime a preţului dacă acesta începe să fluctueze semnificativ, iar preţurile de închidere ale pieţei nu mai sunt preţuri medii reprezentative.</w:t>
      </w:r>
      <w:bookmarkEnd w:id="178"/>
    </w:p>
    <w:p w:rsidR="006854C1" w:rsidRDefault="006854C1">
      <w:pPr>
        <w:pStyle w:val="IASBSectionTitle2Ind"/>
      </w:pPr>
      <w:bookmarkStart w:id="179" w:name="F3100512"/>
      <w:r>
        <w:t>Opţiuni, warante şi echivalentele acestora</w:t>
      </w:r>
      <w:bookmarkEnd w:id="179"/>
    </w:p>
    <w:p w:rsidR="006854C1" w:rsidRDefault="006854C1">
      <w:pPr>
        <w:pStyle w:val="IASBNormalnpara"/>
      </w:pPr>
      <w:r>
        <w:t>A6</w:t>
      </w:r>
      <w:r>
        <w:tab/>
      </w:r>
      <w:bookmarkStart w:id="180" w:name="SL31760"/>
      <w:r>
        <w:t>Opţiunile sau warantele de cumpărare a instrumentelor convertibile se presupune că sunt exercitate pentru cumpărarea instrumentului convertibil oricând preţurile medii atât pentru instrumentul convertibil, cât şi pentru acţiunile ordinare care se pot obţine prin conversie sunt mai mari decât preţul de exercitare al opţiunilor şi warantelor. Cu toate acestea, exercitarea nu este presupusă decât dacă conversia unor instrumente convertibile similare în circulaţie, dacă este cazul, este de asemenea presupusă.</w:t>
      </w:r>
      <w:bookmarkEnd w:id="180"/>
    </w:p>
    <w:p w:rsidR="006854C1" w:rsidRDefault="006854C1">
      <w:pPr>
        <w:pStyle w:val="IASBNormalnpara"/>
      </w:pPr>
      <w:r>
        <w:t>A7</w:t>
      </w:r>
      <w:r>
        <w:tab/>
      </w:r>
      <w:bookmarkStart w:id="181" w:name="SL31761"/>
      <w:r>
        <w:t>Opţiunile sau warantele pot permite sau impune comercializarea datoriilor sau a altor instrumente ale entităţii (sau ale societăţii-mamă sau ale filialei) prin plata integrală sau parţială a preţului de exercitare. La calcularea rezultatelor pe acţiune diluate, respectivele opţiuni sau warante au un efect de diluare dacă (a) preţul mediu de piaţă pentru acea perioadă aferent acţiunilor ordinare depăşeşte preţul de exercitare sau (b) preţul de vânzare al instrumentului care va fi comercializat este sub cel la care instrumentul poate fi comercializat conform acordului opţiunii sau warantului, iar reducerea rezultată stabileşte un preţ efectiv de exercitare sub preţul de piaţă al acţiunilor ordinare care se poate obţine prin exercitare. La calcularea rezultatului pe acţiune diluat, acele opţiuni sau warante se presupune că sunt exercitate şi datoriile sau alte instrumente se presupune că sunt comercializate. Dacă oferirea de numerar este mai avantajoasă pentru deţinătorul de opţiuni sau warante, iar contractul permite acest lucru, atunci se presupune comercializarea în numerar. Dobânda (netă de impozite) aferentă oricărei datorii care se presupune că este comercializată se adaugă înapoi ca o ajustare la numărător.</w:t>
      </w:r>
      <w:bookmarkEnd w:id="181"/>
    </w:p>
    <w:p w:rsidR="006854C1" w:rsidRDefault="006854C1">
      <w:pPr>
        <w:pStyle w:val="IASBNormalnpara"/>
      </w:pPr>
      <w:r>
        <w:t>A8</w:t>
      </w:r>
      <w:r>
        <w:tab/>
      </w:r>
      <w:bookmarkStart w:id="182" w:name="SL31762"/>
      <w:r>
        <w:t>Acţiunile preferenţiale care au caracteristici similare sau alte instrumente care au opţiuni de conversie ce îi permit investitorului să plătească în numerar pentru a obţine o rată de conversie mai avantajoasă sunt tratate similar.</w:t>
      </w:r>
      <w:bookmarkEnd w:id="182"/>
    </w:p>
    <w:p w:rsidR="006854C1" w:rsidRDefault="006854C1">
      <w:pPr>
        <w:pStyle w:val="IASBNormalnpara"/>
      </w:pPr>
      <w:r>
        <w:t>A9</w:t>
      </w:r>
      <w:r>
        <w:tab/>
      </w:r>
      <w:bookmarkStart w:id="183" w:name="SL31763"/>
      <w:r>
        <w:t>Termenele de bază aparţinând unor opţiuni sau warante pot prevedea ca încasările primite din exercitarea acestor instrumente să fie aplicate pentru reducerea datoriilor sau a altor instrumente ale entităţii (sau ale societăţii-mamă sau ale filialei). La calcularea rezultatelor pe acţiune diluate, acele opţiuni sau warante se presupune că sunt exercitate, iar încasările sunt aplicate pentru a se cumpăra datoria la preţul său mediu de piaţă mai degrabă decât pentru a se cumpăra acţiuni ordinare. Cu toate acestea, încasările provenite din exercitarea presupusă în plus faţă de suma utilizată pentru cumpărarea presupusă a datoriilor sunt luate în considerare (adică se presupune că sunt utilizate pentru răscumpărarea de acţiuni ordinare) la calcularea rezultatului pe acţiune diluat. Dobânda (netă de impozite) aferentă oricărei datorii care se presupune că este cumpărată se adaugă înapoi ca o ajustare la numărător.</w:t>
      </w:r>
      <w:bookmarkEnd w:id="183"/>
    </w:p>
    <w:p w:rsidR="006854C1" w:rsidRDefault="006854C1">
      <w:pPr>
        <w:pStyle w:val="IASBSectionTitle2Ind"/>
      </w:pPr>
      <w:bookmarkStart w:id="184" w:name="F3100514"/>
      <w:r>
        <w:t>Opţiuni put emise</w:t>
      </w:r>
      <w:bookmarkEnd w:id="184"/>
    </w:p>
    <w:p w:rsidR="006854C1" w:rsidRDefault="006854C1">
      <w:pPr>
        <w:pStyle w:val="IASBNormalnpara"/>
      </w:pPr>
      <w:r>
        <w:t>A10</w:t>
      </w:r>
      <w:r>
        <w:tab/>
      </w:r>
      <w:bookmarkStart w:id="185" w:name="SL31764"/>
      <w:r>
        <w:t>Pentru a ilustra aplicarea punctului 63, se presupune că o entitate are în circulaţie 120 de opţiuni put emise pe acţiunile sale ordinare cu un preţ de exercitare de 35 u.m. În acea perioadă, preţul mediu de piaţă al acţiunilor sale ordinare este de 28 u.m. La calcularea rezultatului pe acţiune diluat, entitatea presupune că a emis 150 de acţiuni ordinare cu 28 u.m. pe acţiune la începutul perioadei, pentru a-şi satisface obligaţiile de vânzare de 4.200 u.m. Diferenţa dintre cele 150 de acţiuni ordinare emise şi cele 120 de acţiuni ordinare rezultate din satisfacerea opţiunilor put (30 de acţiuni ordinare incrementale) se adaugă la numitor în calcularea rezultatului pe acţiune diluat.</w:t>
      </w:r>
      <w:bookmarkEnd w:id="185"/>
    </w:p>
    <w:p w:rsidR="006854C1" w:rsidRDefault="006854C1">
      <w:pPr>
        <w:pStyle w:val="IASBSectionTitle2Ind"/>
      </w:pPr>
      <w:bookmarkStart w:id="186" w:name="F3100516"/>
      <w:r>
        <w:t>Instrumente ale filialelor, ale asocierilor în participaţie sau ale entităţilor asociate</w:t>
      </w:r>
      <w:bookmarkEnd w:id="186"/>
    </w:p>
    <w:p w:rsidR="006854C1" w:rsidRDefault="006854C1">
      <w:pPr>
        <w:pStyle w:val="IASBNormalnpara"/>
      </w:pPr>
      <w:r>
        <w:t>A11</w:t>
      </w:r>
      <w:r>
        <w:tab/>
      </w:r>
      <w:bookmarkStart w:id="187" w:name="SL31765"/>
      <w:r>
        <w:t xml:space="preserve">Acțiunile ordinare potențiale ale unei filiale, asocieri în participație sau entități asociate care pot fi convertite fie în acțiuni ordinare ale filialei, ale asocierii în participație sau ale entității asociate, fie în acțiuni ordinare ale societății-mamă sau ale investitorilor care dețin controlul comun sau o influență </w:t>
      </w:r>
      <w:r>
        <w:lastRenderedPageBreak/>
        <w:t xml:space="preserve">semnificativă (entitatea raportoare) asupra entității în care s-a investit sunt incluse în calculul rezultatului pe acțiune diluat după cum urmează: </w:t>
      </w:r>
      <w:bookmarkEnd w:id="187"/>
    </w:p>
    <w:p w:rsidR="006854C1" w:rsidRDefault="006854C1">
      <w:pPr>
        <w:pStyle w:val="IASBNormalnparaL1"/>
      </w:pPr>
      <w:r>
        <w:t>(a)</w:t>
      </w:r>
      <w:r>
        <w:tab/>
      </w:r>
      <w:bookmarkStart w:id="188" w:name="SL148236"/>
      <w:r>
        <w:t>instrumentele emise de o filială, o asociere în participaţie sau o entitate asociată care permit deţinătorilor lor să obţină acţiuni ordinare ale filialei, ale asocierii în participaţie sau ale entităţii asociate sunt incluse în calcularea informaţiilor aferente rezultatului pe acţiune diluat al filialei, asocierii în participaţie sau entităţii asociate. Acel rezultat pe acţiune este inclus în calcularea rezultatului pe acţiune al entităţii raportoare, pe baza deţinerii de către entitate de instrumente ale filialei, asocierii în participaţie sau entităţii asociate.</w:t>
      </w:r>
      <w:bookmarkEnd w:id="188"/>
    </w:p>
    <w:p w:rsidR="006854C1" w:rsidRDefault="006854C1">
      <w:pPr>
        <w:pStyle w:val="IASBNormalnparaL1"/>
      </w:pPr>
      <w:r>
        <w:t>(b)</w:t>
      </w:r>
      <w:r>
        <w:tab/>
      </w:r>
      <w:bookmarkStart w:id="189" w:name="SL148238"/>
      <w:r>
        <w:t>instrumentele unei filiale, unei asocieri în participaţie sau unei entităţi asociate care sunt convertibile în acţiuni ordinare ale entităţii raportoare sunt luate în considerare împreună cu acţiunile ordinare potenţiale ale entităţii raportoare la calcularea rezultatului pe acţiune diluat. În acelaşi mod, opţiunile sau warantele emise de o filială, o asociere în participaţie sau o entitate asociată pentru cumpărarea de acţiuni ordinare ale entităţii raportoare sunt luate în considerare împreună cu acţiunile ordinare potenţiale ale entităţii raportoare la calcularea rezultatului pe acţiune diluat consolidat.</w:t>
      </w:r>
      <w:bookmarkEnd w:id="189"/>
    </w:p>
    <w:p w:rsidR="006854C1" w:rsidRDefault="006854C1">
      <w:pPr>
        <w:pStyle w:val="IASBNormalnpara"/>
      </w:pPr>
      <w:r>
        <w:t>A12</w:t>
      </w:r>
      <w:r>
        <w:tab/>
      </w:r>
      <w:bookmarkStart w:id="190" w:name="SL31766"/>
      <w:r>
        <w:t>În scopul determinării efectului rezultatului pe acţiune al instrumentelor emise de o entitate raportoare, care sunt convertibile în acţiuni ordinare ale filialei, ale asocierii în participaţie sau ale entităţii asociate, se presupune că instrumentele sunt convertite, iar numărătorul (profitul sau pierderea atribuibil(ă) acţionarilor ordinari ai societăţii-mamă), ajustat după cum este necesar, conform punctului 33. Pe lângă aceste ajustări, numărătorul este ajustat pentru orice modificări ale profitului sau pierderii înregistrate de entitatea raportoare (cum ar fi veniturile din dividende sau din metoda punerii în echivalenţă) atribuibile creşterii numărului de acţiuni ordinare ale filialei, ale asocierii în participaţie sau ale entităţii asociate, aflate în circulaţie ca urmare a conversiei presupuse. Numitorul calculului rezultatului pe acţiune diluat nu este afectat deoarece numărul de acţiuni ordinare în circulaţie ale entităţii raportoare nu s-ar modifica în urma conversiei presupuse.</w:t>
      </w:r>
      <w:bookmarkEnd w:id="190"/>
    </w:p>
    <w:p w:rsidR="006854C1" w:rsidRDefault="006854C1">
      <w:pPr>
        <w:pStyle w:val="IASBSectionTitle2Ind"/>
      </w:pPr>
      <w:bookmarkStart w:id="191" w:name="F3100518"/>
      <w:r>
        <w:t>Instrumente de capitaluri proprii participative şi acţiuni ordinare cu două clase</w:t>
      </w:r>
      <w:bookmarkEnd w:id="191"/>
    </w:p>
    <w:p w:rsidR="006854C1" w:rsidRDefault="006854C1">
      <w:pPr>
        <w:pStyle w:val="IASBNormalnpara"/>
      </w:pPr>
      <w:r>
        <w:t>A13</w:t>
      </w:r>
      <w:r>
        <w:tab/>
      </w:r>
      <w:bookmarkStart w:id="192" w:name="SL31767"/>
      <w:r>
        <w:t xml:space="preserve">Capitalurile proprii ale unor entităţi includ: </w:t>
      </w:r>
      <w:bookmarkEnd w:id="192"/>
    </w:p>
    <w:p w:rsidR="006854C1" w:rsidRDefault="006854C1">
      <w:pPr>
        <w:pStyle w:val="IASBNormalnparaL1"/>
      </w:pPr>
      <w:r>
        <w:t>(a)</w:t>
      </w:r>
      <w:r>
        <w:tab/>
      </w:r>
      <w:bookmarkStart w:id="193" w:name="SL148242"/>
      <w:r>
        <w:t>instrumente care participă în dividende cu acţiuni ordinare, conform unei formule predeterminate (de exemplu, două pentru una) cu limite superioare, în anumite momente, în funcţie de măsura participaţiei (de exemplu, până la, dar fără a depăşi, o anumită valoare pe acţiune).</w:t>
      </w:r>
      <w:bookmarkEnd w:id="193"/>
    </w:p>
    <w:p w:rsidR="006854C1" w:rsidRDefault="006854C1">
      <w:pPr>
        <w:pStyle w:val="IASBNormalnparaL1"/>
      </w:pPr>
      <w:r>
        <w:t>(b)</w:t>
      </w:r>
      <w:r>
        <w:tab/>
      </w:r>
      <w:bookmarkStart w:id="194" w:name="SL148244"/>
      <w:r>
        <w:t>o clasă de acţiuni ordinare cu o rată de dividende diferită de cea a unei alte clase de acţiuni ordinare, dar fără drepturi prioritare sau anterioare.</w:t>
      </w:r>
      <w:bookmarkEnd w:id="194"/>
    </w:p>
    <w:p w:rsidR="006854C1" w:rsidRDefault="006854C1">
      <w:pPr>
        <w:pStyle w:val="IASBNormalnpara"/>
      </w:pPr>
      <w:r>
        <w:t>A14</w:t>
      </w:r>
      <w:r>
        <w:tab/>
      </w:r>
      <w:bookmarkStart w:id="195" w:name="SL31768"/>
      <w:r>
        <w:t xml:space="preserve">În scopul calculării rezultatului pe acţiune diluat, se presupune conversia acelor instrumente descrise la punctul A13 care sunt convertibile în acţiuni ordinare dacă efectul este diluant. Pentru acele instrumente care nu sunt convertibile într-o clasă de acţiuni ordinare, profitul sau pierderea pentru perioada respectivă este alocat(ă) unor clase diferite de acţiuni şi instrumente de capitaluri proprii participative, în conformitate cu drepturile lor la dividende sau cu alte drepturi de participare la rezultatele nedistribuite. Pentru a calcula rezultatul pe acţiune de bază şi diluat: </w:t>
      </w:r>
      <w:bookmarkEnd w:id="195"/>
    </w:p>
    <w:p w:rsidR="006854C1" w:rsidRDefault="006854C1">
      <w:pPr>
        <w:pStyle w:val="IASBNormalnparaL1"/>
      </w:pPr>
      <w:r>
        <w:t>(a)</w:t>
      </w:r>
      <w:r>
        <w:tab/>
      </w:r>
      <w:bookmarkStart w:id="196" w:name="SL148247"/>
      <w:r>
        <w:t>profitul sau pierderea atribuibil(ă) acţionarilor societăţii-mamă se ajustează (un profit redus şi o pierdere majorată) cu suma de dividende declarate în perioada respectivă pentru fiecare clasă de acţiuni şi cu suma contractuală de dividende (sau dobânzi aferente obligaţiunilor participative) care trebuie achitate pentru acea perioadă (de exemplu, dividende cumulative neplătite).</w:t>
      </w:r>
      <w:bookmarkEnd w:id="196"/>
    </w:p>
    <w:p w:rsidR="006854C1" w:rsidRDefault="006854C1">
      <w:pPr>
        <w:pStyle w:val="IASBNormalnparaL1"/>
      </w:pPr>
      <w:r>
        <w:t>(b)</w:t>
      </w:r>
      <w:r>
        <w:tab/>
      </w:r>
      <w:bookmarkStart w:id="197" w:name="SL148249"/>
      <w:r>
        <w:t>profitul sau pierderea rămas(ă) este alocat(ă) acţiunilor ordinare şi instrumentelor de capitaluri proprii  participative, în măsura rezultatelor fiecărui instrument, ca şi când toate profiturile şi pierderile perioadei ar fi fost distribuite. Profitul sau pierderea total(ă) alocat(ă) fiecărei clase de instrumente de capitaluri proprii se determină adunând sumele alocate pentru dividende şi sumele alocate pentru o caracteristică de participare.</w:t>
      </w:r>
      <w:bookmarkEnd w:id="197"/>
    </w:p>
    <w:p w:rsidR="006854C1" w:rsidRDefault="006854C1">
      <w:pPr>
        <w:pStyle w:val="IASBNormalnparaL1"/>
      </w:pPr>
      <w:r>
        <w:t>(c)</w:t>
      </w:r>
      <w:r>
        <w:tab/>
      </w:r>
      <w:bookmarkStart w:id="198" w:name="SL148251"/>
      <w:r>
        <w:t>suma totală a profitului sau pierderii alocată pentru fiecare clasă de instrumente de capitaluri proprii se împarte la numărul de instrumente în circulaţie cărora le sunt alocate rezultate, pentru a determina rezultatul pe acţiune pentru fiecare instrument.</w:t>
      </w:r>
      <w:bookmarkEnd w:id="198"/>
    </w:p>
    <w:p w:rsidR="006854C1" w:rsidRDefault="006854C1">
      <w:pPr>
        <w:pStyle w:val="IASBNormalnparaP"/>
      </w:pPr>
      <w:bookmarkStart w:id="199" w:name="SL148252"/>
      <w:r>
        <w:t>Pentru calcularea rezultatului pe acţiune diluat, toate acţiunile ordinare potenţiale care se presupune că au fost emise sunt incluse în acţiunile ordinare în circulaţie.</w:t>
      </w:r>
      <w:bookmarkEnd w:id="199"/>
    </w:p>
    <w:p w:rsidR="006854C1" w:rsidRDefault="006854C1">
      <w:pPr>
        <w:pStyle w:val="IASBSectionTitle2Ind"/>
      </w:pPr>
      <w:bookmarkStart w:id="200" w:name="F3100520"/>
      <w:r>
        <w:lastRenderedPageBreak/>
        <w:t>Acţiuni achitate parţial</w:t>
      </w:r>
      <w:bookmarkEnd w:id="200"/>
    </w:p>
    <w:p w:rsidR="006854C1" w:rsidRDefault="006854C1">
      <w:pPr>
        <w:pStyle w:val="IASBNormalnpara"/>
      </w:pPr>
      <w:r>
        <w:t>A15</w:t>
      </w:r>
      <w:r>
        <w:tab/>
      </w:r>
      <w:bookmarkStart w:id="201" w:name="SL31769"/>
      <w:r>
        <w:t>În cazul în care sunt emise acţiuni ordinare, dar acestea nu sunt integral achitate, ele sunt tratate în calcularea rezultatului pe acţiune de bază ca o fracţiune a unei acţiuni ordinare până la limita la care au fost îndreptăţite să participe la dividende pe parcursul perioadei respective, raportat la o acţiune ordinară integral achitată.</w:t>
      </w:r>
      <w:bookmarkEnd w:id="201"/>
    </w:p>
    <w:p w:rsidR="006854C1" w:rsidRDefault="006854C1">
      <w:pPr>
        <w:pStyle w:val="IASBNormalnpara"/>
      </w:pPr>
      <w:r>
        <w:t>A16</w:t>
      </w:r>
      <w:r>
        <w:tab/>
      </w:r>
      <w:bookmarkStart w:id="202" w:name="SL31770"/>
      <w:r>
        <w:t>În măsura în care acţiunile plătite parţial nu au dreptul de a participa la dividende în perioada respectivă, ele sunt tratate ca echivalent al unor opţiuni sau warante în calcularea rezultatului pe acţiune diluat. Soldul neachitat se presupune că reprezintă încasări utilizate pentru cumpărarea de acţiuni ordinare. Numărul de acţiuni incluse în rezultatul pe acţiune diluat reprezintă diferenţa dintre numărul de acţiuni subscrise şi numărul de acţiuni care se presupune că vor fi cumpărate.</w:t>
      </w:r>
      <w:bookmarkEnd w:id="202"/>
    </w:p>
    <w:p w:rsidR="006854C1" w:rsidRDefault="006854C1" w:rsidP="00AF06AD">
      <w:pPr>
        <w:pStyle w:val="IASBIdentifier"/>
      </w:pPr>
      <w:bookmarkStart w:id="203" w:name="_GoBack"/>
      <w:bookmarkEnd w:id="203"/>
    </w:p>
    <w:sectPr w:rsidR="006854C1">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D8F" w:rsidRDefault="00B24D8F">
      <w:r>
        <w:separator/>
      </w:r>
    </w:p>
  </w:endnote>
  <w:endnote w:type="continuationSeparator" w:id="0">
    <w:p w:rsidR="00B24D8F" w:rsidRDefault="00B2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6014D">
      <w:rPr>
        <w:noProof/>
        <w:sz w:val="17"/>
      </w:rPr>
      <w:t>10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6014D">
      <w:rPr>
        <w:noProof/>
        <w:sz w:val="17"/>
      </w:rPr>
      <w:t>11</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6014D">
      <w:rPr>
        <w:noProof/>
        <w:sz w:val="17"/>
      </w:rPr>
      <w:t>14</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6014D">
      <w:rPr>
        <w:noProof/>
        <w:sz w:val="17"/>
      </w:rPr>
      <w:t>15</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D8F" w:rsidRDefault="00B24D8F">
      <w:r>
        <w:separator/>
      </w:r>
    </w:p>
  </w:footnote>
  <w:footnote w:type="continuationSeparator" w:id="0">
    <w:p w:rsidR="00B24D8F" w:rsidRDefault="00B24D8F">
      <w:r>
        <w:continuationSeparator/>
      </w:r>
    </w:p>
  </w:footnote>
  <w:footnote w:id="1">
    <w:p w:rsidR="006854C1" w:rsidRDefault="006854C1" w:rsidP="00AF06AD">
      <w:pPr>
        <w:rPr>
          <w:rStyle w:val="FootnoteReference"/>
          <w:sz w:val="16"/>
          <w:szCs w:val="20"/>
          <w:vertAlign w:val="baseline"/>
          <w:lang w:val="en-US"/>
        </w:rPr>
      </w:pPr>
      <w:r>
        <w:rPr>
          <w:rStyle w:val="FootnoteReference"/>
        </w:rPr>
        <w:footnoteRef/>
      </w:r>
      <w:r>
        <w:tab/>
      </w:r>
      <w:r>
        <w:rPr>
          <w:rStyle w:val="FootnoteReference"/>
          <w:sz w:val="16"/>
          <w:vertAlign w:val="baseline"/>
        </w:rPr>
        <w:t>În aceste îndrumări, valorile monetare sunt exprimate în „unităţi monetare (u.m.)”.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IAS 33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1F4"/>
    <w:rsid w:val="000B4EC8"/>
    <w:rsid w:val="0026280D"/>
    <w:rsid w:val="003A31FE"/>
    <w:rsid w:val="005F7281"/>
    <w:rsid w:val="006854C1"/>
    <w:rsid w:val="00736422"/>
    <w:rsid w:val="008D41F4"/>
    <w:rsid w:val="009D5A50"/>
    <w:rsid w:val="00AF06AD"/>
    <w:rsid w:val="00B24D8F"/>
    <w:rsid w:val="00BA475A"/>
    <w:rsid w:val="00D5281D"/>
    <w:rsid w:val="00E23E42"/>
    <w:rsid w:val="00F60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64DC95"/>
  <w14:defaultImageDpi w14:val="0"/>
  <w15:docId w15:val="{B45516D8-2077-4075-BA0F-900FE29F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8D41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9182</Words>
  <Characters>52344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61404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2017-03-13T12:37:00Z</dcterms:created>
  <dcterms:modified xsi:type="dcterms:W3CDTF">2018-01-02T16:33:00Z</dcterms:modified>
</cp:coreProperties>
</file>