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7471E" w14:textId="77777777" w:rsidR="0026058D" w:rsidRPr="009468A5" w:rsidRDefault="00EC26A0">
      <w:pPr>
        <w:pStyle w:val="IASBSectionTitle1NonInd"/>
      </w:pPr>
      <w:r w:rsidRPr="009468A5">
        <w:t xml:space="preserve">Поправки к МСФО (IFRS) 3 </w:t>
      </w:r>
      <w:r w:rsidRPr="009468A5">
        <w:rPr>
          <w:i/>
          <w:iCs/>
        </w:rPr>
        <w:t>«Объединения бизнесов»</w:t>
      </w:r>
    </w:p>
    <w:p w14:paraId="3C7FF92E" w14:textId="77777777" w:rsidR="0026058D" w:rsidRPr="009468A5" w:rsidRDefault="0026058D">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26058D" w:rsidRPr="009468A5" w14:paraId="1F9B3360" w14:textId="77777777">
        <w:tc>
          <w:tcPr>
            <w:tcW w:w="0" w:type="auto"/>
          </w:tcPr>
          <w:p w14:paraId="148724CB" w14:textId="6CDD81B0" w:rsidR="0026058D" w:rsidRPr="009468A5" w:rsidRDefault="00EC26A0">
            <w:pPr>
              <w:pStyle w:val="IASBTableArial"/>
            </w:pPr>
            <w:r w:rsidRPr="009468A5">
              <w:t>В пункт 11 внесены изменения</w:t>
            </w:r>
            <w:r w:rsidR="00D30EEF" w:rsidRPr="009468A5">
              <w:t>,</w:t>
            </w:r>
            <w:r w:rsidRPr="009468A5">
              <w:t xml:space="preserve"> и сноска </w:t>
            </w:r>
            <w:r w:rsidR="00D30EEF" w:rsidRPr="009468A5">
              <w:t>к</w:t>
            </w:r>
            <w:r w:rsidRPr="009468A5">
              <w:t xml:space="preserve"> «</w:t>
            </w:r>
            <w:r w:rsidRPr="009468A5">
              <w:rPr>
                <w:i/>
              </w:rPr>
              <w:t>Концепци</w:t>
            </w:r>
            <w:r w:rsidR="00D30EEF" w:rsidRPr="009468A5">
              <w:rPr>
                <w:i/>
              </w:rPr>
              <w:t>и</w:t>
            </w:r>
            <w:r w:rsidRPr="009468A5">
              <w:rPr>
                <w:i/>
              </w:rPr>
              <w:t xml:space="preserve"> подготовки и представления финансовой отчетности</w:t>
            </w:r>
            <w:r w:rsidRPr="009468A5">
              <w:t>» в пункте 11 удалена. В пункты 14, 21, 22 и 23 внесены изменения, пункты 21A, 21B, 21C, 23A и 64Q добавлены. Перед пунктом 21A добавлен заголовок, а в заголовки после пункта 21 и перед пунктом 22 внесены изменения. Новый текст подчеркнут, удаленный текст зачеркнут. Пункт 10 изменен не был и включен в настоящий документ только для удобства чтения.</w:t>
            </w:r>
          </w:p>
        </w:tc>
      </w:tr>
    </w:tbl>
    <w:p w14:paraId="200EA31F" w14:textId="77777777" w:rsidR="0026058D" w:rsidRPr="009468A5" w:rsidRDefault="0026058D">
      <w:pPr>
        <w:pStyle w:val="IASBNormalnpara"/>
      </w:pPr>
    </w:p>
    <w:p w14:paraId="6C94AD68" w14:textId="77777777" w:rsidR="0026058D" w:rsidRPr="009468A5" w:rsidRDefault="00EC26A0">
      <w:pPr>
        <w:pStyle w:val="IASBSectionTitle1NonInd"/>
      </w:pPr>
      <w:r w:rsidRPr="009468A5">
        <w:t>Метод приобретения</w:t>
      </w:r>
    </w:p>
    <w:p w14:paraId="1ECD641F" w14:textId="77777777" w:rsidR="0026058D" w:rsidRPr="009468A5" w:rsidRDefault="00EC26A0">
      <w:pPr>
        <w:pStyle w:val="IASBNormalnpara"/>
      </w:pPr>
      <w:r w:rsidRPr="009468A5">
        <w:tab/>
        <w:t>...</w:t>
      </w:r>
    </w:p>
    <w:p w14:paraId="4886BE1F" w14:textId="77777777" w:rsidR="0026058D" w:rsidRPr="009468A5" w:rsidRDefault="00EC26A0">
      <w:pPr>
        <w:pStyle w:val="IASBSectionTitle2Ind"/>
      </w:pPr>
      <w:r w:rsidRPr="009468A5">
        <w:t>Признание и оценка идентифицируемых приобретенных активов, принятых обязательств и любой неконтролирующей доли участия в объекте приобретения</w:t>
      </w:r>
    </w:p>
    <w:p w14:paraId="74388253" w14:textId="77777777" w:rsidR="0026058D" w:rsidRPr="009468A5" w:rsidRDefault="00EC26A0">
      <w:pPr>
        <w:pStyle w:val="IASBSectionTitle3Ind"/>
      </w:pPr>
      <w:r w:rsidRPr="009468A5">
        <w:t>Принцип признания</w:t>
      </w:r>
    </w:p>
    <w:p w14:paraId="36ECACE7" w14:textId="77777777" w:rsidR="0026058D" w:rsidRPr="009468A5" w:rsidRDefault="00EC26A0">
      <w:pPr>
        <w:pStyle w:val="IASBNormalnpara"/>
      </w:pPr>
      <w:r w:rsidRPr="009468A5">
        <w:rPr>
          <w:b/>
        </w:rPr>
        <w:t>10</w:t>
      </w:r>
      <w:r w:rsidRPr="009468A5">
        <w:tab/>
      </w:r>
      <w:r w:rsidRPr="009468A5">
        <w:rPr>
          <w:b/>
        </w:rPr>
        <w:t>На дату приобретения приобретатель должен признать отдельно от гудвила идентифицируемые приобретенные активы, принятые обязательства и любую неконтролирующую долю участия в объекте приобретения. Признание идентифицируемых приобретенных активов и принятых обязательств осуществляется при выполнении условий, указанных в пунктах 11 и 12.</w:t>
      </w:r>
    </w:p>
    <w:p w14:paraId="30B1F269" w14:textId="77777777" w:rsidR="0026058D" w:rsidRPr="009468A5" w:rsidRDefault="00EC26A0">
      <w:pPr>
        <w:pStyle w:val="IASBSectionTitle4Ind"/>
      </w:pPr>
      <w:r w:rsidRPr="009468A5">
        <w:t>Условия признания</w:t>
      </w:r>
    </w:p>
    <w:p w14:paraId="35AD6D7A" w14:textId="2387EA45" w:rsidR="0026058D" w:rsidRPr="009468A5" w:rsidRDefault="00EC26A0">
      <w:pPr>
        <w:pStyle w:val="IASBNormalnpara"/>
      </w:pPr>
      <w:r w:rsidRPr="009468A5">
        <w:t>11</w:t>
      </w:r>
      <w:r w:rsidRPr="009468A5">
        <w:tab/>
        <w:t xml:space="preserve">Чтобы удовлетворять критериям признания в рамках применения метода приобретения, идентифицируемые приобретенные активы и принятые обязательства должны соответствовать определениям активов и обязательств, изложенным в </w:t>
      </w:r>
      <w:r w:rsidRPr="009468A5">
        <w:rPr>
          <w:i/>
          <w:strike/>
        </w:rPr>
        <w:t>«Концепции подготовки и представления финансовой отчетности»*</w:t>
      </w:r>
      <w:r w:rsidRPr="009468A5">
        <w:rPr>
          <w:i/>
          <w:u w:val="single"/>
        </w:rPr>
        <w:t>«Концептуальных основах представления финансовых отчетов»</w:t>
      </w:r>
      <w:r w:rsidRPr="009468A5">
        <w:t>, на дату приобретения. Например, затраты, которые приобретатель ожидает, но не обязан нести в будущем с целью осуществления своего плана по выходу из деятельности объекта приобретения, или прекращению трудовых отношений, или перемещению служащих объекта приобретения не являются обязательствами на дату приобретения. Поэтому приобретатель не признает такие затраты в рамках применения метода приобретения. Вместо этого приобретатель признает такие затраты после объединения в соответствии с другими МСФО</w:t>
      </w:r>
      <w:r w:rsidR="00AC7633" w:rsidRPr="00AC7633">
        <w:t xml:space="preserve"> </w:t>
      </w:r>
      <w:r w:rsidR="00AC7633" w:rsidRPr="009468A5">
        <w:t>в своей финансовой отчетности</w:t>
      </w:r>
      <w:r w:rsidRPr="009468A5">
        <w:t>.</w:t>
      </w:r>
      <w:r w:rsidR="00AC7633" w:rsidRPr="009468A5" w:rsidDel="00AC7633">
        <w:t xml:space="preserve"> </w:t>
      </w:r>
    </w:p>
    <w:p w14:paraId="594DB829" w14:textId="77777777" w:rsidR="0026058D" w:rsidRPr="009468A5" w:rsidRDefault="00EC26A0">
      <w:pPr>
        <w:pStyle w:val="IASBNormalnpara"/>
      </w:pPr>
      <w:r w:rsidRPr="009468A5">
        <w:rPr>
          <w:strike/>
        </w:rPr>
        <w:t>*</w:t>
      </w:r>
      <w:r w:rsidRPr="009468A5">
        <w:rPr>
          <w:strike/>
        </w:rPr>
        <w:tab/>
        <w:t xml:space="preserve">Для целей применения настоящего стандарта вместо положений </w:t>
      </w:r>
      <w:r w:rsidRPr="009468A5">
        <w:rPr>
          <w:i/>
          <w:strike/>
        </w:rPr>
        <w:t>«Концептуальных основ представления финансовых отчетов»</w:t>
      </w:r>
      <w:r w:rsidRPr="009468A5">
        <w:rPr>
          <w:strike/>
        </w:rPr>
        <w:t xml:space="preserve">, выпущенных в 2018 году, приобретатели должны использовать определения актива и обязательства и соответствующие указания, изложенные в </w:t>
      </w:r>
      <w:r w:rsidRPr="009468A5">
        <w:rPr>
          <w:i/>
          <w:strike/>
        </w:rPr>
        <w:t>«Концепции подготовки и представления финансовой отчетности»</w:t>
      </w:r>
      <w:r w:rsidRPr="009468A5">
        <w:rPr>
          <w:strike/>
        </w:rPr>
        <w:t xml:space="preserve"> КМСФО, принятой Советом по МСФО в 2001 году.</w:t>
      </w:r>
    </w:p>
    <w:p w14:paraId="159EEABE" w14:textId="77777777" w:rsidR="0026058D" w:rsidRPr="009468A5" w:rsidRDefault="00EC26A0">
      <w:pPr>
        <w:pStyle w:val="IASBNormalnpara"/>
      </w:pPr>
      <w:r w:rsidRPr="009468A5">
        <w:tab/>
        <w:t>...</w:t>
      </w:r>
    </w:p>
    <w:p w14:paraId="0CA03971" w14:textId="77777777" w:rsidR="0026058D" w:rsidRPr="009468A5" w:rsidRDefault="00EC26A0">
      <w:pPr>
        <w:pStyle w:val="IASBNormalnpara"/>
      </w:pPr>
      <w:r w:rsidRPr="009468A5">
        <w:t>14</w:t>
      </w:r>
      <w:r w:rsidRPr="009468A5">
        <w:tab/>
        <w:t xml:space="preserve">В пунктах B31–B40 изложено руководство по признанию нематериальных активов. Пункты </w:t>
      </w:r>
      <w:r w:rsidRPr="009468A5">
        <w:rPr>
          <w:strike/>
        </w:rPr>
        <w:t>22</w:t>
      </w:r>
      <w:r w:rsidRPr="009468A5">
        <w:rPr>
          <w:u w:val="single"/>
        </w:rPr>
        <w:t>21A</w:t>
      </w:r>
      <w:r w:rsidRPr="009468A5">
        <w:t>–28B определяют виды идентифицируемых активов и обязательств, которые включают статьи, в отношении которых настоящий МСФО предусматривает ограниченные исключения из принципа и условий признания.</w:t>
      </w:r>
    </w:p>
    <w:p w14:paraId="79C86349" w14:textId="77777777" w:rsidR="0026058D" w:rsidRPr="009468A5" w:rsidRDefault="00EC26A0">
      <w:pPr>
        <w:pStyle w:val="IASBNormalnpara"/>
      </w:pPr>
      <w:r w:rsidRPr="009468A5">
        <w:tab/>
        <w:t>...</w:t>
      </w:r>
    </w:p>
    <w:p w14:paraId="1795F36A" w14:textId="77777777" w:rsidR="0026058D" w:rsidRPr="009468A5" w:rsidRDefault="00EC26A0">
      <w:pPr>
        <w:pStyle w:val="IASBSectionTitle3Ind"/>
      </w:pPr>
      <w:r w:rsidRPr="009468A5">
        <w:t>Исключения из принципов признания или оценки</w:t>
      </w:r>
    </w:p>
    <w:p w14:paraId="6EA7E1C7" w14:textId="199E8100" w:rsidR="0026058D" w:rsidRPr="009468A5" w:rsidRDefault="00EC26A0">
      <w:pPr>
        <w:pStyle w:val="IASBNormalnpara"/>
      </w:pPr>
      <w:r w:rsidRPr="009468A5">
        <w:t>21</w:t>
      </w:r>
      <w:r w:rsidRPr="009468A5">
        <w:tab/>
        <w:t xml:space="preserve">Настоящий МСФО предусматривает ограниченные исключения из принципов признания и оценки. Пункты </w:t>
      </w:r>
      <w:r w:rsidRPr="009468A5">
        <w:rPr>
          <w:strike/>
        </w:rPr>
        <w:t>22</w:t>
      </w:r>
      <w:r w:rsidRPr="009468A5">
        <w:rPr>
          <w:u w:val="single"/>
        </w:rPr>
        <w:t>21A</w:t>
      </w:r>
      <w:r w:rsidR="00BA330E" w:rsidRPr="009468A5">
        <w:t>–</w:t>
      </w:r>
      <w:r w:rsidRPr="009468A5">
        <w:t xml:space="preserve">31А определяют как конкретные статьи, для которых предусмотрены исключения, </w:t>
      </w:r>
      <w:r w:rsidRPr="009468A5">
        <w:lastRenderedPageBreak/>
        <w:t xml:space="preserve">так и характер таких исключений. Приобретатель должен осуществлять учет таких статей, следуя требованиям пунктов </w:t>
      </w:r>
      <w:r w:rsidRPr="009468A5">
        <w:rPr>
          <w:strike/>
        </w:rPr>
        <w:t>22</w:t>
      </w:r>
      <w:r w:rsidRPr="009468A5">
        <w:rPr>
          <w:u w:val="single"/>
        </w:rPr>
        <w:t>21A</w:t>
      </w:r>
      <w:r w:rsidR="00BA330E" w:rsidRPr="009468A5">
        <w:t>–</w:t>
      </w:r>
      <w:r w:rsidRPr="009468A5">
        <w:t>31А, которые приводят к тому, что некоторые статьи:</w:t>
      </w:r>
    </w:p>
    <w:p w14:paraId="398D78F1" w14:textId="77777777" w:rsidR="0026058D" w:rsidRPr="009468A5" w:rsidRDefault="00EC26A0">
      <w:pPr>
        <w:pStyle w:val="IASBNormalnparaL1"/>
      </w:pPr>
      <w:r w:rsidRPr="009468A5">
        <w:t>(a)</w:t>
      </w:r>
      <w:r w:rsidRPr="009468A5">
        <w:tab/>
        <w:t>признаются либо путем применения условий признания в дополнение к условиям, изложенным в пунктах 11 и 12, либо путем применения требований других МСФО, что дает результаты, которые отличаются от полученных при применении принципа и условий признания;</w:t>
      </w:r>
    </w:p>
    <w:p w14:paraId="036593E4" w14:textId="77777777" w:rsidR="0026058D" w:rsidRPr="009468A5" w:rsidRDefault="00EC26A0">
      <w:pPr>
        <w:pStyle w:val="IASBNormalnparaL1"/>
      </w:pPr>
      <w:r w:rsidRPr="009468A5">
        <w:t>(b)</w:t>
      </w:r>
      <w:r w:rsidRPr="009468A5">
        <w:tab/>
        <w:t>оцениваются в сумме, которая не является их справедливой стоимостью на дату приобретения.</w:t>
      </w:r>
    </w:p>
    <w:p w14:paraId="6AE7393D" w14:textId="77777777" w:rsidR="0026058D" w:rsidRPr="009468A5" w:rsidRDefault="00EC26A0">
      <w:pPr>
        <w:pStyle w:val="IASBSectionTitle4Ind"/>
      </w:pPr>
      <w:r w:rsidRPr="009468A5">
        <w:rPr>
          <w:strike/>
        </w:rPr>
        <w:t>Исключение</w:t>
      </w:r>
      <w:r w:rsidRPr="009468A5">
        <w:rPr>
          <w:u w:val="single"/>
        </w:rPr>
        <w:t>Исключения</w:t>
      </w:r>
      <w:r w:rsidRPr="009468A5">
        <w:t xml:space="preserve"> из принципа признания</w:t>
      </w:r>
    </w:p>
    <w:p w14:paraId="438BC7D4" w14:textId="77777777" w:rsidR="0026058D" w:rsidRPr="009468A5" w:rsidRDefault="00EC26A0">
      <w:pPr>
        <w:pStyle w:val="IASBSectionTitle5Ind"/>
      </w:pPr>
      <w:r w:rsidRPr="009468A5">
        <w:rPr>
          <w:u w:val="single"/>
        </w:rPr>
        <w:t>Обязательства и условные обязательства, относящиеся к сфере применения МСФО (IAS) 37 или Разъяснения КРМФО (IFRIC) 21</w:t>
      </w:r>
    </w:p>
    <w:p w14:paraId="647DF4CB" w14:textId="0F89A85B" w:rsidR="0026058D" w:rsidRPr="009468A5" w:rsidRDefault="00EC26A0">
      <w:pPr>
        <w:pStyle w:val="IASBNormalnpara"/>
      </w:pPr>
      <w:r w:rsidRPr="009468A5">
        <w:rPr>
          <w:u w:val="single"/>
        </w:rPr>
        <w:t>21A</w:t>
      </w:r>
      <w:r w:rsidRPr="009468A5">
        <w:tab/>
      </w:r>
      <w:r w:rsidRPr="009468A5">
        <w:rPr>
          <w:u w:val="single"/>
        </w:rPr>
        <w:t xml:space="preserve">Пункт 21B применяется в отношении обязательств и условных обязательств, которые относились бы к сфере применения МСФО (IAS) 37 </w:t>
      </w:r>
      <w:r w:rsidRPr="009468A5">
        <w:rPr>
          <w:i/>
          <w:iCs/>
          <w:u w:val="single"/>
        </w:rPr>
        <w:t>«Оценочные обязательства, условные обязательства и условные активы»</w:t>
      </w:r>
      <w:r w:rsidRPr="009468A5">
        <w:rPr>
          <w:u w:val="single"/>
        </w:rPr>
        <w:t xml:space="preserve"> или Разъяснения КРМФО (IFRIC) 21 </w:t>
      </w:r>
      <w:r w:rsidRPr="009468A5">
        <w:rPr>
          <w:i/>
          <w:iCs/>
          <w:u w:val="single"/>
        </w:rPr>
        <w:t>«Обязательные платежи»</w:t>
      </w:r>
      <w:r w:rsidRPr="009468A5">
        <w:rPr>
          <w:u w:val="single"/>
        </w:rPr>
        <w:t xml:space="preserve">, если бы они </w:t>
      </w:r>
      <w:r w:rsidR="00B916C8" w:rsidRPr="009468A5">
        <w:rPr>
          <w:u w:val="single"/>
        </w:rPr>
        <w:t xml:space="preserve">возникли </w:t>
      </w:r>
      <w:r w:rsidR="008F1F73">
        <w:rPr>
          <w:u w:val="single"/>
        </w:rPr>
        <w:t>вследствие обособленных сделок</w:t>
      </w:r>
      <w:r w:rsidR="00B916C8" w:rsidRPr="009468A5">
        <w:rPr>
          <w:u w:val="single"/>
        </w:rPr>
        <w:t>, а</w:t>
      </w:r>
      <w:r w:rsidRPr="009468A5">
        <w:rPr>
          <w:u w:val="single"/>
        </w:rPr>
        <w:t xml:space="preserve"> не </w:t>
      </w:r>
      <w:r w:rsidR="00CD0C43">
        <w:rPr>
          <w:u w:val="single"/>
        </w:rPr>
        <w:t>были приняты</w:t>
      </w:r>
      <w:r w:rsidR="00B916C8" w:rsidRPr="009468A5">
        <w:rPr>
          <w:u w:val="single"/>
        </w:rPr>
        <w:t xml:space="preserve"> </w:t>
      </w:r>
      <w:r w:rsidRPr="009468A5">
        <w:rPr>
          <w:u w:val="single"/>
        </w:rPr>
        <w:t>в рамках объединения бизнесов.</w:t>
      </w:r>
    </w:p>
    <w:p w14:paraId="4F24F559" w14:textId="04F921A8" w:rsidR="0026058D" w:rsidRPr="009468A5" w:rsidRDefault="00EC26A0">
      <w:pPr>
        <w:pStyle w:val="IASBNormalnpara"/>
      </w:pPr>
      <w:r w:rsidRPr="009468A5">
        <w:rPr>
          <w:u w:val="single"/>
        </w:rPr>
        <w:t>21B</w:t>
      </w:r>
      <w:r w:rsidRPr="009468A5">
        <w:tab/>
      </w:r>
      <w:r w:rsidRPr="009468A5">
        <w:rPr>
          <w:u w:val="single"/>
        </w:rPr>
        <w:t xml:space="preserve">В </w:t>
      </w:r>
      <w:r w:rsidRPr="009468A5">
        <w:rPr>
          <w:i/>
          <w:u w:val="single"/>
        </w:rPr>
        <w:t>«Концептуальных основах представления финансовых отчетов»</w:t>
      </w:r>
      <w:r w:rsidRPr="009468A5">
        <w:rPr>
          <w:u w:val="single"/>
        </w:rPr>
        <w:t xml:space="preserve"> обязательство определяется как «существующая </w:t>
      </w:r>
      <w:r w:rsidR="00EF376A" w:rsidRPr="009468A5">
        <w:rPr>
          <w:u w:val="single"/>
        </w:rPr>
        <w:t xml:space="preserve">в настоящее время </w:t>
      </w:r>
      <w:r w:rsidRPr="009468A5">
        <w:rPr>
          <w:u w:val="single"/>
        </w:rPr>
        <w:t>обязанность организации передать экономический ресурс, возник</w:t>
      </w:r>
      <w:r w:rsidR="00EF376A" w:rsidRPr="009468A5">
        <w:rPr>
          <w:u w:val="single"/>
        </w:rPr>
        <w:t xml:space="preserve">шая </w:t>
      </w:r>
      <w:r w:rsidRPr="009468A5">
        <w:rPr>
          <w:u w:val="single"/>
        </w:rPr>
        <w:t>в результате прошлых событий». В отношении оценочного обязательства или условного обязательства, которые относились бы к сфере применения МСФО (IAS) 37, приобретатель должен применять пункты 15</w:t>
      </w:r>
      <w:r w:rsidR="00BA330E" w:rsidRPr="009468A5">
        <w:rPr>
          <w:u w:val="single"/>
        </w:rPr>
        <w:t>–</w:t>
      </w:r>
      <w:r w:rsidRPr="009468A5">
        <w:rPr>
          <w:u w:val="single"/>
        </w:rPr>
        <w:t xml:space="preserve">22 МСФО (IAS) 37, чтобы определить, </w:t>
      </w:r>
      <w:r w:rsidR="008F1F73">
        <w:rPr>
          <w:u w:val="single"/>
        </w:rPr>
        <w:t>существует</w:t>
      </w:r>
      <w:r w:rsidRPr="009468A5">
        <w:rPr>
          <w:u w:val="single"/>
        </w:rPr>
        <w:t xml:space="preserve"> ли на дату приобретения обязанность, возник</w:t>
      </w:r>
      <w:r w:rsidR="00EF376A" w:rsidRPr="009468A5">
        <w:rPr>
          <w:u w:val="single"/>
        </w:rPr>
        <w:t xml:space="preserve">шая </w:t>
      </w:r>
      <w:r w:rsidRPr="009468A5">
        <w:rPr>
          <w:u w:val="single"/>
        </w:rPr>
        <w:t xml:space="preserve">в результате прошлых событий. В отношении обязательного платежа, который относился бы к сфере применения Разъяснения КРМФО (IFRIC) 21, приобретатель должен применять Разъяснение КРМФО (IFRIC) 21, чтобы определить, произошло ли </w:t>
      </w:r>
      <w:r w:rsidR="007B09D7">
        <w:rPr>
          <w:u w:val="single"/>
        </w:rPr>
        <w:t>до</w:t>
      </w:r>
      <w:r w:rsidRPr="009468A5">
        <w:rPr>
          <w:u w:val="single"/>
        </w:rPr>
        <w:t xml:space="preserve"> дат</w:t>
      </w:r>
      <w:r w:rsidR="007B09D7">
        <w:rPr>
          <w:u w:val="single"/>
        </w:rPr>
        <w:t>ы</w:t>
      </w:r>
      <w:r w:rsidR="00EF376A" w:rsidRPr="009468A5">
        <w:rPr>
          <w:u w:val="single"/>
        </w:rPr>
        <w:t xml:space="preserve"> </w:t>
      </w:r>
      <w:r w:rsidRPr="009468A5">
        <w:rPr>
          <w:u w:val="single"/>
        </w:rPr>
        <w:t xml:space="preserve">приобретения обязывающее событие, </w:t>
      </w:r>
      <w:r w:rsidR="00EF376A" w:rsidRPr="009468A5">
        <w:rPr>
          <w:u w:val="single"/>
        </w:rPr>
        <w:t xml:space="preserve">приводящее к </w:t>
      </w:r>
      <w:r w:rsidR="00AC7633">
        <w:rPr>
          <w:u w:val="single"/>
        </w:rPr>
        <w:t>возникновению</w:t>
      </w:r>
      <w:r w:rsidR="00AC7633" w:rsidRPr="009468A5">
        <w:rPr>
          <w:u w:val="single"/>
        </w:rPr>
        <w:t xml:space="preserve"> </w:t>
      </w:r>
      <w:r w:rsidRPr="009468A5">
        <w:rPr>
          <w:u w:val="single"/>
        </w:rPr>
        <w:t>обязательств</w:t>
      </w:r>
      <w:r w:rsidR="00EF376A" w:rsidRPr="009468A5">
        <w:rPr>
          <w:u w:val="single"/>
        </w:rPr>
        <w:t xml:space="preserve">а по уплате </w:t>
      </w:r>
      <w:r w:rsidRPr="009468A5">
        <w:rPr>
          <w:u w:val="single"/>
        </w:rPr>
        <w:t>обязательн</w:t>
      </w:r>
      <w:r w:rsidR="00EF376A" w:rsidRPr="009468A5">
        <w:rPr>
          <w:u w:val="single"/>
        </w:rPr>
        <w:t>ого</w:t>
      </w:r>
      <w:r w:rsidRPr="009468A5">
        <w:rPr>
          <w:u w:val="single"/>
        </w:rPr>
        <w:t xml:space="preserve"> платеж</w:t>
      </w:r>
      <w:r w:rsidR="00EF376A" w:rsidRPr="009468A5">
        <w:rPr>
          <w:u w:val="single"/>
        </w:rPr>
        <w:t>а</w:t>
      </w:r>
      <w:r w:rsidRPr="009468A5">
        <w:rPr>
          <w:u w:val="single"/>
        </w:rPr>
        <w:t>.</w:t>
      </w:r>
    </w:p>
    <w:p w14:paraId="57E53CDC" w14:textId="648CDE8E" w:rsidR="0026058D" w:rsidRPr="009468A5" w:rsidRDefault="00EC26A0">
      <w:pPr>
        <w:pStyle w:val="IASBNormalnpara"/>
      </w:pPr>
      <w:r w:rsidRPr="009468A5">
        <w:rPr>
          <w:u w:val="single"/>
        </w:rPr>
        <w:t>21C</w:t>
      </w:r>
      <w:r w:rsidRPr="009468A5">
        <w:tab/>
      </w:r>
      <w:r w:rsidRPr="009468A5">
        <w:rPr>
          <w:u w:val="single"/>
        </w:rPr>
        <w:t xml:space="preserve">Существующая обязанность, идентифицированная в соответствии с пунктом 21B, может отвечать определению условного обязательства, </w:t>
      </w:r>
      <w:r w:rsidR="00B916C8" w:rsidRPr="009468A5">
        <w:rPr>
          <w:u w:val="single"/>
        </w:rPr>
        <w:t>изложенного</w:t>
      </w:r>
      <w:r w:rsidRPr="009468A5">
        <w:rPr>
          <w:u w:val="single"/>
        </w:rPr>
        <w:t xml:space="preserve"> в пункте 22(b). В случае</w:t>
      </w:r>
      <w:r w:rsidR="007B09D7">
        <w:rPr>
          <w:u w:val="single"/>
        </w:rPr>
        <w:t>, если отвечает, то</w:t>
      </w:r>
      <w:r w:rsidRPr="009468A5">
        <w:rPr>
          <w:u w:val="single"/>
        </w:rPr>
        <w:t xml:space="preserve"> к этому условному обязательству применяется пункт 23.</w:t>
      </w:r>
    </w:p>
    <w:p w14:paraId="105CA27C" w14:textId="77777777" w:rsidR="0026058D" w:rsidRPr="009468A5" w:rsidRDefault="00EC26A0">
      <w:pPr>
        <w:pStyle w:val="IASBSectionTitle5Ind"/>
      </w:pPr>
      <w:r w:rsidRPr="009468A5">
        <w:t xml:space="preserve">Условные обязательства </w:t>
      </w:r>
      <w:r w:rsidRPr="009468A5">
        <w:rPr>
          <w:u w:val="single"/>
        </w:rPr>
        <w:t>и условные активы</w:t>
      </w:r>
    </w:p>
    <w:p w14:paraId="4CD22B5D" w14:textId="19A4EA7C" w:rsidR="0026058D" w:rsidRPr="009468A5" w:rsidRDefault="00EC26A0">
      <w:pPr>
        <w:pStyle w:val="IASBNormalnpara"/>
      </w:pPr>
      <w:r w:rsidRPr="009468A5">
        <w:t>22</w:t>
      </w:r>
      <w:r w:rsidRPr="009468A5">
        <w:tab/>
        <w:t xml:space="preserve">МСФО (IAS) 37 </w:t>
      </w:r>
      <w:r w:rsidRPr="009468A5">
        <w:rPr>
          <w:i/>
          <w:strike/>
        </w:rPr>
        <w:t>«Оценочные обязательства, условные обязательства и условные активы»</w:t>
      </w:r>
      <w:r w:rsidRPr="009468A5">
        <w:t xml:space="preserve"> определяет условное обязательство как:</w:t>
      </w:r>
    </w:p>
    <w:p w14:paraId="35D67118" w14:textId="2A07ED0D" w:rsidR="0026058D" w:rsidRPr="009468A5" w:rsidRDefault="00EC26A0">
      <w:pPr>
        <w:pStyle w:val="IASBNormalnpara"/>
      </w:pPr>
      <w:r w:rsidRPr="009468A5">
        <w:t>23</w:t>
      </w:r>
      <w:r w:rsidRPr="009468A5">
        <w:tab/>
      </w:r>
      <w:r w:rsidRPr="009468A5">
        <w:rPr>
          <w:strike/>
        </w:rPr>
        <w:t>Требования МСФО (IAS) 37 не применяются при определении того, какие условные обязательства необходимо признать на дату приобретения. Вместо этого п</w:t>
      </w:r>
      <w:r w:rsidRPr="009468A5">
        <w:rPr>
          <w:u w:val="single"/>
        </w:rPr>
        <w:t>П</w:t>
      </w:r>
      <w:r w:rsidRPr="009468A5">
        <w:t>риобретатель должен признать на дату приобретения условное обязательство, принятое при объединении бизнесов, если такое обязательство является существующей обязанностью, возникшей в результате прошлых событий, и е</w:t>
      </w:r>
      <w:r w:rsidR="00AC7633">
        <w:t>го</w:t>
      </w:r>
      <w:r w:rsidRPr="009468A5">
        <w:t xml:space="preserve"> справедливая стоимость может быть оценена с достаточной степенью надежности. Поэтому, вопреки </w:t>
      </w:r>
      <w:r w:rsidRPr="009468A5">
        <w:rPr>
          <w:u w:val="single"/>
        </w:rPr>
        <w:t xml:space="preserve">пунктам 14(b), 23, 27, 29 и 30 </w:t>
      </w:r>
      <w:r w:rsidRPr="009468A5">
        <w:t xml:space="preserve">МСФО (IAS) 37, приобретатель признает условное обязательство, принятое при объединении бизнесов на дату приобретения, даже если не представляется </w:t>
      </w:r>
      <w:r w:rsidR="00FE19A9">
        <w:t>в</w:t>
      </w:r>
      <w:bookmarkStart w:id="0" w:name="_GoBack"/>
      <w:bookmarkEnd w:id="0"/>
      <w:r w:rsidR="00FE19A9">
        <w:t xml:space="preserve">ысоко </w:t>
      </w:r>
      <w:r w:rsidRPr="009468A5">
        <w:t>вероятным, что для урегулирования обязанности потребуется выбытие ресурсов, содержащих экономическ</w:t>
      </w:r>
      <w:r w:rsidR="00AC7633">
        <w:t>ие</w:t>
      </w:r>
      <w:r w:rsidRPr="009468A5">
        <w:t xml:space="preserve"> выгод</w:t>
      </w:r>
      <w:r w:rsidR="00AC7633">
        <w:t>ы</w:t>
      </w:r>
      <w:r w:rsidRPr="009468A5">
        <w:t xml:space="preserve">. В пункте 56 </w:t>
      </w:r>
      <w:r w:rsidRPr="009468A5">
        <w:rPr>
          <w:u w:val="single"/>
        </w:rPr>
        <w:t xml:space="preserve">настоящего </w:t>
      </w:r>
      <w:r w:rsidR="004D6BA3" w:rsidRPr="009468A5">
        <w:rPr>
          <w:u w:val="single"/>
        </w:rPr>
        <w:t>МСФО</w:t>
      </w:r>
      <w:r w:rsidRPr="009468A5">
        <w:t xml:space="preserve"> изложено руководство по последующему учету условных обязательств.</w:t>
      </w:r>
    </w:p>
    <w:p w14:paraId="7EBD652E" w14:textId="1AD97DB6" w:rsidR="0026058D" w:rsidRPr="009468A5" w:rsidRDefault="00EC26A0">
      <w:pPr>
        <w:pStyle w:val="IASBNormalnpara"/>
      </w:pPr>
      <w:r w:rsidRPr="009468A5">
        <w:rPr>
          <w:u w:val="single"/>
        </w:rPr>
        <w:t>23A</w:t>
      </w:r>
      <w:r w:rsidRPr="009468A5">
        <w:tab/>
      </w:r>
      <w:r w:rsidRPr="009468A5">
        <w:rPr>
          <w:u w:val="single"/>
        </w:rPr>
        <w:t xml:space="preserve">МСФО (IAS) 37 определяет условный актив как «возможный актив, который возникает из прошлых событий, и наличие которого будет подтверждено только наступлением или ненаступлением одного или нескольких будущих событий, в наступлении которых нет уверенности и которые не полностью находятся под контролем организации». Приобретатель не </w:t>
      </w:r>
      <w:r w:rsidR="00FE19A9">
        <w:rPr>
          <w:u w:val="single"/>
        </w:rPr>
        <w:t>может</w:t>
      </w:r>
      <w:r w:rsidR="00FE19A9" w:rsidRPr="009468A5">
        <w:rPr>
          <w:u w:val="single"/>
        </w:rPr>
        <w:t xml:space="preserve"> </w:t>
      </w:r>
      <w:r w:rsidRPr="009468A5">
        <w:rPr>
          <w:u w:val="single"/>
        </w:rPr>
        <w:t>признавать условный актив на дату приобретения.</w:t>
      </w:r>
    </w:p>
    <w:p w14:paraId="42DF9025" w14:textId="77777777" w:rsidR="0026058D" w:rsidRPr="009468A5" w:rsidRDefault="00EC26A0">
      <w:pPr>
        <w:pStyle w:val="IASBNormalnpara"/>
      </w:pPr>
      <w:r w:rsidRPr="009468A5">
        <w:tab/>
        <w:t>...</w:t>
      </w:r>
    </w:p>
    <w:p w14:paraId="15A9ADCA" w14:textId="77777777" w:rsidR="0026058D" w:rsidRPr="009468A5" w:rsidRDefault="00EC26A0">
      <w:pPr>
        <w:pStyle w:val="IASBSectionTitle1NonInd"/>
      </w:pPr>
      <w:r w:rsidRPr="009468A5">
        <w:lastRenderedPageBreak/>
        <w:t>Дата вступления в силу и переходные положения</w:t>
      </w:r>
    </w:p>
    <w:p w14:paraId="297CE9C3" w14:textId="77777777" w:rsidR="0026058D" w:rsidRPr="00CD0C43" w:rsidRDefault="00EC26A0">
      <w:pPr>
        <w:pStyle w:val="IASBSectionTitle2Ind"/>
      </w:pPr>
      <w:r w:rsidRPr="009468A5">
        <w:t>Дата</w:t>
      </w:r>
      <w:r w:rsidRPr="00CD0C43">
        <w:t xml:space="preserve"> </w:t>
      </w:r>
      <w:r w:rsidRPr="009468A5">
        <w:t>вступления</w:t>
      </w:r>
      <w:r w:rsidRPr="00CD0C43">
        <w:t xml:space="preserve"> </w:t>
      </w:r>
      <w:r w:rsidRPr="009468A5">
        <w:t>в</w:t>
      </w:r>
      <w:r w:rsidRPr="00CD0C43">
        <w:t xml:space="preserve"> </w:t>
      </w:r>
      <w:r w:rsidRPr="009468A5">
        <w:t>силу</w:t>
      </w:r>
      <w:r w:rsidRPr="00CD0C43">
        <w:t xml:space="preserve"> </w:t>
      </w:r>
    </w:p>
    <w:p w14:paraId="3820AD57" w14:textId="77777777" w:rsidR="0026058D" w:rsidRPr="00CD0C43" w:rsidRDefault="00EC26A0">
      <w:pPr>
        <w:pStyle w:val="IASBNormalnpara"/>
      </w:pPr>
      <w:r w:rsidRPr="00CD0C43">
        <w:tab/>
        <w:t>...</w:t>
      </w:r>
    </w:p>
    <w:p w14:paraId="58A6B1BB" w14:textId="30394D7C" w:rsidR="0026058D" w:rsidRPr="009468A5" w:rsidRDefault="00EC26A0">
      <w:pPr>
        <w:pStyle w:val="IASBNormalnpara"/>
      </w:pPr>
      <w:r w:rsidRPr="009468A5">
        <w:rPr>
          <w:u w:val="single"/>
        </w:rPr>
        <w:t>64</w:t>
      </w:r>
      <w:r w:rsidRPr="009468A5">
        <w:rPr>
          <w:u w:val="single"/>
          <w:lang w:val="en-US"/>
        </w:rPr>
        <w:t>Q</w:t>
      </w:r>
      <w:r w:rsidRPr="009468A5">
        <w:tab/>
      </w:r>
      <w:r w:rsidR="00D30EEF" w:rsidRPr="00C15BF7">
        <w:rPr>
          <w:u w:val="single"/>
        </w:rPr>
        <w:t xml:space="preserve">Документом </w:t>
      </w:r>
      <w:r w:rsidR="00D30EEF" w:rsidRPr="00C15BF7">
        <w:rPr>
          <w:i/>
          <w:iCs/>
          <w:u w:val="single"/>
        </w:rPr>
        <w:t xml:space="preserve">«Ссылки на </w:t>
      </w:r>
      <w:r w:rsidR="00D30EEF" w:rsidRPr="00C15BF7">
        <w:rPr>
          <w:rFonts w:eastAsia="Malgun Gothic"/>
          <w:i/>
          <w:iCs/>
          <w:u w:val="single"/>
          <w:lang w:eastAsia="ko-KR"/>
        </w:rPr>
        <w:t>“Концептуальные основы”</w:t>
      </w:r>
      <w:r w:rsidR="00D30EEF" w:rsidRPr="00C15BF7">
        <w:rPr>
          <w:i/>
          <w:iCs/>
          <w:u w:val="single"/>
        </w:rPr>
        <w:t>»</w:t>
      </w:r>
      <w:r w:rsidRPr="00C15BF7">
        <w:rPr>
          <w:u w:val="single"/>
        </w:rPr>
        <w:t xml:space="preserve">, </w:t>
      </w:r>
      <w:r w:rsidR="00D30EEF" w:rsidRPr="00C15BF7">
        <w:rPr>
          <w:u w:val="single"/>
        </w:rPr>
        <w:t>выпущенным в мае 2020 года, внесены изменения в пункты</w:t>
      </w:r>
      <w:r w:rsidRPr="00C15BF7">
        <w:rPr>
          <w:u w:val="single"/>
        </w:rPr>
        <w:t xml:space="preserve"> 11, 14, 21, 22 </w:t>
      </w:r>
      <w:r w:rsidR="00D30EEF" w:rsidRPr="00C15BF7">
        <w:rPr>
          <w:u w:val="single"/>
        </w:rPr>
        <w:t xml:space="preserve">и </w:t>
      </w:r>
      <w:r w:rsidRPr="00C15BF7">
        <w:rPr>
          <w:u w:val="single"/>
        </w:rPr>
        <w:t>23</w:t>
      </w:r>
      <w:r w:rsidR="00D30EEF" w:rsidRPr="00C15BF7">
        <w:rPr>
          <w:u w:val="single"/>
        </w:rPr>
        <w:t xml:space="preserve"> и добавлены пункты </w:t>
      </w:r>
      <w:r w:rsidRPr="00C15BF7">
        <w:rPr>
          <w:u w:val="single"/>
        </w:rPr>
        <w:t>21</w:t>
      </w:r>
      <w:r w:rsidRPr="00C15BF7">
        <w:rPr>
          <w:u w:val="single"/>
          <w:lang w:val="en-US"/>
        </w:rPr>
        <w:t>A</w:t>
      </w:r>
      <w:r w:rsidRPr="00C15BF7">
        <w:rPr>
          <w:u w:val="single"/>
        </w:rPr>
        <w:t>, 21</w:t>
      </w:r>
      <w:r w:rsidRPr="00C15BF7">
        <w:rPr>
          <w:u w:val="single"/>
          <w:lang w:val="en-US"/>
        </w:rPr>
        <w:t>B</w:t>
      </w:r>
      <w:r w:rsidRPr="00C15BF7">
        <w:rPr>
          <w:u w:val="single"/>
        </w:rPr>
        <w:t>, 21</w:t>
      </w:r>
      <w:r w:rsidRPr="00C15BF7">
        <w:rPr>
          <w:u w:val="single"/>
          <w:lang w:val="en-US"/>
        </w:rPr>
        <w:t>C</w:t>
      </w:r>
      <w:r w:rsidRPr="00C15BF7">
        <w:rPr>
          <w:u w:val="single"/>
        </w:rPr>
        <w:t xml:space="preserve"> </w:t>
      </w:r>
      <w:r w:rsidR="00D30EEF" w:rsidRPr="00C15BF7">
        <w:rPr>
          <w:u w:val="single"/>
        </w:rPr>
        <w:t>и</w:t>
      </w:r>
      <w:r w:rsidRPr="00C15BF7">
        <w:rPr>
          <w:u w:val="single"/>
        </w:rPr>
        <w:t xml:space="preserve"> 23</w:t>
      </w:r>
      <w:r w:rsidRPr="00C15BF7">
        <w:rPr>
          <w:u w:val="single"/>
          <w:lang w:val="en-US"/>
        </w:rPr>
        <w:t>A</w:t>
      </w:r>
      <w:r w:rsidRPr="00C15BF7">
        <w:rPr>
          <w:u w:val="single"/>
        </w:rPr>
        <w:t>. Организация должна применять данные поправки</w:t>
      </w:r>
      <w:r w:rsidRPr="009468A5">
        <w:rPr>
          <w:u w:val="single"/>
        </w:rPr>
        <w:t xml:space="preserve"> в отношении объединени</w:t>
      </w:r>
      <w:r w:rsidR="00D9353B">
        <w:rPr>
          <w:u w:val="single"/>
        </w:rPr>
        <w:t>й</w:t>
      </w:r>
      <w:r w:rsidRPr="009468A5">
        <w:rPr>
          <w:u w:val="single"/>
        </w:rPr>
        <w:t xml:space="preserve"> бизнесов, для котор</w:t>
      </w:r>
      <w:r w:rsidR="00D9353B">
        <w:rPr>
          <w:u w:val="single"/>
        </w:rPr>
        <w:t>ых</w:t>
      </w:r>
      <w:r w:rsidRPr="009468A5">
        <w:rPr>
          <w:u w:val="single"/>
        </w:rPr>
        <w:t xml:space="preserve"> дата приобретения совпадает или наступает после начала первого годового отчетного периода, начинающегося 1 января 2022 года или после этой даты. Допускается досрочное применение</w:t>
      </w:r>
      <w:r w:rsidR="00B916C8" w:rsidRPr="009468A5">
        <w:rPr>
          <w:u w:val="single"/>
        </w:rPr>
        <w:t xml:space="preserve">, если ранее или </w:t>
      </w:r>
      <w:r w:rsidRPr="009468A5">
        <w:rPr>
          <w:u w:val="single"/>
        </w:rPr>
        <w:t>одновременно</w:t>
      </w:r>
      <w:r w:rsidR="00B916C8" w:rsidRPr="009468A5">
        <w:rPr>
          <w:u w:val="single"/>
        </w:rPr>
        <w:t xml:space="preserve"> с этим организация </w:t>
      </w:r>
      <w:r w:rsidRPr="009468A5">
        <w:rPr>
          <w:u w:val="single"/>
        </w:rPr>
        <w:t xml:space="preserve">также применяет все поправки, внесенные документом </w:t>
      </w:r>
      <w:r w:rsidRPr="009468A5">
        <w:rPr>
          <w:i/>
          <w:u w:val="single"/>
        </w:rPr>
        <w:t xml:space="preserve">«Поправки к </w:t>
      </w:r>
      <w:r w:rsidR="005A41C2">
        <w:rPr>
          <w:i/>
          <w:u w:val="single"/>
        </w:rPr>
        <w:t>С</w:t>
      </w:r>
      <w:r w:rsidRPr="009468A5">
        <w:rPr>
          <w:i/>
          <w:u w:val="single"/>
        </w:rPr>
        <w:t xml:space="preserve">сылкам на </w:t>
      </w:r>
      <w:r w:rsidR="000E4514" w:rsidRPr="009468A5">
        <w:rPr>
          <w:rFonts w:eastAsia="Malgun Gothic"/>
          <w:i/>
          <w:u w:val="single"/>
          <w:lang w:eastAsia="ko-KR"/>
        </w:rPr>
        <w:t>“</w:t>
      </w:r>
      <w:r w:rsidRPr="009468A5">
        <w:rPr>
          <w:i/>
          <w:u w:val="single"/>
        </w:rPr>
        <w:t>Концептуальные основы</w:t>
      </w:r>
      <w:r w:rsidR="000E4514" w:rsidRPr="009468A5">
        <w:rPr>
          <w:i/>
          <w:u w:val="single"/>
        </w:rPr>
        <w:t>”</w:t>
      </w:r>
      <w:r w:rsidRPr="009468A5">
        <w:rPr>
          <w:i/>
          <w:u w:val="single"/>
        </w:rPr>
        <w:t xml:space="preserve"> в стандартах МСФО»</w:t>
      </w:r>
      <w:r w:rsidRPr="009468A5">
        <w:rPr>
          <w:u w:val="single"/>
        </w:rPr>
        <w:t>, выпущенным в марте 2018 года.</w:t>
      </w:r>
    </w:p>
    <w:sectPr w:rsidR="0026058D" w:rsidRPr="009468A5">
      <w:headerReference w:type="even" r:id="rId10"/>
      <w:headerReference w:type="default" r:id="rId11"/>
      <w:footerReference w:type="even" r:id="rId12"/>
      <w:footerReference w:type="default" r:id="rId13"/>
      <w:pgSz w:w="11880" w:h="1682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31A45" w16cid:durableId="2282C7CF"/>
  <w16cid:commentId w16cid:paraId="58691884" w16cid:durableId="2282C981"/>
  <w16cid:commentId w16cid:paraId="29251A4C" w16cid:durableId="2280F393"/>
  <w16cid:commentId w16cid:paraId="3A17FF0C" w16cid:durableId="2282CB01"/>
  <w16cid:commentId w16cid:paraId="4613FB8C" w16cid:durableId="2282CB57"/>
  <w16cid:commentId w16cid:paraId="73E8D3BD" w16cid:durableId="2282CBA0"/>
  <w16cid:commentId w16cid:paraId="2743EDBD" w16cid:durableId="2280F465"/>
  <w16cid:commentId w16cid:paraId="03E20F56" w16cid:durableId="2280F4D4"/>
  <w16cid:commentId w16cid:paraId="6D1FAB83" w16cid:durableId="2282CC43"/>
  <w16cid:commentId w16cid:paraId="7A1038F0" w16cid:durableId="2282C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3470D" w14:textId="77777777" w:rsidR="004D4990" w:rsidRDefault="004D4990">
      <w:r>
        <w:separator/>
      </w:r>
    </w:p>
  </w:endnote>
  <w:endnote w:type="continuationSeparator" w:id="0">
    <w:p w14:paraId="6FC2B727" w14:textId="77777777" w:rsidR="004D4990" w:rsidRDefault="004D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2C72" w14:textId="03A43301" w:rsidR="0026058D" w:rsidRDefault="00EC26A0">
    <w:pPr>
      <w:pStyle w:val="Footer"/>
    </w:pPr>
    <w:r>
      <w:fldChar w:fldCharType="begin"/>
    </w:r>
    <w:r>
      <w:instrText>PAGE</w:instrText>
    </w:r>
    <w:r>
      <w:fldChar w:fldCharType="separate"/>
    </w:r>
    <w:r w:rsidR="00801C9C">
      <w:rPr>
        <w:noProof/>
      </w:rPr>
      <w:t>2</w:t>
    </w:r>
    <w:r>
      <w:fldChar w:fldCharType="end"/>
    </w:r>
    <w:r>
      <w:tab/>
      <w:t>© IFRS Foundation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7F8B" w14:textId="5A0CA679" w:rsidR="0026058D" w:rsidRDefault="00EC26A0">
    <w:pPr>
      <w:pStyle w:val="Footer"/>
    </w:pPr>
    <w:r>
      <w:tab/>
      <w:t>© IFRS Foundation</w:t>
    </w:r>
    <w:r>
      <w:tab/>
    </w:r>
    <w:r>
      <w:fldChar w:fldCharType="begin"/>
    </w:r>
    <w:r>
      <w:instrText>PAGE</w:instrText>
    </w:r>
    <w:r>
      <w:fldChar w:fldCharType="separate"/>
    </w:r>
    <w:r w:rsidR="00801C9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4341D" w14:textId="77777777" w:rsidR="004D4990" w:rsidRDefault="004D4990">
      <w:r>
        <w:separator/>
      </w:r>
    </w:p>
  </w:footnote>
  <w:footnote w:type="continuationSeparator" w:id="0">
    <w:p w14:paraId="153E20F6" w14:textId="77777777" w:rsidR="004D4990" w:rsidRDefault="004D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EBCC" w14:textId="0EE551AF" w:rsidR="0026058D" w:rsidRPr="00221691" w:rsidRDefault="0088179A" w:rsidP="0088179A">
    <w:pPr>
      <w:pStyle w:val="Header"/>
      <w:jc w:val="center"/>
      <w:rPr>
        <w:sz w:val="18"/>
        <w:szCs w:val="18"/>
      </w:rPr>
    </w:pPr>
    <w:r>
      <w:rPr>
        <w:sz w:val="18"/>
        <w:szCs w:val="18"/>
      </w:rPr>
      <w:t>Поправки к МСФО (IFRS)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B3CB" w14:textId="77777777" w:rsidR="0026058D" w:rsidRDefault="00EC26A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8D"/>
    <w:rsid w:val="00023399"/>
    <w:rsid w:val="00064A8C"/>
    <w:rsid w:val="000E4514"/>
    <w:rsid w:val="0014515F"/>
    <w:rsid w:val="001C5231"/>
    <w:rsid w:val="00221691"/>
    <w:rsid w:val="0026058D"/>
    <w:rsid w:val="002857AE"/>
    <w:rsid w:val="00365AF6"/>
    <w:rsid w:val="004B74FB"/>
    <w:rsid w:val="004D100B"/>
    <w:rsid w:val="004D4990"/>
    <w:rsid w:val="004D6BA3"/>
    <w:rsid w:val="005A41C2"/>
    <w:rsid w:val="005A6D39"/>
    <w:rsid w:val="007219CC"/>
    <w:rsid w:val="007B09D7"/>
    <w:rsid w:val="007E33F5"/>
    <w:rsid w:val="00801C9C"/>
    <w:rsid w:val="00823A0F"/>
    <w:rsid w:val="0088179A"/>
    <w:rsid w:val="008B0A93"/>
    <w:rsid w:val="008F1F73"/>
    <w:rsid w:val="009468A5"/>
    <w:rsid w:val="00AC0857"/>
    <w:rsid w:val="00AC7633"/>
    <w:rsid w:val="00B417CD"/>
    <w:rsid w:val="00B916C8"/>
    <w:rsid w:val="00BA330E"/>
    <w:rsid w:val="00C15BF7"/>
    <w:rsid w:val="00CC65E9"/>
    <w:rsid w:val="00CD0C43"/>
    <w:rsid w:val="00CD4DFA"/>
    <w:rsid w:val="00D30EEF"/>
    <w:rsid w:val="00D9353B"/>
    <w:rsid w:val="00E11227"/>
    <w:rsid w:val="00E23A1E"/>
    <w:rsid w:val="00E92293"/>
    <w:rsid w:val="00EC26A0"/>
    <w:rsid w:val="00EF376A"/>
    <w:rsid w:val="00FD5694"/>
    <w:rsid w:val="00FD6639"/>
    <w:rsid w:val="00FE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EFAE"/>
  <w15:docId w15:val="{338B06F8-15E3-421C-8977-E4C9AE9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basedOn w:val="DefaultParagraphFont"/>
    <w:uiPriority w:val="99"/>
    <w:semiHidden/>
    <w:unhideWhenUsed/>
    <w:rPr>
      <w:rFonts w:cs="Times New Roman"/>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EndnoteReference">
    <w:name w:val="endnote reference"/>
    <w:basedOn w:val="DefaultParagraphFont"/>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character" w:styleId="CommentReference">
    <w:name w:val="annotation reference"/>
    <w:basedOn w:val="DefaultParagraphFont"/>
    <w:uiPriority w:val="99"/>
    <w:semiHidden/>
    <w:unhideWhenUsed/>
    <w:rsid w:val="007B09D7"/>
    <w:rPr>
      <w:sz w:val="16"/>
      <w:szCs w:val="16"/>
    </w:rPr>
  </w:style>
  <w:style w:type="paragraph" w:styleId="CommentText">
    <w:name w:val="annotation text"/>
    <w:basedOn w:val="Normal"/>
    <w:link w:val="CommentTextChar"/>
    <w:uiPriority w:val="99"/>
    <w:semiHidden/>
    <w:unhideWhenUsed/>
    <w:rsid w:val="007B09D7"/>
    <w:rPr>
      <w:sz w:val="20"/>
      <w:szCs w:val="20"/>
    </w:rPr>
  </w:style>
  <w:style w:type="character" w:customStyle="1" w:styleId="CommentTextChar">
    <w:name w:val="Comment Text Char"/>
    <w:basedOn w:val="DefaultParagraphFont"/>
    <w:link w:val="CommentText"/>
    <w:uiPriority w:val="99"/>
    <w:semiHidden/>
    <w:rsid w:val="007B09D7"/>
    <w:rPr>
      <w:sz w:val="20"/>
      <w:szCs w:val="20"/>
      <w:lang w:eastAsia="en-US"/>
    </w:rPr>
  </w:style>
  <w:style w:type="paragraph" w:styleId="CommentSubject">
    <w:name w:val="annotation subject"/>
    <w:basedOn w:val="CommentText"/>
    <w:next w:val="CommentText"/>
    <w:link w:val="CommentSubjectChar"/>
    <w:uiPriority w:val="99"/>
    <w:semiHidden/>
    <w:unhideWhenUsed/>
    <w:rsid w:val="007B09D7"/>
    <w:rPr>
      <w:b/>
      <w:bCs/>
    </w:rPr>
  </w:style>
  <w:style w:type="character" w:customStyle="1" w:styleId="CommentSubjectChar">
    <w:name w:val="Comment Subject Char"/>
    <w:basedOn w:val="CommentTextChar"/>
    <w:link w:val="CommentSubject"/>
    <w:uiPriority w:val="99"/>
    <w:semiHidden/>
    <w:rsid w:val="007B09D7"/>
    <w:rPr>
      <w:b/>
      <w:bCs/>
      <w:sz w:val="20"/>
      <w:szCs w:val="20"/>
      <w:lang w:eastAsia="en-US"/>
    </w:rPr>
  </w:style>
  <w:style w:type="paragraph" w:styleId="BalloonText">
    <w:name w:val="Balloon Text"/>
    <w:basedOn w:val="Normal"/>
    <w:link w:val="BalloonTextChar"/>
    <w:uiPriority w:val="99"/>
    <w:semiHidden/>
    <w:unhideWhenUsed/>
    <w:rsid w:val="007B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2" ma:contentTypeDescription="Create a new document." ma:contentTypeScope="" ma:versionID="14a725435a93184da95e080976ca60cd">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5ea2c8799ecb1b8d9c6bfc2ae75c52a6"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374D-4346-4213-9D89-76CD8FBBE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5BADB-3F1E-474D-B933-89A31753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0EAB8-D31C-404D-8751-D34B742CB641}">
  <ds:schemaRefs>
    <ds:schemaRef ds:uri="http://schemas.microsoft.com/sharepoint/v3/contenttype/forms"/>
  </ds:schemaRefs>
</ds:datastoreItem>
</file>

<file path=customXml/itemProps4.xml><?xml version="1.0" encoding="utf-8"?>
<ds:datastoreItem xmlns:ds="http://schemas.openxmlformats.org/officeDocument/2006/customXml" ds:itemID="{B50AD81F-3582-4986-BF20-5A3CB202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Reference to the Conceptual Framework</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to the Conceptual Framework</dc:title>
  <dc:creator>IFRS Foundation</dc:creator>
  <cp:lastModifiedBy>Бочарова Лариса</cp:lastModifiedBy>
  <cp:revision>2</cp:revision>
  <dcterms:created xsi:type="dcterms:W3CDTF">2020-10-05T13:25:00Z</dcterms:created>
  <dcterms:modified xsi:type="dcterms:W3CDTF">2020-10-05T13:25:00Z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