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25F3" w14:textId="44638857" w:rsidR="00C816C8" w:rsidRPr="008824C3" w:rsidRDefault="00D74E85" w:rsidP="00C816C8">
      <w:pPr>
        <w:shd w:val="clear" w:color="auto" w:fill="FFFFFF"/>
        <w:spacing w:before="165" w:after="165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C816C8" w:rsidRPr="008824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proiect</w:t>
      </w:r>
    </w:p>
    <w:p w14:paraId="6301DB7A" w14:textId="0E00A029" w:rsidR="00C816C8" w:rsidRPr="008824C3" w:rsidRDefault="00C816C8" w:rsidP="00C816C8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Hotăr</w:t>
      </w:r>
      <w:r w:rsidR="006B2D7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â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rea Guvernului</w:t>
      </w:r>
    </w:p>
    <w:p w14:paraId="3E52766E" w14:textId="3083B2DF" w:rsidR="006B2D75" w:rsidRPr="008824C3" w:rsidRDefault="009E63BB" w:rsidP="00C816C8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Nr.___ din ____</w:t>
      </w:r>
      <w:r w:rsidR="000F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2023</w:t>
      </w:r>
    </w:p>
    <w:p w14:paraId="191B8F52" w14:textId="0D3E2126" w:rsidR="00C816C8" w:rsidRDefault="00C816C8" w:rsidP="00830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pentru aprobarea Regulamentului </w:t>
      </w:r>
      <w:r w:rsidR="0083069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privind modul de acordare a compensațiilor pentru compensarea majorării ratei dobânzii la creditele parțial garantate de stat acordate în cadrul  Programului de stat „Prima casă”</w:t>
      </w:r>
    </w:p>
    <w:p w14:paraId="238A6C19" w14:textId="77777777" w:rsidR="00830695" w:rsidRPr="00830695" w:rsidRDefault="00830695" w:rsidP="00830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5606E4" w14:textId="0A11799B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În temeiul art.7 alin.(5) din Legea nr.293/2017 privind unele măsuri în vederea implementării Programului de stat „Prima casă” (Monitorul Oficial al Republicii Moldova, 2018, nr. 18-26, art. 95) </w:t>
      </w:r>
    </w:p>
    <w:p w14:paraId="6C534B51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7D513E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Guvernul HOTĂRĂŞTE:</w:t>
      </w:r>
    </w:p>
    <w:p w14:paraId="440D8FCA" w14:textId="334C43DB" w:rsidR="00601CB2" w:rsidRPr="008824C3" w:rsidRDefault="00601CB2" w:rsidP="00601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 aprobă Regulamentul privind modul de acordare</w:t>
      </w:r>
      <w:r w:rsidR="00E20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compensațiilor 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compensarea majorării ratei dobânzii la creditele parțial garantate de stat acordate în cadrul  Programului de stat „Prima casă”</w:t>
      </w:r>
      <w:r w:rsidR="00D33D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F7EAB98" w14:textId="0DAA4B20" w:rsidR="00C816C8" w:rsidRPr="008824C3" w:rsidRDefault="00C816C8" w:rsidP="00D73C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ompensații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le se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acord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persoanelor care la data de </w:t>
      </w:r>
      <w:r w:rsidR="00502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BA3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decembrie 2022</w:t>
      </w:r>
      <w:bookmarkStart w:id="0" w:name="_GoBack"/>
      <w:bookmarkEnd w:id="0"/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BF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au statut de beneficiar în cadrul 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Programului de stat ”Prima Casă”</w:t>
      </w:r>
      <w:r w:rsidR="00DF40C3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pentru perioada </w:t>
      </w:r>
      <w:r w:rsidR="00502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ianuarie</w:t>
      </w:r>
      <w:r w:rsidR="000F5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-iunie</w:t>
      </w:r>
      <w:r w:rsidR="00502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DF40C3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29C38E" w14:textId="76872BA5" w:rsidR="00934F5E" w:rsidRPr="008824C3" w:rsidRDefault="00934F5E" w:rsidP="00D73C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Transferul compensațiilor pentru luna </w:t>
      </w:r>
      <w:r w:rsidR="00502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ianuarie 2023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se va efectua în l</w:t>
      </w:r>
      <w:r w:rsidR="00D74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una </w:t>
      </w:r>
      <w:r w:rsidR="00502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februarie 2023</w:t>
      </w:r>
      <w:r w:rsidR="00D74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după intrarea î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 vigoare a prezentei hotărâri. </w:t>
      </w:r>
    </w:p>
    <w:p w14:paraId="20E2A3A2" w14:textId="77777777" w:rsidR="00A12D55" w:rsidRDefault="00DF40C3" w:rsidP="00A12D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Controlul asupra executării prezentei hotăr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 se pune în sarcina Ministerului Finanțelor.</w:t>
      </w:r>
    </w:p>
    <w:p w14:paraId="0751E649" w14:textId="77777777" w:rsidR="00A12D55" w:rsidRDefault="00A12D55" w:rsidP="00A12D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5. Se abrogă Hotărârea Guvernului nr. 564/2022 </w:t>
      </w:r>
      <w:r w:rsidRPr="00A12D55">
        <w:rPr>
          <w:rFonts w:ascii="Times New Roman" w:hAnsi="Times New Roman" w:cs="Times New Roman"/>
          <w:bCs/>
          <w:sz w:val="28"/>
          <w:szCs w:val="28"/>
          <w:lang w:val="it-IT"/>
        </w:rPr>
        <w:t>cu privire la aprobarea Regulamentului privind modul de acordare a compensaţiilor pentru compensarea majorării ratei dobânzii la creditele parţial garantate de stat, acordate în cadrul Programului de stat "Prima casă"</w:t>
      </w:r>
    </w:p>
    <w:p w14:paraId="24439501" w14:textId="43E902E3" w:rsidR="00C816C8" w:rsidRPr="008824C3" w:rsidRDefault="00A12D55" w:rsidP="00A12D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Prezenta hotăr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 intră în vigoare la 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 publicării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Monitorul </w:t>
      </w:r>
      <w:r w:rsidR="00B7118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Oficial 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 </w:t>
      </w:r>
      <w:r w:rsidR="00B7118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Republicii 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Moldova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FB802EE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1554DCF" w14:textId="77777777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PRIM-MINISTRU</w:t>
      </w:r>
    </w:p>
    <w:p w14:paraId="2096E6E0" w14:textId="77777777" w:rsidR="00DC786C" w:rsidRPr="008824C3" w:rsidRDefault="00DC786C" w:rsidP="00DC78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23EFB2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F7513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2B4BF1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0D4814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92CD7B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E1B397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B37269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8F5B7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3769F0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E7EACA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270F9E" w14:textId="77777777" w:rsidR="00DC786C" w:rsidRPr="008824C3" w:rsidRDefault="00DC786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A8ED7C5" w14:textId="77777777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Aprobat</w:t>
      </w:r>
    </w:p>
    <w:p w14:paraId="14F88353" w14:textId="20557B89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 Hotăr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rea Guvernului nr.</w:t>
      </w:r>
    </w:p>
    <w:p w14:paraId="2ADA27C3" w14:textId="77777777" w:rsidR="00DC786C" w:rsidRPr="008824C3" w:rsidRDefault="00DC786C" w:rsidP="00DC78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343285" w14:textId="77777777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REGULAMENT</w:t>
      </w:r>
    </w:p>
    <w:p w14:paraId="0382C128" w14:textId="24E820ED" w:rsidR="00DC786C" w:rsidRPr="008824C3" w:rsidRDefault="00DC786C" w:rsidP="00DC78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privind modul de acordare a compensațiilor </w:t>
      </w:r>
      <w:r w:rsidR="006B2D7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pentru</w:t>
      </w:r>
      <w:r w:rsidR="00655CA3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compensarea majorării ratei dobânzii la creditele parțial garantate de stat acordate în cadrul  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Programului de stat „Prima casă”</w:t>
      </w:r>
    </w:p>
    <w:p w14:paraId="4A38CEC8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61B1CA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EE51C6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DISPOZIȚII GENERALE</w:t>
      </w:r>
    </w:p>
    <w:p w14:paraId="6C9F479A" w14:textId="5AAE2BCF" w:rsidR="00F4319F" w:rsidRPr="008824C3" w:rsidRDefault="00C816C8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81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 Regulament este elaborat în scopul stabilirii mecanismului de</w:t>
      </w:r>
      <w:r w:rsidR="003A670A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9A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compensare a 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majorării </w:t>
      </w:r>
      <w:r w:rsidR="00934F5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dobânzii</w:t>
      </w:r>
      <w:r w:rsidR="00FC69A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creditele ipotecare în cadrul Programului de stat „Prima Casă” (în continuare Program) 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suportate de </w:t>
      </w:r>
      <w:r w:rsidR="00FC69A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beneficiari</w:t>
      </w:r>
      <w:r w:rsidR="000F5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1 ianuarie 2023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4A304F" w14:textId="191E9C59" w:rsidR="00C816C8" w:rsidRPr="008824C3" w:rsidRDefault="00C816C8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81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 sensul prezentului Regulament se utilizează următoarele noțiuni:</w:t>
      </w:r>
    </w:p>
    <w:p w14:paraId="7B2C09FB" w14:textId="7FB9610C" w:rsidR="00C816C8" w:rsidRPr="008824C3" w:rsidRDefault="00417535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</w:t>
      </w:r>
      <w:r w:rsidR="00DC786C"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eneficiar</w:t>
      </w:r>
      <w:r w:rsidR="00EB4150"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de compensație</w:t>
      </w:r>
      <w:r w:rsidR="00DC786C"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="00EB415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beneficiarul Programului „Prima Casă” în conformitate cu prevederile Legii nr.293/2017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care </w:t>
      </w:r>
      <w:r w:rsidR="00EB415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are încheiat un contract de credit în cadrul Programului </w:t>
      </w:r>
      <w:r w:rsidR="00EA2B06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până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r w:rsidR="003109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 decembrie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387E6BB" w14:textId="427074D0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compensație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formă a ajutorului bănesc acordat</w:t>
      </w:r>
      <w:r w:rsidR="00A2575D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către Ministerul Finanțelor către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beneficiari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41753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de compensații în scopul diminuării poverii care compensează </w:t>
      </w:r>
      <w:r w:rsidR="006C297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parțial </w:t>
      </w:r>
      <w:r w:rsidR="0041753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plata lunară </w:t>
      </w:r>
      <w:r w:rsidR="006C297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dobânzii </w:t>
      </w:r>
      <w:r w:rsidR="0041753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aferente creditului ipotecar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14C2A50" w14:textId="2A522966" w:rsidR="002B79C5" w:rsidRPr="008824C3" w:rsidRDefault="002B79C5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creditorul (banca finanțatoare)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banc</w:t>
      </w:r>
      <w:r w:rsidR="00EB415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licențiată de Banca Națională a Moldovei, admisă pentru participare la Program</w:t>
      </w:r>
      <w:r w:rsidR="00A2575D" w:rsidRPr="008824C3">
        <w:rPr>
          <w:color w:val="000000" w:themeColor="text1"/>
        </w:rPr>
        <w:t xml:space="preserve"> </w:t>
      </w:r>
      <w:r w:rsidR="00A2575D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 conformitate cu prevederile Legii nr.293/2017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9DB952F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F71220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7F3E9A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MODUL DE STABILIRE A MĂRIMII</w:t>
      </w:r>
      <w:r w:rsidR="00DC786C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COMPENSAȚIILOR</w:t>
      </w:r>
    </w:p>
    <w:p w14:paraId="78915FC6" w14:textId="3E0B3E98" w:rsidR="00C816C8" w:rsidRPr="008824C3" w:rsidRDefault="00C816C8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Compensația se acordă pentru acoperirea parțială a cheltuielilor pe care le suportă beneficiarul pentru achitarea 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dobânzii lunare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creditului ipotecar în cadrul P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rogramului, ca urmare a creșterii accelerate </w:t>
      </w:r>
      <w:r w:rsidR="00441C4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3A669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ratei </w:t>
      </w:r>
      <w:r w:rsidR="00441C4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dobânzi</w:t>
      </w:r>
      <w:r w:rsidR="003A669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441C4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6D1E97" w14:textId="073E3D95" w:rsidR="005F2E69" w:rsidRPr="008824C3" w:rsidRDefault="005F2E69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Volumul compensației acordate din bugetul de stat unui beneficiar se calculează în mărime de 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până la </w:t>
      </w:r>
      <w:r w:rsidR="000F5C5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A12D5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4 p.</w:t>
      </w:r>
      <w:r w:rsidR="00A12D55" w:rsidRPr="00A12D5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p</w:t>
      </w:r>
      <w:r w:rsidR="00A12D5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r w:rsidR="00A12D55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din suma majorării de dobândă calculată din 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soldul 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creditul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ui rămas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14:paraId="2F0A69F6" w14:textId="7DCF8B7B" w:rsidR="00C816C8" w:rsidRPr="008824C3" w:rsidRDefault="00C816C8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Compensația se acordă lunar, </w:t>
      </w:r>
      <w:r w:rsidR="00916D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pentru perioada </w:t>
      </w:r>
      <w:r w:rsidR="000F5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ianuarie-iunie</w:t>
      </w:r>
      <w:r w:rsidR="007D1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916D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cazul stingerii anticipate a creditului ipotecar, transferul compensației încetează </w:t>
      </w:r>
      <w:r w:rsidR="008104A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luna următoare celei în care a fost achitată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ultim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rat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28DF2B" w14:textId="2EB0777A" w:rsidR="00E93881" w:rsidRPr="008824C3" w:rsidRDefault="00E93881" w:rsidP="007D182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Valoarea lunară a c</w:t>
      </w:r>
      <w:r w:rsidR="008104A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ompensați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ei</w:t>
      </w:r>
      <w:r w:rsidR="008104A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este calculată conform următoarei formule de calcul:</w:t>
      </w:r>
    </w:p>
    <w:p w14:paraId="1EA68AC7" w14:textId="3BE634C3" w:rsidR="004E17A1" w:rsidRPr="008824C3" w:rsidRDefault="004E17A1" w:rsidP="00E93881">
      <w:pPr>
        <w:pStyle w:val="ListParagraph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MD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Cambria Math"/>
              <w:color w:val="000000" w:themeColor="text1"/>
              <w:sz w:val="24"/>
              <w:szCs w:val="24"/>
              <w:lang w:val="ro-MD"/>
            </w:rPr>
            <m:t>C</m:t>
          </m:r>
          <m:r>
            <m:rPr>
              <m:sty m:val="b"/>
            </m:rPr>
            <w:rPr>
              <w:rFonts w:ascii="Cambria Math" w:eastAsia="Times New Roman" w:hAnsi="Cambria Math" w:cs="Cambria Math"/>
              <w:color w:val="000000" w:themeColor="text1"/>
              <w:sz w:val="24"/>
              <w:szCs w:val="24"/>
              <w:lang w:val="ro-MD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 w:themeColor="text1"/>
                  <w:sz w:val="24"/>
                  <w:szCs w:val="24"/>
                  <w:lang w:val="ro-MD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 Math"/>
                      <w:b/>
                      <w:color w:val="000000" w:themeColor="text1"/>
                      <w:sz w:val="24"/>
                      <w:szCs w:val="24"/>
                      <w:lang w:val="ro-MD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r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  <w:lang w:val="ro-MD"/>
                </w:rPr>
                <m:t>*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ro-MD"/>
                </w:rPr>
                <m:t>i%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Cambria Math"/>
                      <w:b/>
                      <w:color w:val="000000" w:themeColor="text1"/>
                      <w:sz w:val="24"/>
                      <w:szCs w:val="24"/>
                      <w:lang w:val="ro-MD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ro-MD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val="ro-MD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ro-MD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ro-MD"/>
                </w:rPr>
                <m:t>l</m:t>
              </m:r>
            </m:sub>
          </m:sSub>
        </m:oMath>
      </m:oMathPara>
    </w:p>
    <w:p w14:paraId="260D5AAE" w14:textId="77777777" w:rsidR="008824C3" w:rsidRPr="00122BE5" w:rsidRDefault="00CC7220" w:rsidP="000A6225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MD"/>
        </w:rPr>
        <w:br/>
      </w:r>
      <w:r w:rsidR="00E93881" w:rsidRPr="00122B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C</w:t>
      </w:r>
      <w:r w:rsidR="00E9388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valoarea compensației lunare</w:t>
      </w:r>
      <w:r w:rsidR="00A5523E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exprimată în lei</w:t>
      </w:r>
      <w:r w:rsidR="00E9388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9ACD95D" w14:textId="7EE9008F" w:rsidR="008824C3" w:rsidRPr="00122BE5" w:rsidRDefault="00D66055" w:rsidP="000A6225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 w:themeColor="text1"/>
                <w:sz w:val="28"/>
                <w:szCs w:val="28"/>
                <w:lang w:val="ro-MD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r</m:t>
            </m:r>
          </m:sub>
        </m:sSub>
      </m:oMath>
      <w:r w:rsidR="008824C3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-   Soldul rămas al creditului ipotecar la finele lunii</w:t>
      </w:r>
      <w:r w:rsidR="005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;</w:t>
      </w:r>
    </w:p>
    <w:p w14:paraId="020FEDF0" w14:textId="5E540DCF" w:rsidR="00122BE5" w:rsidRDefault="00122BE5" w:rsidP="00237BE6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>i%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122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- </w:t>
      </w:r>
      <w:r w:rsidR="00A12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>a)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035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>4 p.p</w:t>
      </w:r>
      <w:r w:rsidR="00A12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035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(</w:t>
      </w:r>
      <w:r w:rsidR="0031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67</w:t>
      </w:r>
      <w:r w:rsidR="00237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%</w:t>
      </w:r>
      <w:r w:rsidR="00035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)</w:t>
      </w:r>
      <w:r w:rsidR="00237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diferența dintre  rata dobânzii stabilite în perioada 01.01.2022- 30.06.2022 și rata dobânzii</w:t>
      </w:r>
      <w:r w:rsidR="003109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stabilite pentru perioada 01.01</w:t>
      </w:r>
      <w:r w:rsidR="00237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109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3-30.06.2023</w:t>
      </w:r>
      <w:r w:rsidR="005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8751A22" w14:textId="7F180300" w:rsidR="00A12D55" w:rsidRPr="00A12D55" w:rsidRDefault="00A12D55" w:rsidP="00A12D55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b) </w:t>
      </w:r>
      <w:r w:rsidRPr="00A12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2 p.p. </w:t>
      </w:r>
      <w:r w:rsidRPr="00A12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 diferența dintre  rata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dobânzii stabilite în perioada </w:t>
      </w:r>
      <w:r w:rsidRPr="00A12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01.07.2022-31.12.2022 și rata dobânzii stabilite pentru perioada 01.01.2023-30.06.2023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D1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 beneficiarii de credite ipotecare Prima casă accesate în perioada 01.07.2022-31.12.2022</w:t>
      </w:r>
    </w:p>
    <w:p w14:paraId="4FC900AA" w14:textId="52003542" w:rsidR="00E93881" w:rsidRPr="00122BE5" w:rsidRDefault="00D66055" w:rsidP="000A6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 w:themeColor="text1"/>
                <w:sz w:val="28"/>
                <w:szCs w:val="28"/>
                <w:lang w:val="ro-MD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a</m:t>
            </m:r>
          </m:sub>
        </m:sSub>
      </m:oMath>
      <w:r w:rsidR="002171C2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E17A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Numărul de zile într-un an calendaristic (365 zile/366 zile) </w:t>
      </w:r>
    </w:p>
    <w:p w14:paraId="6262CF47" w14:textId="2BF24591" w:rsidR="00972194" w:rsidRDefault="00D66055" w:rsidP="00204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8"/>
                <w:szCs w:val="28"/>
                <w:lang w:val="ro-MD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l</m:t>
            </m:r>
          </m:sub>
        </m:sSub>
      </m:oMath>
      <w:r w:rsidR="002171C2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E17A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numărul de zile în luna pentru care se face calculul compensației.</w:t>
      </w:r>
    </w:p>
    <w:p w14:paraId="3225E5BF" w14:textId="482BD08F" w:rsidR="00046B32" w:rsidRPr="008824C3" w:rsidRDefault="005633C7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81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Creditorul</w:t>
      </w:r>
      <w:r w:rsidR="005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lunar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nu mai târziu de data de 7 a lunii va </w:t>
      </w:r>
      <w:r w:rsidR="00065EC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prezenta către 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Organizația pentru  Dezvoltarea Antreprenorialului (ODA)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Informația  privind  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soldul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rămas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 luna precedentă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creditelor ipotecare acordate până la </w:t>
      </w:r>
      <w:r w:rsidR="000F5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535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decembrie </w:t>
      </w:r>
      <w:r w:rsidR="00535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2022 , per 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beneficiar în parte 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conform formularului din  Anexa 1.</w:t>
      </w:r>
    </w:p>
    <w:p w14:paraId="46D4B71F" w14:textId="4CAF52F4" w:rsidR="00046B32" w:rsidRPr="008824C3" w:rsidRDefault="00065EC9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81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ODA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termen de 3 zile</w:t>
      </w:r>
      <w:r w:rsidR="00251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lucrătoare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va valida informația recepționată și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va transmite către Ministerul Finanțelor pentru transferul compensațiilor.</w:t>
      </w:r>
    </w:p>
    <w:p w14:paraId="3DF2CA3D" w14:textId="2D2DD93C" w:rsidR="008F6649" w:rsidRPr="008824C3" w:rsidRDefault="008F6649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81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Raportul privind 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soldul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rămas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pentru luna precedentă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creditelor ipotecare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necesar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pentru 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calculul și </w:t>
      </w:r>
      <w:r w:rsidR="001607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finanțarea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compensării</w:t>
      </w:r>
      <w:r w:rsidR="003A670A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numărul de beneficiari </w:t>
      </w:r>
      <w:r w:rsidR="003A670A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și informațiile detaliate per beneficiar,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</w:t>
      </w:r>
      <w:r w:rsidR="001607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întocmește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B06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se prezintă luna</w:t>
      </w:r>
      <w:r w:rsidR="00746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 în conformitate cu Anexa nr.1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în format electronic - fișier Excel și PDF 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către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ODA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Versiunea PDF va fi autentificată prin semnătură electronica calificată de persoana responsabilă de întocmirea acesteia sau de persoana împuternicită.</w:t>
      </w:r>
    </w:p>
    <w:p w14:paraId="034DC912" w14:textId="6954B393" w:rsidR="00441C42" w:rsidRPr="008824C3" w:rsidRDefault="00441C42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27774D" w14:textId="532A1E26" w:rsidR="00C816C8" w:rsidRPr="008824C3" w:rsidRDefault="00013720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817D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="00C816C8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ACORDAREA COMPENSAȚIILOR LUNARE</w:t>
      </w:r>
    </w:p>
    <w:p w14:paraId="4916F5E5" w14:textId="57696D25" w:rsidR="005F2E69" w:rsidRPr="008824C3" w:rsidRDefault="005F2E69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Transferul compensației se efectuează lunar, pe parcursul </w:t>
      </w:r>
      <w:r w:rsidR="000137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lunilor </w:t>
      </w:r>
      <w:r w:rsidR="000F5C5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ianuarie</w:t>
      </w:r>
      <w:r w:rsidR="000137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</w:t>
      </w:r>
      <w:r w:rsidR="000F5C5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iunie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de către Ministerul Finanțelor, direct la contul utilizat de către beneficiar la instituția creditară pentru decontările aferente creditului ipotecar.</w:t>
      </w:r>
    </w:p>
    <w:p w14:paraId="49E17416" w14:textId="3DC66B6E" w:rsidR="00C816C8" w:rsidRPr="008824C3" w:rsidRDefault="00473309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Creditorul nu va putea include î</w:t>
      </w:r>
      <w:r w:rsidR="00746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raportul indicat în punctul 9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creditele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aferent cărora sunt înregistrate plăți curente restante pentru o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perioadă mai mare de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zile consecutiv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 sau creditul este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calific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at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drept neperformant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corespundere cu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prevederil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B06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Hotărârii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Guvernului nr.202/2018 cu privire la aprobarea Regulamentului de implementare a Programului de stat „Prima casă”.</w:t>
      </w:r>
    </w:p>
    <w:p w14:paraId="50B43DD7" w14:textId="10E43B05" w:rsidR="00A75571" w:rsidRPr="008824C3" w:rsidRDefault="005F2E69" w:rsidP="004B549B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</w:p>
    <w:p w14:paraId="692F4C3A" w14:textId="11D37C84" w:rsidR="00C816C8" w:rsidRPr="008824C3" w:rsidRDefault="00817D65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01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="00C816C8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DISPOZIȚII FINALE</w:t>
      </w:r>
    </w:p>
    <w:p w14:paraId="11F1E6C4" w14:textId="401F1E16" w:rsidR="008F6649" w:rsidRPr="008824C3" w:rsidRDefault="00160760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Creditorii </w:t>
      </w:r>
      <w:r w:rsidR="00817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sunt responsabili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pentru veridicitatea </w:t>
      </w:r>
      <w:r w:rsidR="00817D6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corectitudinea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evidenței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beneficiarilor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52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calculul soldului rămas al creditului ipotecar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precum </w:t>
      </w:r>
      <w:r w:rsidR="00BD52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deducerea sumei acestei compensații din suma totală a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ratei lunare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spre plată datorată de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către beneficiari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F5EE662" w14:textId="1FE28E40" w:rsidR="00DF40C3" w:rsidRPr="008824C3" w:rsidRDefault="007465B3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ODA</w:t>
      </w:r>
      <w:r w:rsidR="00C03F1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este responsabil</w:t>
      </w:r>
      <w:r w:rsidR="00DF40C3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pentru corectitudinea și veridicitatea evidenței beneficiarilor incluși în Informația transmisă către Ministerul Finanțelor.</w:t>
      </w:r>
    </w:p>
    <w:p w14:paraId="5D30029D" w14:textId="4B9390F3" w:rsidR="00C816C8" w:rsidRPr="008824C3" w:rsidRDefault="00C816C8" w:rsidP="00A12D55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Controlul asupra corectitudinii aplicării prezentului Regulament se efectuează de către Inspecția Financiară din cadrul Ministerului Finanțelor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și alte organe abilitate conform legislației.</w:t>
      </w:r>
    </w:p>
    <w:p w14:paraId="15E11B40" w14:textId="5EB339FC" w:rsidR="00DA46FF" w:rsidRDefault="00DA46FF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45EC1" w14:textId="3473C7C3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35FC7" w14:textId="5A3E2A43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8256F" w14:textId="6DF0C5AC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DC5A16" w14:textId="4878C88C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2726F" w14:textId="44DCE26B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6F165" w14:textId="7EC79750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4E048" w14:textId="573819C0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0B33E" w14:textId="332918DB" w:rsidR="00A12D55" w:rsidRDefault="00A12D55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B6066" w14:textId="77777777" w:rsidR="00A12D55" w:rsidRDefault="00A12D55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C4968" w14:textId="2F1E95FB" w:rsidR="007465B3" w:rsidRDefault="007465B3" w:rsidP="007D18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EDF1A" w14:textId="29740603" w:rsidR="00285E4C" w:rsidRDefault="00285E4C" w:rsidP="007465B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Anexa 1.</w:t>
      </w:r>
    </w:p>
    <w:p w14:paraId="0E215E63" w14:textId="77777777" w:rsidR="007465B3" w:rsidRDefault="007465B3" w:rsidP="007465B3">
      <w:pPr>
        <w:pStyle w:val="paragraph"/>
        <w:spacing w:before="0" w:beforeAutospacing="0" w:after="0" w:afterAutospacing="0"/>
        <w:ind w:left="150" w:right="105" w:firstLine="705"/>
        <w:jc w:val="right"/>
        <w:textAlignment w:val="baseline"/>
        <w:rPr>
          <w:rStyle w:val="normaltextrun"/>
          <w:sz w:val="18"/>
          <w:szCs w:val="28"/>
          <w:lang w:val="ro-RO"/>
        </w:rPr>
      </w:pPr>
      <w:r w:rsidRPr="007465B3">
        <w:rPr>
          <w:rStyle w:val="normaltextrun"/>
          <w:sz w:val="18"/>
          <w:szCs w:val="28"/>
          <w:lang w:val="ro-RO"/>
        </w:rPr>
        <w:t xml:space="preserve">la Regulamentul privind modul de acordare a </w:t>
      </w:r>
    </w:p>
    <w:p w14:paraId="6A20F049" w14:textId="77777777" w:rsidR="007465B3" w:rsidRDefault="007465B3" w:rsidP="007465B3">
      <w:pPr>
        <w:pStyle w:val="paragraph"/>
        <w:spacing w:before="0" w:beforeAutospacing="0" w:after="0" w:afterAutospacing="0"/>
        <w:ind w:left="150" w:right="105" w:firstLine="705"/>
        <w:jc w:val="right"/>
        <w:textAlignment w:val="baseline"/>
        <w:rPr>
          <w:rStyle w:val="normaltextrun"/>
          <w:sz w:val="18"/>
          <w:szCs w:val="28"/>
          <w:lang w:val="ro-RO"/>
        </w:rPr>
      </w:pPr>
      <w:r w:rsidRPr="007465B3">
        <w:rPr>
          <w:rStyle w:val="normaltextrun"/>
          <w:sz w:val="18"/>
          <w:szCs w:val="28"/>
          <w:lang w:val="ro-RO"/>
        </w:rPr>
        <w:t xml:space="preserve">compensațiilor pentru compensarea majorării ratei dobânzii la </w:t>
      </w:r>
    </w:p>
    <w:p w14:paraId="1DE4BDDC" w14:textId="1BACF8FC" w:rsidR="007465B3" w:rsidRPr="007465B3" w:rsidRDefault="007465B3" w:rsidP="007465B3">
      <w:pPr>
        <w:pStyle w:val="paragraph"/>
        <w:spacing w:before="0" w:beforeAutospacing="0" w:after="0" w:afterAutospacing="0"/>
        <w:ind w:left="150" w:right="105" w:firstLine="705"/>
        <w:jc w:val="right"/>
        <w:textAlignment w:val="baseline"/>
        <w:rPr>
          <w:rFonts w:ascii="Segoe UI" w:hAnsi="Segoe UI" w:cs="Segoe UI"/>
          <w:sz w:val="10"/>
          <w:szCs w:val="18"/>
          <w:lang w:val="it-IT"/>
        </w:rPr>
      </w:pPr>
      <w:r w:rsidRPr="007465B3">
        <w:rPr>
          <w:rStyle w:val="normaltextrun"/>
          <w:sz w:val="18"/>
          <w:szCs w:val="28"/>
          <w:lang w:val="ro-RO"/>
        </w:rPr>
        <w:t>creditele parțial garantate de stat acordate în cadrul Programului de stat „Prima casă””</w:t>
      </w:r>
    </w:p>
    <w:p w14:paraId="63177C80" w14:textId="77777777" w:rsidR="007465B3" w:rsidRPr="007465B3" w:rsidRDefault="007465B3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</w:p>
    <w:p w14:paraId="41255A73" w14:textId="510BC6D4" w:rsidR="007465B3" w:rsidRDefault="007465B3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79B77" w14:textId="77777777" w:rsidR="007465B3" w:rsidRDefault="007465B3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810"/>
        <w:gridCol w:w="990"/>
        <w:gridCol w:w="810"/>
        <w:gridCol w:w="990"/>
        <w:gridCol w:w="1260"/>
        <w:gridCol w:w="1530"/>
        <w:gridCol w:w="1440"/>
        <w:gridCol w:w="1440"/>
      </w:tblGrid>
      <w:tr w:rsidR="000F5C5D" w:rsidRPr="00285E4C" w14:paraId="7E170166" w14:textId="5E0DFE02" w:rsidTr="00A12D55">
        <w:trPr>
          <w:trHeight w:val="1097"/>
        </w:trPr>
        <w:tc>
          <w:tcPr>
            <w:tcW w:w="10890" w:type="dxa"/>
            <w:gridSpan w:val="11"/>
          </w:tcPr>
          <w:p w14:paraId="59D67422" w14:textId="52CED9D8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Raport privind dobânda  majorata a beneficiarilor de credite parțial garantate de stat în cadrul Programului de stat ” Prima casa”</w:t>
            </w:r>
          </w:p>
        </w:tc>
      </w:tr>
      <w:tr w:rsidR="00A12D55" w:rsidRPr="00285E4C" w14:paraId="3C837D78" w14:textId="13321B4A" w:rsidTr="00A12D55">
        <w:trPr>
          <w:cantSplit/>
          <w:trHeight w:val="1155"/>
        </w:trPr>
        <w:tc>
          <w:tcPr>
            <w:tcW w:w="540" w:type="dxa"/>
            <w:noWrap/>
            <w:textDirection w:val="btLr"/>
            <w:hideMark/>
          </w:tcPr>
          <w:p w14:paraId="70046E75" w14:textId="1A588AB5" w:rsidR="000F5C5D" w:rsidRPr="00285E4C" w:rsidRDefault="000F5C5D" w:rsidP="000F5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</w:t>
            </w:r>
          </w:p>
        </w:tc>
        <w:tc>
          <w:tcPr>
            <w:tcW w:w="540" w:type="dxa"/>
            <w:noWrap/>
            <w:textDirection w:val="btLr"/>
            <w:hideMark/>
          </w:tcPr>
          <w:p w14:paraId="750E6886" w14:textId="77777777" w:rsidR="000F5C5D" w:rsidRPr="00285E4C" w:rsidRDefault="000F5C5D" w:rsidP="000F5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Prenume</w:t>
            </w:r>
          </w:p>
        </w:tc>
        <w:tc>
          <w:tcPr>
            <w:tcW w:w="540" w:type="dxa"/>
            <w:noWrap/>
            <w:textDirection w:val="btLr"/>
            <w:hideMark/>
          </w:tcPr>
          <w:p w14:paraId="44CCDDC8" w14:textId="77777777" w:rsidR="000F5C5D" w:rsidRPr="00285E4C" w:rsidRDefault="000F5C5D" w:rsidP="000F5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IDNP</w:t>
            </w:r>
          </w:p>
        </w:tc>
        <w:tc>
          <w:tcPr>
            <w:tcW w:w="810" w:type="dxa"/>
            <w:textDirection w:val="btLr"/>
            <w:hideMark/>
          </w:tcPr>
          <w:p w14:paraId="02651A4D" w14:textId="77777777" w:rsidR="000F5C5D" w:rsidRPr="00285E4C" w:rsidRDefault="000F5C5D" w:rsidP="00A1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Suma creditului acordată</w:t>
            </w:r>
          </w:p>
        </w:tc>
        <w:tc>
          <w:tcPr>
            <w:tcW w:w="990" w:type="dxa"/>
            <w:textDirection w:val="btLr"/>
            <w:hideMark/>
          </w:tcPr>
          <w:p w14:paraId="7BAEAAE0" w14:textId="5923FC28" w:rsidR="000F5C5D" w:rsidRPr="00285E4C" w:rsidRDefault="000F5C5D" w:rsidP="00A1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Soldul creditului rămas</w:t>
            </w:r>
          </w:p>
        </w:tc>
        <w:tc>
          <w:tcPr>
            <w:tcW w:w="810" w:type="dxa"/>
            <w:textDirection w:val="btLr"/>
            <w:hideMark/>
          </w:tcPr>
          <w:p w14:paraId="76DE4856" w14:textId="77777777" w:rsidR="000F5C5D" w:rsidRPr="00285E4C" w:rsidRDefault="000F5C5D" w:rsidP="00A1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acordării creditului</w:t>
            </w:r>
          </w:p>
        </w:tc>
        <w:tc>
          <w:tcPr>
            <w:tcW w:w="990" w:type="dxa"/>
            <w:textDirection w:val="btLr"/>
            <w:hideMark/>
          </w:tcPr>
          <w:p w14:paraId="488A10D7" w14:textId="682E289C" w:rsidR="000F5C5D" w:rsidRPr="00285E4C" w:rsidRDefault="000F5C5D" w:rsidP="00A1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scadenței creditului ipotecar</w:t>
            </w:r>
          </w:p>
        </w:tc>
        <w:tc>
          <w:tcPr>
            <w:tcW w:w="1260" w:type="dxa"/>
            <w:textDirection w:val="btLr"/>
            <w:hideMark/>
          </w:tcPr>
          <w:p w14:paraId="73B4DCD9" w14:textId="04C3F78B" w:rsidR="000F5C5D" w:rsidRPr="00285E4C" w:rsidRDefault="000F5C5D" w:rsidP="00A1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Cod IBAN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</w:t>
            </w: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 contul curent aferent creditului ipotecar)</w:t>
            </w:r>
          </w:p>
        </w:tc>
        <w:tc>
          <w:tcPr>
            <w:tcW w:w="1530" w:type="dxa"/>
          </w:tcPr>
          <w:p w14:paraId="4DBB7B83" w14:textId="77777777" w:rsidR="00A12D55" w:rsidRDefault="000F5C5D" w:rsidP="009A61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 maximă a dobânzii pentru 01.01.22-30.06</w:t>
            </w: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.2022</w:t>
            </w:r>
          </w:p>
          <w:p w14:paraId="26A14714" w14:textId="1391717D" w:rsidR="000F5C5D" w:rsidRPr="00285E4C" w:rsidRDefault="000F5C5D" w:rsidP="009A61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 %)</w:t>
            </w:r>
          </w:p>
        </w:tc>
        <w:tc>
          <w:tcPr>
            <w:tcW w:w="1440" w:type="dxa"/>
            <w:hideMark/>
          </w:tcPr>
          <w:p w14:paraId="04C068B3" w14:textId="77777777" w:rsidR="00A12D55" w:rsidRDefault="000F5C5D" w:rsidP="00A12D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Rata maximă a dobânzii pentru 01.07.22-31.12.2022</w:t>
            </w:r>
            <w:r w:rsidR="00A12D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7C895B60" w14:textId="05220257" w:rsidR="000F5C5D" w:rsidRPr="00285E4C" w:rsidRDefault="000F5C5D" w:rsidP="00A12D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 %)</w:t>
            </w:r>
          </w:p>
        </w:tc>
        <w:tc>
          <w:tcPr>
            <w:tcW w:w="1440" w:type="dxa"/>
          </w:tcPr>
          <w:p w14:paraId="49255894" w14:textId="77777777" w:rsidR="00A12D55" w:rsidRDefault="000F5C5D" w:rsidP="009A61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 maximă a dobânzii pentru 01.01.23-30.06.2023  </w:t>
            </w: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44D9EAF" w14:textId="42657424" w:rsidR="000F5C5D" w:rsidRPr="00285E4C" w:rsidRDefault="000F5C5D" w:rsidP="009A61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 %)</w:t>
            </w:r>
          </w:p>
        </w:tc>
      </w:tr>
      <w:tr w:rsidR="000F5C5D" w:rsidRPr="00285E4C" w14:paraId="54552057" w14:textId="30CD46EA" w:rsidTr="00A12D55">
        <w:trPr>
          <w:trHeight w:val="300"/>
        </w:trPr>
        <w:tc>
          <w:tcPr>
            <w:tcW w:w="540" w:type="dxa"/>
            <w:noWrap/>
            <w:hideMark/>
          </w:tcPr>
          <w:p w14:paraId="1B71275B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EFFA1D4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FF01EB5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hideMark/>
          </w:tcPr>
          <w:p w14:paraId="09D6AD52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0BC3D2AC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hideMark/>
          </w:tcPr>
          <w:p w14:paraId="7275C694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2B502184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0" w:type="dxa"/>
            <w:hideMark/>
          </w:tcPr>
          <w:p w14:paraId="3C228145" w14:textId="77777777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4040BCF" w14:textId="69D656D9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40" w:type="dxa"/>
            <w:hideMark/>
          </w:tcPr>
          <w:p w14:paraId="12C61660" w14:textId="59F76F1A" w:rsidR="000F5C5D" w:rsidRPr="00285E4C" w:rsidRDefault="000F5C5D" w:rsidP="0028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4E264058" w14:textId="77777777" w:rsidR="000F5C5D" w:rsidRDefault="000F5C5D" w:rsidP="0028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5C5D" w:rsidRPr="00285E4C" w14:paraId="67F4CFB9" w14:textId="2C7F58CC" w:rsidTr="00A12D55">
        <w:trPr>
          <w:trHeight w:val="300"/>
        </w:trPr>
        <w:tc>
          <w:tcPr>
            <w:tcW w:w="540" w:type="dxa"/>
            <w:noWrap/>
            <w:hideMark/>
          </w:tcPr>
          <w:p w14:paraId="60C67DAC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14:paraId="39D0280B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14:paraId="019D11CE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1C0BD38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A27B55B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065493F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08B7D7AC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FD99689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0" w:type="dxa"/>
          </w:tcPr>
          <w:p w14:paraId="72253CAD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970D053" w14:textId="4A45C862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14:paraId="2C7E4202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5C5D" w:rsidRPr="00285E4C" w14:paraId="021EB211" w14:textId="02B70D8A" w:rsidTr="00A12D55">
        <w:trPr>
          <w:trHeight w:val="300"/>
        </w:trPr>
        <w:tc>
          <w:tcPr>
            <w:tcW w:w="540" w:type="dxa"/>
            <w:noWrap/>
            <w:hideMark/>
          </w:tcPr>
          <w:p w14:paraId="35D1E8AA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14:paraId="50D79048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14:paraId="78C701C7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59C3784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50A7F1F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EBB9CA2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4E74BA8F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F25D344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0" w:type="dxa"/>
          </w:tcPr>
          <w:p w14:paraId="2019D733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926D74F" w14:textId="1995BA54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14:paraId="438F0D32" w14:textId="77777777" w:rsidR="000F5C5D" w:rsidRPr="00285E4C" w:rsidRDefault="000F5C5D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8E6626" w14:textId="710FFE4E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A6310" w14:textId="77777777" w:rsidR="00285E4C" w:rsidRDefault="00285E4C" w:rsidP="00285E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1BED881E" w14:textId="77777777" w:rsidR="00285E4C" w:rsidRDefault="00285E4C" w:rsidP="00285E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6470B07C" w14:textId="23AEAE82" w:rsidR="00285E4C" w:rsidRDefault="00285E4C" w:rsidP="00285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</w:t>
      </w:r>
      <w:r w:rsidRPr="00285E4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Director</w:t>
      </w:r>
    </w:p>
    <w:p w14:paraId="0D9BEC47" w14:textId="2E6E9C58" w:rsidR="00285E4C" w:rsidRPr="00285E4C" w:rsidRDefault="00285E4C" w:rsidP="00285E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85E4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(persoană împuternicită)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                             _______________________________</w:t>
      </w:r>
    </w:p>
    <w:p w14:paraId="0491787E" w14:textId="5BC8327E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5F8DF" w14:textId="59694878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0E0C0B" w14:textId="30F0E3C7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F24B5" w14:textId="77777777" w:rsidR="00285E4C" w:rsidRPr="008824C3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5E4C" w:rsidRPr="008824C3" w:rsidSect="00302C8D">
      <w:pgSz w:w="11906" w:h="16838" w:code="9"/>
      <w:pgMar w:top="567" w:right="567" w:bottom="567" w:left="1170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03"/>
    <w:multiLevelType w:val="hybridMultilevel"/>
    <w:tmpl w:val="14C0636E"/>
    <w:lvl w:ilvl="0" w:tplc="A71A0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876A63"/>
    <w:multiLevelType w:val="hybridMultilevel"/>
    <w:tmpl w:val="4BDA6ECC"/>
    <w:lvl w:ilvl="0" w:tplc="FE4C6F2E">
      <w:start w:val="1"/>
      <w:numFmt w:val="decimal"/>
      <w:lvlText w:val="%1."/>
      <w:lvlJc w:val="left"/>
      <w:pPr>
        <w:ind w:left="950" w:hanging="410"/>
      </w:pPr>
      <w:rPr>
        <w:rFonts w:hint="default"/>
        <w:strike w:val="0"/>
        <w:sz w:val="28"/>
        <w:szCs w:val="28"/>
      </w:rPr>
    </w:lvl>
    <w:lvl w:ilvl="1" w:tplc="08180019" w:tentative="1">
      <w:start w:val="1"/>
      <w:numFmt w:val="lowerLetter"/>
      <w:lvlText w:val="%2."/>
      <w:lvlJc w:val="left"/>
      <w:pPr>
        <w:ind w:left="1620" w:hanging="360"/>
      </w:pPr>
    </w:lvl>
    <w:lvl w:ilvl="2" w:tplc="0818001B" w:tentative="1">
      <w:start w:val="1"/>
      <w:numFmt w:val="lowerRoman"/>
      <w:lvlText w:val="%3."/>
      <w:lvlJc w:val="right"/>
      <w:pPr>
        <w:ind w:left="2340" w:hanging="180"/>
      </w:pPr>
    </w:lvl>
    <w:lvl w:ilvl="3" w:tplc="0818000F" w:tentative="1">
      <w:start w:val="1"/>
      <w:numFmt w:val="decimal"/>
      <w:lvlText w:val="%4."/>
      <w:lvlJc w:val="left"/>
      <w:pPr>
        <w:ind w:left="3060" w:hanging="360"/>
      </w:pPr>
    </w:lvl>
    <w:lvl w:ilvl="4" w:tplc="08180019" w:tentative="1">
      <w:start w:val="1"/>
      <w:numFmt w:val="lowerLetter"/>
      <w:lvlText w:val="%5."/>
      <w:lvlJc w:val="left"/>
      <w:pPr>
        <w:ind w:left="3780" w:hanging="360"/>
      </w:pPr>
    </w:lvl>
    <w:lvl w:ilvl="5" w:tplc="0818001B" w:tentative="1">
      <w:start w:val="1"/>
      <w:numFmt w:val="lowerRoman"/>
      <w:lvlText w:val="%6."/>
      <w:lvlJc w:val="right"/>
      <w:pPr>
        <w:ind w:left="4500" w:hanging="180"/>
      </w:pPr>
    </w:lvl>
    <w:lvl w:ilvl="6" w:tplc="0818000F" w:tentative="1">
      <w:start w:val="1"/>
      <w:numFmt w:val="decimal"/>
      <w:lvlText w:val="%7."/>
      <w:lvlJc w:val="left"/>
      <w:pPr>
        <w:ind w:left="5220" w:hanging="360"/>
      </w:pPr>
    </w:lvl>
    <w:lvl w:ilvl="7" w:tplc="08180019" w:tentative="1">
      <w:start w:val="1"/>
      <w:numFmt w:val="lowerLetter"/>
      <w:lvlText w:val="%8."/>
      <w:lvlJc w:val="left"/>
      <w:pPr>
        <w:ind w:left="5940" w:hanging="360"/>
      </w:pPr>
    </w:lvl>
    <w:lvl w:ilvl="8" w:tplc="08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31505"/>
    <w:multiLevelType w:val="multilevel"/>
    <w:tmpl w:val="1A16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672B8"/>
    <w:multiLevelType w:val="hybridMultilevel"/>
    <w:tmpl w:val="4BDA6ECC"/>
    <w:lvl w:ilvl="0" w:tplc="FE4C6F2E">
      <w:start w:val="1"/>
      <w:numFmt w:val="decimal"/>
      <w:lvlText w:val="%1."/>
      <w:lvlJc w:val="left"/>
      <w:pPr>
        <w:ind w:left="950" w:hanging="410"/>
      </w:pPr>
      <w:rPr>
        <w:rFonts w:hint="default"/>
        <w:strike w:val="0"/>
        <w:sz w:val="28"/>
        <w:szCs w:val="28"/>
      </w:rPr>
    </w:lvl>
    <w:lvl w:ilvl="1" w:tplc="08180019" w:tentative="1">
      <w:start w:val="1"/>
      <w:numFmt w:val="lowerLetter"/>
      <w:lvlText w:val="%2."/>
      <w:lvlJc w:val="left"/>
      <w:pPr>
        <w:ind w:left="1620" w:hanging="360"/>
      </w:pPr>
    </w:lvl>
    <w:lvl w:ilvl="2" w:tplc="0818001B" w:tentative="1">
      <w:start w:val="1"/>
      <w:numFmt w:val="lowerRoman"/>
      <w:lvlText w:val="%3."/>
      <w:lvlJc w:val="right"/>
      <w:pPr>
        <w:ind w:left="2340" w:hanging="180"/>
      </w:pPr>
    </w:lvl>
    <w:lvl w:ilvl="3" w:tplc="0818000F" w:tentative="1">
      <w:start w:val="1"/>
      <w:numFmt w:val="decimal"/>
      <w:lvlText w:val="%4."/>
      <w:lvlJc w:val="left"/>
      <w:pPr>
        <w:ind w:left="3060" w:hanging="360"/>
      </w:pPr>
    </w:lvl>
    <w:lvl w:ilvl="4" w:tplc="08180019" w:tentative="1">
      <w:start w:val="1"/>
      <w:numFmt w:val="lowerLetter"/>
      <w:lvlText w:val="%5."/>
      <w:lvlJc w:val="left"/>
      <w:pPr>
        <w:ind w:left="3780" w:hanging="360"/>
      </w:pPr>
    </w:lvl>
    <w:lvl w:ilvl="5" w:tplc="0818001B" w:tentative="1">
      <w:start w:val="1"/>
      <w:numFmt w:val="lowerRoman"/>
      <w:lvlText w:val="%6."/>
      <w:lvlJc w:val="right"/>
      <w:pPr>
        <w:ind w:left="4500" w:hanging="180"/>
      </w:pPr>
    </w:lvl>
    <w:lvl w:ilvl="6" w:tplc="0818000F" w:tentative="1">
      <w:start w:val="1"/>
      <w:numFmt w:val="decimal"/>
      <w:lvlText w:val="%7."/>
      <w:lvlJc w:val="left"/>
      <w:pPr>
        <w:ind w:left="5220" w:hanging="360"/>
      </w:pPr>
    </w:lvl>
    <w:lvl w:ilvl="7" w:tplc="08180019" w:tentative="1">
      <w:start w:val="1"/>
      <w:numFmt w:val="lowerLetter"/>
      <w:lvlText w:val="%8."/>
      <w:lvlJc w:val="left"/>
      <w:pPr>
        <w:ind w:left="5940" w:hanging="360"/>
      </w:pPr>
    </w:lvl>
    <w:lvl w:ilvl="8" w:tplc="08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CB007C"/>
    <w:multiLevelType w:val="hybridMultilevel"/>
    <w:tmpl w:val="4BDA6ECC"/>
    <w:lvl w:ilvl="0" w:tplc="FE4C6F2E">
      <w:start w:val="1"/>
      <w:numFmt w:val="decimal"/>
      <w:lvlText w:val="%1."/>
      <w:lvlJc w:val="left"/>
      <w:pPr>
        <w:ind w:left="950" w:hanging="410"/>
      </w:pPr>
      <w:rPr>
        <w:rFonts w:hint="default"/>
        <w:strike w:val="0"/>
        <w:sz w:val="28"/>
        <w:szCs w:val="28"/>
      </w:rPr>
    </w:lvl>
    <w:lvl w:ilvl="1" w:tplc="08180019" w:tentative="1">
      <w:start w:val="1"/>
      <w:numFmt w:val="lowerLetter"/>
      <w:lvlText w:val="%2."/>
      <w:lvlJc w:val="left"/>
      <w:pPr>
        <w:ind w:left="1620" w:hanging="360"/>
      </w:pPr>
    </w:lvl>
    <w:lvl w:ilvl="2" w:tplc="0818001B" w:tentative="1">
      <w:start w:val="1"/>
      <w:numFmt w:val="lowerRoman"/>
      <w:lvlText w:val="%3."/>
      <w:lvlJc w:val="right"/>
      <w:pPr>
        <w:ind w:left="2340" w:hanging="180"/>
      </w:pPr>
    </w:lvl>
    <w:lvl w:ilvl="3" w:tplc="0818000F" w:tentative="1">
      <w:start w:val="1"/>
      <w:numFmt w:val="decimal"/>
      <w:lvlText w:val="%4."/>
      <w:lvlJc w:val="left"/>
      <w:pPr>
        <w:ind w:left="3060" w:hanging="360"/>
      </w:pPr>
    </w:lvl>
    <w:lvl w:ilvl="4" w:tplc="08180019" w:tentative="1">
      <w:start w:val="1"/>
      <w:numFmt w:val="lowerLetter"/>
      <w:lvlText w:val="%5."/>
      <w:lvlJc w:val="left"/>
      <w:pPr>
        <w:ind w:left="3780" w:hanging="360"/>
      </w:pPr>
    </w:lvl>
    <w:lvl w:ilvl="5" w:tplc="0818001B" w:tentative="1">
      <w:start w:val="1"/>
      <w:numFmt w:val="lowerRoman"/>
      <w:lvlText w:val="%6."/>
      <w:lvlJc w:val="right"/>
      <w:pPr>
        <w:ind w:left="4500" w:hanging="180"/>
      </w:pPr>
    </w:lvl>
    <w:lvl w:ilvl="6" w:tplc="0818000F" w:tentative="1">
      <w:start w:val="1"/>
      <w:numFmt w:val="decimal"/>
      <w:lvlText w:val="%7."/>
      <w:lvlJc w:val="left"/>
      <w:pPr>
        <w:ind w:left="5220" w:hanging="360"/>
      </w:pPr>
    </w:lvl>
    <w:lvl w:ilvl="7" w:tplc="08180019" w:tentative="1">
      <w:start w:val="1"/>
      <w:numFmt w:val="lowerLetter"/>
      <w:lvlText w:val="%8."/>
      <w:lvlJc w:val="left"/>
      <w:pPr>
        <w:ind w:left="5940" w:hanging="360"/>
      </w:pPr>
    </w:lvl>
    <w:lvl w:ilvl="8" w:tplc="08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48A5568"/>
    <w:multiLevelType w:val="hybridMultilevel"/>
    <w:tmpl w:val="745E9A32"/>
    <w:lvl w:ilvl="0" w:tplc="0818000F">
      <w:start w:val="1"/>
      <w:numFmt w:val="decimal"/>
      <w:lvlText w:val="%1."/>
      <w:lvlJc w:val="left"/>
      <w:pPr>
        <w:ind w:left="1260" w:hanging="360"/>
      </w:pPr>
    </w:lvl>
    <w:lvl w:ilvl="1" w:tplc="08180019" w:tentative="1">
      <w:start w:val="1"/>
      <w:numFmt w:val="lowerLetter"/>
      <w:lvlText w:val="%2."/>
      <w:lvlJc w:val="left"/>
      <w:pPr>
        <w:ind w:left="1980" w:hanging="360"/>
      </w:pPr>
    </w:lvl>
    <w:lvl w:ilvl="2" w:tplc="0818001B" w:tentative="1">
      <w:start w:val="1"/>
      <w:numFmt w:val="lowerRoman"/>
      <w:lvlText w:val="%3."/>
      <w:lvlJc w:val="right"/>
      <w:pPr>
        <w:ind w:left="2700" w:hanging="180"/>
      </w:pPr>
    </w:lvl>
    <w:lvl w:ilvl="3" w:tplc="0818000F" w:tentative="1">
      <w:start w:val="1"/>
      <w:numFmt w:val="decimal"/>
      <w:lvlText w:val="%4."/>
      <w:lvlJc w:val="left"/>
      <w:pPr>
        <w:ind w:left="3420" w:hanging="360"/>
      </w:pPr>
    </w:lvl>
    <w:lvl w:ilvl="4" w:tplc="08180019" w:tentative="1">
      <w:start w:val="1"/>
      <w:numFmt w:val="lowerLetter"/>
      <w:lvlText w:val="%5."/>
      <w:lvlJc w:val="left"/>
      <w:pPr>
        <w:ind w:left="4140" w:hanging="360"/>
      </w:pPr>
    </w:lvl>
    <w:lvl w:ilvl="5" w:tplc="0818001B" w:tentative="1">
      <w:start w:val="1"/>
      <w:numFmt w:val="lowerRoman"/>
      <w:lvlText w:val="%6."/>
      <w:lvlJc w:val="right"/>
      <w:pPr>
        <w:ind w:left="4860" w:hanging="180"/>
      </w:pPr>
    </w:lvl>
    <w:lvl w:ilvl="6" w:tplc="0818000F" w:tentative="1">
      <w:start w:val="1"/>
      <w:numFmt w:val="decimal"/>
      <w:lvlText w:val="%7."/>
      <w:lvlJc w:val="left"/>
      <w:pPr>
        <w:ind w:left="5580" w:hanging="360"/>
      </w:pPr>
    </w:lvl>
    <w:lvl w:ilvl="7" w:tplc="08180019" w:tentative="1">
      <w:start w:val="1"/>
      <w:numFmt w:val="lowerLetter"/>
      <w:lvlText w:val="%8."/>
      <w:lvlJc w:val="left"/>
      <w:pPr>
        <w:ind w:left="6300" w:hanging="360"/>
      </w:pPr>
    </w:lvl>
    <w:lvl w:ilvl="8" w:tplc="08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8F3E8B"/>
    <w:multiLevelType w:val="multilevel"/>
    <w:tmpl w:val="357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8"/>
    <w:rsid w:val="00013720"/>
    <w:rsid w:val="00035DCC"/>
    <w:rsid w:val="00046B32"/>
    <w:rsid w:val="00065EC9"/>
    <w:rsid w:val="000A6225"/>
    <w:rsid w:val="000E5743"/>
    <w:rsid w:val="000F5C5D"/>
    <w:rsid w:val="00122BE5"/>
    <w:rsid w:val="00160760"/>
    <w:rsid w:val="001C2BE0"/>
    <w:rsid w:val="001D03C4"/>
    <w:rsid w:val="00204932"/>
    <w:rsid w:val="002171C2"/>
    <w:rsid w:val="00237BE6"/>
    <w:rsid w:val="002512F0"/>
    <w:rsid w:val="00281D7E"/>
    <w:rsid w:val="00285E4C"/>
    <w:rsid w:val="002A2038"/>
    <w:rsid w:val="002B79C5"/>
    <w:rsid w:val="00302C8D"/>
    <w:rsid w:val="00310933"/>
    <w:rsid w:val="003305D3"/>
    <w:rsid w:val="003A669E"/>
    <w:rsid w:val="003A670A"/>
    <w:rsid w:val="003C304B"/>
    <w:rsid w:val="003E0B0D"/>
    <w:rsid w:val="003F179A"/>
    <w:rsid w:val="003F5E32"/>
    <w:rsid w:val="00412375"/>
    <w:rsid w:val="00417535"/>
    <w:rsid w:val="004329D6"/>
    <w:rsid w:val="00441C42"/>
    <w:rsid w:val="00473309"/>
    <w:rsid w:val="004B0AC6"/>
    <w:rsid w:val="004B549B"/>
    <w:rsid w:val="004E17A1"/>
    <w:rsid w:val="00502744"/>
    <w:rsid w:val="005358D3"/>
    <w:rsid w:val="005633C7"/>
    <w:rsid w:val="00567AAA"/>
    <w:rsid w:val="005E1DDC"/>
    <w:rsid w:val="005F2E69"/>
    <w:rsid w:val="00601CB2"/>
    <w:rsid w:val="00617744"/>
    <w:rsid w:val="00655CA3"/>
    <w:rsid w:val="00680E8A"/>
    <w:rsid w:val="006B2D75"/>
    <w:rsid w:val="006C2979"/>
    <w:rsid w:val="007465B3"/>
    <w:rsid w:val="007510D5"/>
    <w:rsid w:val="0079181D"/>
    <w:rsid w:val="007D1825"/>
    <w:rsid w:val="008104A8"/>
    <w:rsid w:val="00817D65"/>
    <w:rsid w:val="00830695"/>
    <w:rsid w:val="008824C3"/>
    <w:rsid w:val="008F6649"/>
    <w:rsid w:val="00916D20"/>
    <w:rsid w:val="00934F5E"/>
    <w:rsid w:val="00965898"/>
    <w:rsid w:val="00972194"/>
    <w:rsid w:val="00977232"/>
    <w:rsid w:val="009A6125"/>
    <w:rsid w:val="009E63BB"/>
    <w:rsid w:val="00A12D55"/>
    <w:rsid w:val="00A2575D"/>
    <w:rsid w:val="00A36E76"/>
    <w:rsid w:val="00A545C0"/>
    <w:rsid w:val="00A5523E"/>
    <w:rsid w:val="00A75571"/>
    <w:rsid w:val="00AD0FD5"/>
    <w:rsid w:val="00B7118E"/>
    <w:rsid w:val="00BA3846"/>
    <w:rsid w:val="00BD5232"/>
    <w:rsid w:val="00C03F10"/>
    <w:rsid w:val="00C816C8"/>
    <w:rsid w:val="00CB6060"/>
    <w:rsid w:val="00CC7220"/>
    <w:rsid w:val="00D33DCE"/>
    <w:rsid w:val="00D50E75"/>
    <w:rsid w:val="00D66055"/>
    <w:rsid w:val="00D73C69"/>
    <w:rsid w:val="00D74E85"/>
    <w:rsid w:val="00DA46FF"/>
    <w:rsid w:val="00DC786C"/>
    <w:rsid w:val="00DF40C3"/>
    <w:rsid w:val="00E2099B"/>
    <w:rsid w:val="00E93881"/>
    <w:rsid w:val="00EA2B06"/>
    <w:rsid w:val="00EB4150"/>
    <w:rsid w:val="00EC58A5"/>
    <w:rsid w:val="00F4319F"/>
    <w:rsid w:val="00FB6BF4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1834"/>
  <w15:chartTrackingRefBased/>
  <w15:docId w15:val="{84D06EAB-01C5-449B-9F9D-5A877D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4">
    <w:name w:val="heading 4"/>
    <w:basedOn w:val="Normal"/>
    <w:link w:val="Heading4Char"/>
    <w:uiPriority w:val="9"/>
    <w:qFormat/>
    <w:rsid w:val="00C81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16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16C8"/>
    <w:rPr>
      <w:color w:val="0000FF"/>
      <w:u w:val="single"/>
    </w:rPr>
  </w:style>
  <w:style w:type="character" w:customStyle="1" w:styleId="glyphicon">
    <w:name w:val="glyphicon"/>
    <w:basedOn w:val="DefaultParagraphFont"/>
    <w:rsid w:val="00C816C8"/>
  </w:style>
  <w:style w:type="character" w:styleId="Strong">
    <w:name w:val="Strong"/>
    <w:basedOn w:val="DefaultParagraphFont"/>
    <w:uiPriority w:val="22"/>
    <w:qFormat/>
    <w:rsid w:val="00C816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816C8"/>
    <w:rPr>
      <w:i/>
      <w:iCs/>
    </w:rPr>
  </w:style>
  <w:style w:type="paragraph" w:styleId="ListParagraph">
    <w:name w:val="List Paragraph"/>
    <w:aliases w:val="Scriptoria bullet points"/>
    <w:basedOn w:val="Normal"/>
    <w:link w:val="ListParagraphChar"/>
    <w:uiPriority w:val="34"/>
    <w:qFormat/>
    <w:rsid w:val="00C816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70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70A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3E0B0D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75"/>
    <w:rPr>
      <w:rFonts w:ascii="Segoe UI" w:hAnsi="Segoe UI" w:cs="Segoe UI"/>
      <w:sz w:val="18"/>
      <w:szCs w:val="18"/>
      <w:lang w:val="ro-RO"/>
    </w:rPr>
  </w:style>
  <w:style w:type="character" w:customStyle="1" w:styleId="ListParagraphChar">
    <w:name w:val="List Paragraph Char"/>
    <w:aliases w:val="Scriptoria bullet points Char"/>
    <w:link w:val="ListParagraph"/>
    <w:uiPriority w:val="34"/>
    <w:locked/>
    <w:rsid w:val="00E93881"/>
    <w:rPr>
      <w:lang w:val="ro-RO"/>
    </w:rPr>
  </w:style>
  <w:style w:type="table" w:styleId="TableGrid">
    <w:name w:val="Table Grid"/>
    <w:basedOn w:val="TableNormal"/>
    <w:uiPriority w:val="39"/>
    <w:rsid w:val="0028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4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465B3"/>
  </w:style>
  <w:style w:type="character" w:customStyle="1" w:styleId="eop">
    <w:name w:val="eop"/>
    <w:basedOn w:val="DefaultParagraphFont"/>
    <w:rsid w:val="007465B3"/>
  </w:style>
  <w:style w:type="paragraph" w:customStyle="1" w:styleId="tt">
    <w:name w:val="tt"/>
    <w:basedOn w:val="Normal"/>
    <w:rsid w:val="00A1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60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736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1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Neghină</dc:creator>
  <cp:keywords/>
  <dc:description/>
  <cp:lastModifiedBy>Ina, Darii</cp:lastModifiedBy>
  <cp:revision>31</cp:revision>
  <cp:lastPrinted>2023-01-09T11:13:00Z</cp:lastPrinted>
  <dcterms:created xsi:type="dcterms:W3CDTF">2022-07-11T21:53:00Z</dcterms:created>
  <dcterms:modified xsi:type="dcterms:W3CDTF">2023-01-10T11:45:00Z</dcterms:modified>
</cp:coreProperties>
</file>