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0A" w:rsidRPr="00876DFC" w:rsidRDefault="0051280A" w:rsidP="005A6D8D">
      <w:pPr>
        <w:spacing w:after="0" w:line="240" w:lineRule="auto"/>
        <w:jc w:val="center"/>
        <w:rPr>
          <w:rFonts w:ascii="Times New Roman" w:hAnsi="Times New Roman"/>
          <w:b/>
          <w:sz w:val="28"/>
          <w:szCs w:val="28"/>
        </w:rPr>
      </w:pPr>
      <w:r w:rsidRPr="00876DFC">
        <w:rPr>
          <w:rFonts w:ascii="Times New Roman" w:hAnsi="Times New Roman"/>
          <w:b/>
          <w:sz w:val="28"/>
          <w:szCs w:val="28"/>
        </w:rPr>
        <w:t xml:space="preserve">Notă </w:t>
      </w:r>
      <w:r w:rsidR="00ED5879" w:rsidRPr="00876DFC">
        <w:rPr>
          <w:rFonts w:ascii="Times New Roman" w:hAnsi="Times New Roman"/>
          <w:b/>
          <w:sz w:val="28"/>
          <w:szCs w:val="28"/>
        </w:rPr>
        <w:t>inform</w:t>
      </w:r>
      <w:r w:rsidRPr="00876DFC">
        <w:rPr>
          <w:rFonts w:ascii="Times New Roman" w:hAnsi="Times New Roman"/>
          <w:b/>
          <w:sz w:val="28"/>
          <w:szCs w:val="28"/>
        </w:rPr>
        <w:t>ativă</w:t>
      </w:r>
    </w:p>
    <w:p w:rsidR="0051280A" w:rsidRPr="00876DFC" w:rsidRDefault="0051280A" w:rsidP="005A6D8D">
      <w:pPr>
        <w:spacing w:after="0" w:line="240" w:lineRule="auto"/>
        <w:jc w:val="center"/>
        <w:rPr>
          <w:rFonts w:ascii="Times New Roman" w:hAnsi="Times New Roman"/>
          <w:b/>
          <w:sz w:val="28"/>
          <w:szCs w:val="28"/>
        </w:rPr>
      </w:pPr>
      <w:r w:rsidRPr="00876DFC">
        <w:rPr>
          <w:rFonts w:ascii="Times New Roman" w:hAnsi="Times New Roman"/>
          <w:b/>
          <w:sz w:val="28"/>
          <w:szCs w:val="28"/>
        </w:rPr>
        <w:t>la proiectul de lege pentru modificarea şi completarea</w:t>
      </w:r>
    </w:p>
    <w:p w:rsidR="0051280A" w:rsidRPr="00876DFC" w:rsidRDefault="002E3417" w:rsidP="005A6D8D">
      <w:pPr>
        <w:spacing w:after="0" w:line="240" w:lineRule="auto"/>
        <w:jc w:val="center"/>
        <w:rPr>
          <w:rFonts w:ascii="Times New Roman" w:hAnsi="Times New Roman"/>
          <w:b/>
          <w:sz w:val="28"/>
          <w:szCs w:val="28"/>
        </w:rPr>
      </w:pPr>
      <w:r>
        <w:rPr>
          <w:rFonts w:ascii="Times New Roman" w:hAnsi="Times New Roman"/>
          <w:b/>
          <w:sz w:val="28"/>
          <w:szCs w:val="28"/>
        </w:rPr>
        <w:t>Legii finanțelor publice și responsabilității bugetar-fiscale nr.181/2014</w:t>
      </w:r>
    </w:p>
    <w:p w:rsidR="0051280A" w:rsidRPr="00876DFC" w:rsidRDefault="0051280A" w:rsidP="0051280A">
      <w:pPr>
        <w:tabs>
          <w:tab w:val="left" w:pos="0"/>
        </w:tabs>
        <w:spacing w:after="0" w:line="360" w:lineRule="auto"/>
        <w:jc w:val="both"/>
        <w:rPr>
          <w:rFonts w:ascii="Times New Roman" w:hAnsi="Times New Roman"/>
          <w:b/>
          <w:sz w:val="24"/>
          <w:szCs w:val="24"/>
        </w:rPr>
      </w:pPr>
    </w:p>
    <w:p w:rsidR="002E3417" w:rsidRDefault="002E3417" w:rsidP="003E5BBA">
      <w:pPr>
        <w:spacing w:after="0"/>
        <w:ind w:firstLine="567"/>
        <w:jc w:val="both"/>
        <w:rPr>
          <w:rFonts w:ascii="Times New Roman" w:hAnsi="Times New Roman" w:cs="Times New Roman"/>
          <w:b/>
          <w:sz w:val="28"/>
          <w:szCs w:val="28"/>
        </w:rPr>
      </w:pPr>
    </w:p>
    <w:p w:rsidR="006F26C4" w:rsidRDefault="00164764" w:rsidP="003E5BBA">
      <w:pPr>
        <w:spacing w:after="0"/>
        <w:ind w:firstLine="567"/>
        <w:jc w:val="both"/>
        <w:rPr>
          <w:rFonts w:ascii="Times New Roman" w:hAnsi="Times New Roman"/>
          <w:sz w:val="28"/>
          <w:szCs w:val="28"/>
        </w:rPr>
      </w:pPr>
      <w:r>
        <w:rPr>
          <w:rFonts w:ascii="Times New Roman" w:hAnsi="Times New Roman" w:cs="Times New Roman"/>
          <w:sz w:val="28"/>
          <w:szCs w:val="28"/>
        </w:rPr>
        <w:t>P</w:t>
      </w:r>
      <w:r w:rsidR="006F26C4">
        <w:rPr>
          <w:rFonts w:ascii="Times New Roman" w:hAnsi="Times New Roman" w:cs="Times New Roman"/>
          <w:sz w:val="28"/>
          <w:szCs w:val="28"/>
        </w:rPr>
        <w:t xml:space="preserve">roiectul de lege pentru modificarea și completarea </w:t>
      </w:r>
      <w:r w:rsidR="006F26C4" w:rsidRPr="002E3417">
        <w:rPr>
          <w:rFonts w:ascii="Times New Roman" w:hAnsi="Times New Roman" w:cs="Times New Roman"/>
          <w:sz w:val="28"/>
          <w:szCs w:val="28"/>
        </w:rPr>
        <w:t>Leg</w:t>
      </w:r>
      <w:r w:rsidR="006F26C4">
        <w:rPr>
          <w:rFonts w:ascii="Times New Roman" w:hAnsi="Times New Roman" w:cs="Times New Roman"/>
          <w:sz w:val="28"/>
          <w:szCs w:val="28"/>
        </w:rPr>
        <w:t>ii</w:t>
      </w:r>
      <w:r w:rsidR="006F26C4" w:rsidRPr="002E3417">
        <w:rPr>
          <w:rFonts w:ascii="Times New Roman" w:hAnsi="Times New Roman" w:cs="Times New Roman"/>
          <w:sz w:val="28"/>
          <w:szCs w:val="28"/>
        </w:rPr>
        <w:t xml:space="preserve"> </w:t>
      </w:r>
      <w:r w:rsidR="006F26C4" w:rsidRPr="002E3417">
        <w:rPr>
          <w:rFonts w:ascii="Times New Roman" w:hAnsi="Times New Roman"/>
          <w:sz w:val="28"/>
          <w:szCs w:val="28"/>
        </w:rPr>
        <w:t>finanțelor publice și responsabilității bugetar-fiscale nr.181/201</w:t>
      </w:r>
      <w:r w:rsidR="00D67927">
        <w:rPr>
          <w:rFonts w:ascii="Times New Roman" w:hAnsi="Times New Roman"/>
          <w:sz w:val="28"/>
          <w:szCs w:val="28"/>
        </w:rPr>
        <w:t>4</w:t>
      </w:r>
      <w:r w:rsidR="006F26C4">
        <w:rPr>
          <w:rFonts w:ascii="Times New Roman" w:hAnsi="Times New Roman"/>
          <w:sz w:val="28"/>
          <w:szCs w:val="28"/>
        </w:rPr>
        <w:t xml:space="preserve"> este elaborat în scopul lichidării </w:t>
      </w:r>
      <w:r w:rsidR="00D67927">
        <w:rPr>
          <w:rFonts w:ascii="Times New Roman" w:hAnsi="Times New Roman"/>
          <w:sz w:val="28"/>
          <w:szCs w:val="28"/>
        </w:rPr>
        <w:t>unor deficiențe identificate</w:t>
      </w:r>
      <w:r w:rsidR="006F26C4">
        <w:rPr>
          <w:rFonts w:ascii="Times New Roman" w:hAnsi="Times New Roman"/>
          <w:sz w:val="28"/>
          <w:szCs w:val="28"/>
        </w:rPr>
        <w:t xml:space="preserve"> în procesul implementării legii vizate pe parcursul </w:t>
      </w:r>
      <w:r w:rsidR="00D67927">
        <w:rPr>
          <w:rFonts w:ascii="Times New Roman" w:hAnsi="Times New Roman"/>
          <w:sz w:val="28"/>
          <w:szCs w:val="28"/>
        </w:rPr>
        <w:t xml:space="preserve">ultimilor </w:t>
      </w:r>
      <w:r w:rsidR="00F956D4">
        <w:rPr>
          <w:rFonts w:ascii="Times New Roman" w:hAnsi="Times New Roman"/>
          <w:sz w:val="28"/>
          <w:szCs w:val="28"/>
        </w:rPr>
        <w:t>ani.</w:t>
      </w:r>
    </w:p>
    <w:p w:rsidR="00726039" w:rsidRPr="00726039" w:rsidRDefault="00854AE9" w:rsidP="00205C37">
      <w:pPr>
        <w:pStyle w:val="NormalWeb"/>
        <w:spacing w:line="276" w:lineRule="auto"/>
        <w:ind w:firstLine="630"/>
        <w:rPr>
          <w:sz w:val="28"/>
          <w:szCs w:val="28"/>
        </w:rPr>
      </w:pPr>
      <w:r w:rsidRPr="006F26C4">
        <w:rPr>
          <w:sz w:val="28"/>
          <w:szCs w:val="28"/>
        </w:rPr>
        <w:t>Legea finanţelor publice şi responsabilităţii bugetar-fiscale</w:t>
      </w:r>
      <w:r w:rsidR="00D67927">
        <w:rPr>
          <w:sz w:val="28"/>
          <w:szCs w:val="28"/>
        </w:rPr>
        <w:t xml:space="preserve"> (art.47 și 49)</w:t>
      </w:r>
      <w:r w:rsidRPr="00876DFC">
        <w:rPr>
          <w:b/>
          <w:sz w:val="28"/>
          <w:szCs w:val="28"/>
        </w:rPr>
        <w:t xml:space="preserve"> </w:t>
      </w:r>
      <w:r w:rsidR="00726039" w:rsidRPr="00726039">
        <w:rPr>
          <w:sz w:val="28"/>
          <w:szCs w:val="28"/>
        </w:rPr>
        <w:t>prevede că</w:t>
      </w:r>
      <w:r w:rsidR="00726039">
        <w:rPr>
          <w:b/>
          <w:sz w:val="28"/>
          <w:szCs w:val="28"/>
        </w:rPr>
        <w:t xml:space="preserve"> </w:t>
      </w:r>
      <w:r w:rsidR="00726039" w:rsidRPr="00726039">
        <w:rPr>
          <w:sz w:val="28"/>
          <w:szCs w:val="28"/>
        </w:rPr>
        <w:t>începînd cu ciclul bugetar pe anii 2017-2019</w:t>
      </w:r>
      <w:r w:rsidR="00F956D4">
        <w:rPr>
          <w:sz w:val="28"/>
          <w:szCs w:val="28"/>
        </w:rPr>
        <w:t>,</w:t>
      </w:r>
      <w:r w:rsidR="00726039">
        <w:rPr>
          <w:sz w:val="28"/>
          <w:szCs w:val="28"/>
        </w:rPr>
        <w:t xml:space="preserve"> Parlamentul aprobă limitele </w:t>
      </w:r>
      <w:r w:rsidR="00726039" w:rsidRPr="00726039">
        <w:rPr>
          <w:sz w:val="28"/>
          <w:szCs w:val="28"/>
        </w:rPr>
        <w:t>macrobugetare pe termen mediu</w:t>
      </w:r>
      <w:r w:rsidR="00726039">
        <w:rPr>
          <w:sz w:val="28"/>
          <w:szCs w:val="28"/>
        </w:rPr>
        <w:t xml:space="preserve"> întru </w:t>
      </w:r>
      <w:r w:rsidR="00726039" w:rsidRPr="00726039">
        <w:rPr>
          <w:sz w:val="28"/>
          <w:szCs w:val="28"/>
        </w:rPr>
        <w:t>sporirea rolului CBTM în procesul bugetar, ca instrument de fundamentare a proiectelor bugetelor anuale, și asigurarea disciplinei financiare generale și stabilității bugetului pe termen mediu.</w:t>
      </w:r>
    </w:p>
    <w:p w:rsidR="00726039" w:rsidRPr="00726039" w:rsidRDefault="00726039" w:rsidP="00205C37">
      <w:pPr>
        <w:pStyle w:val="NormalWeb"/>
        <w:spacing w:line="276" w:lineRule="auto"/>
        <w:ind w:firstLine="708"/>
        <w:rPr>
          <w:sz w:val="28"/>
          <w:szCs w:val="28"/>
        </w:rPr>
      </w:pPr>
      <w:r w:rsidRPr="00726039">
        <w:rPr>
          <w:sz w:val="28"/>
          <w:szCs w:val="28"/>
        </w:rPr>
        <w:t xml:space="preserve">Deși, aprobarea țintelor macrobugetare de către Parlament anterior sau concomitent cu legea bugetară anuală reprezintă o practică aplicată de mai multe țări UE (Romania, Lituania, Slovacia, Suedia, etc), experiența internațională demonstrează că aceasta nu are un impact semnificativ asupra procesului bugetar, ci </w:t>
      </w:r>
      <w:r w:rsidR="00262BE1">
        <w:rPr>
          <w:sz w:val="28"/>
          <w:szCs w:val="28"/>
        </w:rPr>
        <w:t>se bazează</w:t>
      </w:r>
      <w:r w:rsidRPr="00726039">
        <w:rPr>
          <w:sz w:val="28"/>
          <w:szCs w:val="28"/>
        </w:rPr>
        <w:t xml:space="preserve"> mai mult pe practici operaționale și administrative solide și mai puțin pe aprobarea cadrului fiscal prin lege. Mai mult, adoptarea cadrului macro-bugetar de către Parlament, </w:t>
      </w:r>
      <w:bookmarkStart w:id="0" w:name="OLE_LINK94"/>
      <w:bookmarkStart w:id="1" w:name="OLE_LINK95"/>
      <w:r w:rsidRPr="00726039">
        <w:rPr>
          <w:sz w:val="28"/>
          <w:szCs w:val="28"/>
        </w:rPr>
        <w:t xml:space="preserve">ca o etapă nouă în procesul bugetar, implică un strat suplimentar de birocrație la formularea bugetului anual, </w:t>
      </w:r>
      <w:bookmarkEnd w:id="0"/>
      <w:bookmarkEnd w:id="1"/>
      <w:r w:rsidRPr="00726039">
        <w:rPr>
          <w:sz w:val="28"/>
          <w:szCs w:val="28"/>
        </w:rPr>
        <w:t>care ar putea crea blocaje pentru procesul bugetar în Moldova, care și așa este stânjenit de o serie de alte rigidități.</w:t>
      </w:r>
    </w:p>
    <w:p w:rsidR="00726039" w:rsidRDefault="00D31EBD" w:rsidP="00726039">
      <w:pPr>
        <w:pStyle w:val="NormalWeb"/>
        <w:spacing w:line="276" w:lineRule="auto"/>
        <w:ind w:firstLine="720"/>
        <w:rPr>
          <w:sz w:val="28"/>
          <w:szCs w:val="28"/>
        </w:rPr>
      </w:pPr>
      <w:r>
        <w:rPr>
          <w:sz w:val="28"/>
          <w:szCs w:val="28"/>
        </w:rPr>
        <w:t xml:space="preserve">De asemenea, </w:t>
      </w:r>
      <w:r w:rsidR="00205C37">
        <w:rPr>
          <w:sz w:val="28"/>
          <w:szCs w:val="28"/>
        </w:rPr>
        <w:t xml:space="preserve">e de menționat, că </w:t>
      </w:r>
      <w:r>
        <w:rPr>
          <w:sz w:val="28"/>
          <w:szCs w:val="28"/>
        </w:rPr>
        <w:t xml:space="preserve">prevederile articolului </w:t>
      </w:r>
      <w:r w:rsidR="00726039" w:rsidRPr="00726039">
        <w:rPr>
          <w:sz w:val="28"/>
          <w:szCs w:val="28"/>
        </w:rPr>
        <w:t>4</w:t>
      </w:r>
      <w:r w:rsidR="00205C37">
        <w:rPr>
          <w:sz w:val="28"/>
          <w:szCs w:val="28"/>
        </w:rPr>
        <w:t>9</w:t>
      </w:r>
      <w:r w:rsidR="00726039" w:rsidRPr="00726039">
        <w:rPr>
          <w:sz w:val="28"/>
          <w:szCs w:val="28"/>
        </w:rPr>
        <w:t>, în fond, dublează (în</w:t>
      </w:r>
      <w:r w:rsidR="00205C37">
        <w:rPr>
          <w:sz w:val="28"/>
          <w:szCs w:val="28"/>
        </w:rPr>
        <w:t>ă</w:t>
      </w:r>
      <w:r w:rsidR="00726039" w:rsidRPr="00726039">
        <w:rPr>
          <w:sz w:val="28"/>
          <w:szCs w:val="28"/>
        </w:rPr>
        <w:t>spresc) prevederile  art</w:t>
      </w:r>
      <w:r>
        <w:rPr>
          <w:sz w:val="28"/>
          <w:szCs w:val="28"/>
        </w:rPr>
        <w:t xml:space="preserve">icolului </w:t>
      </w:r>
      <w:r w:rsidR="00726039" w:rsidRPr="00726039">
        <w:rPr>
          <w:sz w:val="28"/>
          <w:szCs w:val="28"/>
        </w:rPr>
        <w:t xml:space="preserve">15 din Legea nr.181/2014, care stabilește regulile </w:t>
      </w:r>
      <w:r w:rsidR="00205C37">
        <w:rPr>
          <w:sz w:val="28"/>
          <w:szCs w:val="28"/>
        </w:rPr>
        <w:t>politicii bugetar-</w:t>
      </w:r>
      <w:r w:rsidR="00726039" w:rsidRPr="00726039">
        <w:rPr>
          <w:sz w:val="28"/>
          <w:szCs w:val="28"/>
        </w:rPr>
        <w:t xml:space="preserve">fiscale (limita </w:t>
      </w:r>
      <w:r w:rsidR="00205C37">
        <w:rPr>
          <w:sz w:val="28"/>
          <w:szCs w:val="28"/>
        </w:rPr>
        <w:t>deficitului bugetar)</w:t>
      </w:r>
      <w:r w:rsidR="00726039" w:rsidRPr="00726039">
        <w:rPr>
          <w:sz w:val="28"/>
          <w:szCs w:val="28"/>
        </w:rPr>
        <w:t>.</w:t>
      </w:r>
    </w:p>
    <w:p w:rsidR="00D31EBD" w:rsidRDefault="00D31EBD" w:rsidP="00BE7AB0">
      <w:pPr>
        <w:pStyle w:val="NormalWeb"/>
        <w:spacing w:line="276" w:lineRule="auto"/>
        <w:ind w:firstLine="720"/>
        <w:rPr>
          <w:sz w:val="28"/>
          <w:szCs w:val="28"/>
        </w:rPr>
      </w:pPr>
      <w:r>
        <w:rPr>
          <w:sz w:val="28"/>
          <w:szCs w:val="28"/>
        </w:rPr>
        <w:t xml:space="preserve">Reieșind din aceasta, </w:t>
      </w:r>
      <w:r w:rsidR="00205C37">
        <w:rPr>
          <w:sz w:val="28"/>
          <w:szCs w:val="28"/>
        </w:rPr>
        <w:t xml:space="preserve">legiferarea limitelor macorbugetare pe termen mediu </w:t>
      </w:r>
      <w:r w:rsidR="00205C37" w:rsidRPr="00726039">
        <w:rPr>
          <w:sz w:val="28"/>
          <w:szCs w:val="28"/>
        </w:rPr>
        <w:t>se consideră prematur pentru procesul bugetar în Moldova</w:t>
      </w:r>
      <w:r w:rsidR="00205C37">
        <w:rPr>
          <w:sz w:val="28"/>
          <w:szCs w:val="28"/>
        </w:rPr>
        <w:t xml:space="preserve"> și </w:t>
      </w:r>
      <w:r>
        <w:rPr>
          <w:sz w:val="28"/>
          <w:szCs w:val="28"/>
        </w:rPr>
        <w:t>se propune abrogarea articolului 49</w:t>
      </w:r>
      <w:r w:rsidR="00205C37">
        <w:rPr>
          <w:sz w:val="28"/>
          <w:szCs w:val="28"/>
        </w:rPr>
        <w:t>. Totodată, în legătură cu abrogarea art.49</w:t>
      </w:r>
      <w:r w:rsidR="000C4E98">
        <w:rPr>
          <w:sz w:val="28"/>
          <w:szCs w:val="28"/>
        </w:rPr>
        <w:t>,</w:t>
      </w:r>
      <w:r w:rsidR="00205C37">
        <w:rPr>
          <w:sz w:val="28"/>
          <w:szCs w:val="28"/>
        </w:rPr>
        <w:t xml:space="preserve"> se propune</w:t>
      </w:r>
      <w:r>
        <w:rPr>
          <w:sz w:val="28"/>
          <w:szCs w:val="28"/>
        </w:rPr>
        <w:t xml:space="preserve"> completarea concomitentă a articolului 48 cu prevederile </w:t>
      </w:r>
      <w:r w:rsidR="002E127A">
        <w:rPr>
          <w:sz w:val="28"/>
          <w:szCs w:val="28"/>
        </w:rPr>
        <w:t xml:space="preserve">privind </w:t>
      </w:r>
      <w:r>
        <w:rPr>
          <w:sz w:val="28"/>
          <w:szCs w:val="28"/>
        </w:rPr>
        <w:t>prezent</w:t>
      </w:r>
      <w:r w:rsidR="002E127A">
        <w:rPr>
          <w:sz w:val="28"/>
          <w:szCs w:val="28"/>
        </w:rPr>
        <w:t>area</w:t>
      </w:r>
      <w:r>
        <w:rPr>
          <w:sz w:val="28"/>
          <w:szCs w:val="28"/>
        </w:rPr>
        <w:t xml:space="preserve"> Parlamentului spre adoptare a proiectului de lege pentru modificarea unor acte legislative în cazul în  care </w:t>
      </w:r>
      <w:r w:rsidRPr="00D31EBD">
        <w:rPr>
          <w:sz w:val="28"/>
          <w:szCs w:val="28"/>
        </w:rPr>
        <w:t>politica bugetar-fiscală cuprinsă în cadrul bugetar pe termen mediu implică modificarea şi/sau completarea legislaţiei</w:t>
      </w:r>
      <w:r w:rsidR="00205C37">
        <w:rPr>
          <w:sz w:val="28"/>
          <w:szCs w:val="28"/>
        </w:rPr>
        <w:t>, prevedere existentă în articolul 49</w:t>
      </w:r>
      <w:r>
        <w:rPr>
          <w:sz w:val="28"/>
          <w:szCs w:val="28"/>
        </w:rPr>
        <w:t>.</w:t>
      </w:r>
    </w:p>
    <w:p w:rsidR="00D514CA" w:rsidRDefault="00D514CA" w:rsidP="00BE7AB0">
      <w:pPr>
        <w:spacing w:after="0"/>
        <w:ind w:firstLine="720"/>
        <w:jc w:val="both"/>
        <w:rPr>
          <w:rFonts w:ascii="Times New Roman" w:eastAsia="Times New Roman" w:hAnsi="Times New Roman" w:cs="Times New Roman"/>
          <w:sz w:val="28"/>
          <w:szCs w:val="28"/>
          <w:lang w:eastAsia="ru-RU"/>
        </w:rPr>
      </w:pPr>
    </w:p>
    <w:p w:rsidR="00BE7AB0" w:rsidRDefault="00BE7AB0" w:rsidP="00BE7AB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Conform legii, Guvernul, pînă la 15 august, prezintă Parlamentului raportul semianual privind executarea bugetului public național </w:t>
      </w:r>
      <w:r w:rsidRPr="00BE7AB0">
        <w:rPr>
          <w:rFonts w:ascii="Times New Roman" w:eastAsia="Times New Roman" w:hAnsi="Times New Roman" w:cs="Times New Roman"/>
          <w:sz w:val="28"/>
          <w:szCs w:val="28"/>
        </w:rPr>
        <w:t xml:space="preserve">şi a componentelor acestuia </w:t>
      </w:r>
      <w:r>
        <w:rPr>
          <w:rFonts w:ascii="Times New Roman" w:eastAsia="Times New Roman" w:hAnsi="Times New Roman" w:cs="Times New Roman"/>
          <w:sz w:val="28"/>
          <w:szCs w:val="28"/>
          <w:lang w:eastAsia="ru-RU"/>
        </w:rPr>
        <w:t xml:space="preserve">pe anul bugetar în curs. Raportul dat </w:t>
      </w:r>
      <w:r w:rsidRPr="00BE7AB0">
        <w:rPr>
          <w:rFonts w:ascii="Times New Roman" w:eastAsia="Times New Roman" w:hAnsi="Times New Roman" w:cs="Times New Roman"/>
          <w:sz w:val="28"/>
          <w:szCs w:val="28"/>
        </w:rPr>
        <w:t xml:space="preserve">implică o analiză amplă și complexă a executării bugetului și a factorilor de risc, care ar putea afecta executarea bugetului </w:t>
      </w:r>
      <w:r w:rsidRPr="00BE7AB0">
        <w:rPr>
          <w:rFonts w:ascii="Times New Roman" w:eastAsia="Times New Roman" w:hAnsi="Times New Roman" w:cs="Times New Roman"/>
          <w:sz w:val="28"/>
          <w:szCs w:val="28"/>
        </w:rPr>
        <w:lastRenderedPageBreak/>
        <w:t>anual.</w:t>
      </w:r>
      <w:r>
        <w:rPr>
          <w:rFonts w:ascii="Times New Roman" w:eastAsia="Times New Roman" w:hAnsi="Times New Roman" w:cs="Times New Roman"/>
          <w:sz w:val="28"/>
          <w:szCs w:val="28"/>
        </w:rPr>
        <w:t xml:space="preserve"> Întru </w:t>
      </w:r>
      <w:r w:rsidRPr="00BE7AB0">
        <w:rPr>
          <w:rFonts w:ascii="Times New Roman" w:eastAsia="Times New Roman" w:hAnsi="Times New Roman" w:cs="Times New Roman"/>
          <w:sz w:val="28"/>
          <w:szCs w:val="28"/>
        </w:rPr>
        <w:t>întocmirea calitativă a raportului</w:t>
      </w:r>
      <w:r>
        <w:rPr>
          <w:rFonts w:ascii="Times New Roman" w:eastAsia="Times New Roman" w:hAnsi="Times New Roman" w:cs="Times New Roman"/>
          <w:sz w:val="28"/>
          <w:szCs w:val="28"/>
        </w:rPr>
        <w:t xml:space="preserve"> termenul stabilit nu este suficient. În acest context, se propune </w:t>
      </w:r>
      <w:r w:rsidRPr="00BE7AB0">
        <w:rPr>
          <w:rFonts w:ascii="Times New Roman" w:eastAsia="Times New Roman" w:hAnsi="Times New Roman" w:cs="Times New Roman"/>
          <w:sz w:val="28"/>
          <w:szCs w:val="28"/>
          <w:lang w:eastAsia="ru-RU"/>
        </w:rPr>
        <w:t xml:space="preserve">extinderea termenului de prezentare </w:t>
      </w:r>
      <w:r w:rsidRPr="00BE7AB0">
        <w:rPr>
          <w:rFonts w:ascii="Times New Roman" w:eastAsia="Times New Roman" w:hAnsi="Times New Roman" w:cs="Times New Roman"/>
          <w:sz w:val="28"/>
          <w:szCs w:val="28"/>
        </w:rPr>
        <w:t xml:space="preserve">Parlamentului </w:t>
      </w:r>
      <w:r w:rsidRPr="00BE7AB0">
        <w:rPr>
          <w:rFonts w:ascii="Times New Roman" w:eastAsia="Times New Roman" w:hAnsi="Times New Roman" w:cs="Times New Roman"/>
          <w:sz w:val="28"/>
          <w:szCs w:val="28"/>
          <w:lang w:eastAsia="ru-RU"/>
        </w:rPr>
        <w:t xml:space="preserve">a </w:t>
      </w:r>
      <w:r w:rsidRPr="00BE7AB0">
        <w:rPr>
          <w:rFonts w:ascii="Times New Roman" w:eastAsia="Times New Roman" w:hAnsi="Times New Roman" w:cs="Times New Roman"/>
          <w:sz w:val="28"/>
          <w:szCs w:val="28"/>
        </w:rPr>
        <w:t>raportului</w:t>
      </w:r>
      <w:r>
        <w:rPr>
          <w:rFonts w:ascii="Times New Roman" w:eastAsia="Times New Roman" w:hAnsi="Times New Roman" w:cs="Times New Roman"/>
          <w:sz w:val="28"/>
          <w:szCs w:val="28"/>
        </w:rPr>
        <w:t xml:space="preserve"> </w:t>
      </w:r>
      <w:r w:rsidRPr="00BE7AB0">
        <w:rPr>
          <w:rFonts w:ascii="Times New Roman" w:eastAsia="Times New Roman" w:hAnsi="Times New Roman" w:cs="Times New Roman"/>
          <w:sz w:val="28"/>
          <w:szCs w:val="28"/>
        </w:rPr>
        <w:t>până la 15 septembrie</w:t>
      </w:r>
      <w:r>
        <w:rPr>
          <w:rFonts w:ascii="Times New Roman" w:eastAsia="Times New Roman" w:hAnsi="Times New Roman" w:cs="Times New Roman"/>
          <w:sz w:val="28"/>
          <w:szCs w:val="28"/>
        </w:rPr>
        <w:t>, modificîndu-se art.</w:t>
      </w:r>
      <w:r w:rsidRPr="00BE7AB0">
        <w:rPr>
          <w:rFonts w:ascii="Times New Roman" w:eastAsia="Times New Roman" w:hAnsi="Times New Roman" w:cs="Times New Roman"/>
          <w:sz w:val="28"/>
          <w:szCs w:val="28"/>
          <w:lang w:eastAsia="ru-RU"/>
        </w:rPr>
        <w:t>47 alin.(1) lit.b)</w:t>
      </w:r>
      <w:r>
        <w:rPr>
          <w:rFonts w:ascii="Times New Roman" w:eastAsia="Times New Roman" w:hAnsi="Times New Roman" w:cs="Times New Roman"/>
          <w:sz w:val="28"/>
          <w:szCs w:val="28"/>
          <w:lang w:eastAsia="ru-RU"/>
        </w:rPr>
        <w:t>.</w:t>
      </w:r>
    </w:p>
    <w:p w:rsidR="00BE7AB0" w:rsidRPr="00BE7AB0" w:rsidRDefault="002E127A" w:rsidP="00BE7AB0">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E de menționat că m</w:t>
      </w:r>
      <w:r w:rsidR="00BE7AB0" w:rsidRPr="00BE7AB0">
        <w:rPr>
          <w:rFonts w:ascii="Times New Roman" w:eastAsia="Times New Roman" w:hAnsi="Times New Roman" w:cs="Times New Roman"/>
          <w:sz w:val="28"/>
          <w:szCs w:val="28"/>
        </w:rPr>
        <w:t xml:space="preserve">odificarea în cauză este și în concordanță cu Codul FMI privind transparența fiscală și cu normele Metodologiei privind sondajul bugetelor deschise, care prevăd limita de </w:t>
      </w:r>
      <w:r w:rsidR="000C4E98">
        <w:rPr>
          <w:rFonts w:ascii="Times New Roman" w:eastAsia="Times New Roman" w:hAnsi="Times New Roman" w:cs="Times New Roman"/>
          <w:sz w:val="28"/>
          <w:szCs w:val="28"/>
        </w:rPr>
        <w:t>trei</w:t>
      </w:r>
      <w:r w:rsidR="00BE7AB0" w:rsidRPr="00BE7AB0">
        <w:rPr>
          <w:rFonts w:ascii="Times New Roman" w:eastAsia="Times New Roman" w:hAnsi="Times New Roman" w:cs="Times New Roman"/>
          <w:sz w:val="28"/>
          <w:szCs w:val="28"/>
        </w:rPr>
        <w:t xml:space="preserve"> luni după perioada gestionară.</w:t>
      </w:r>
    </w:p>
    <w:p w:rsidR="00D31EBD" w:rsidRPr="00726039" w:rsidRDefault="00D31EBD" w:rsidP="00726039">
      <w:pPr>
        <w:pStyle w:val="NormalWeb"/>
        <w:spacing w:line="276" w:lineRule="auto"/>
        <w:ind w:firstLine="720"/>
        <w:rPr>
          <w:sz w:val="28"/>
          <w:szCs w:val="28"/>
        </w:rPr>
      </w:pPr>
    </w:p>
    <w:p w:rsidR="00854AE9" w:rsidRPr="00876DFC" w:rsidRDefault="00726039" w:rsidP="00854AE9">
      <w:pPr>
        <w:pStyle w:val="NormalWeb"/>
        <w:spacing w:line="276" w:lineRule="auto"/>
        <w:ind w:firstLine="720"/>
        <w:rPr>
          <w:sz w:val="28"/>
          <w:szCs w:val="28"/>
        </w:rPr>
      </w:pPr>
      <w:r w:rsidRPr="00726039">
        <w:rPr>
          <w:sz w:val="28"/>
          <w:szCs w:val="28"/>
        </w:rPr>
        <w:t>Legea vizată</w:t>
      </w:r>
      <w:r>
        <w:rPr>
          <w:b/>
          <w:sz w:val="28"/>
          <w:szCs w:val="28"/>
        </w:rPr>
        <w:t xml:space="preserve"> </w:t>
      </w:r>
      <w:r w:rsidR="00854AE9" w:rsidRPr="00876DFC">
        <w:rPr>
          <w:sz w:val="28"/>
          <w:szCs w:val="28"/>
        </w:rPr>
        <w:t>stabileşte, că în termen de 30 de zile de la data publicării legii bugetului de stat pe anul respectiv, autorităţile administraţiei publice locale de toate nivelurile aduc bugetele aprobate corespunzătoare în concordanţă cu prevederile legii menţionate. Aceasta nu se referă la modificarea legii bugetului de stat pe parcursul anului, care afectează relațiile interbugetare.</w:t>
      </w:r>
    </w:p>
    <w:p w:rsidR="00854AE9" w:rsidRDefault="00854AE9" w:rsidP="00854AE9">
      <w:pPr>
        <w:spacing w:after="0"/>
        <w:ind w:firstLine="709"/>
        <w:jc w:val="both"/>
        <w:rPr>
          <w:rFonts w:ascii="Times New Roman" w:hAnsi="Times New Roman" w:cs="Times New Roman"/>
          <w:sz w:val="28"/>
          <w:szCs w:val="28"/>
        </w:rPr>
      </w:pPr>
      <w:r w:rsidRPr="00876DFC">
        <w:rPr>
          <w:rFonts w:ascii="Times New Roman" w:hAnsi="Times New Roman" w:cs="Times New Roman"/>
          <w:sz w:val="28"/>
          <w:szCs w:val="28"/>
        </w:rPr>
        <w:t>Întru eliminarea acestei lacune, se propune de a obliga autoritățile administrației publice locale să aducă bugetele sale în concordanță și cu modificările operate la legea bugetului de stat pe parcursul anului bugetar</w:t>
      </w:r>
      <w:r w:rsidR="00726039">
        <w:rPr>
          <w:rFonts w:ascii="Times New Roman" w:hAnsi="Times New Roman" w:cs="Times New Roman"/>
          <w:sz w:val="28"/>
          <w:szCs w:val="28"/>
        </w:rPr>
        <w:t xml:space="preserve"> care afectează relațiile interbugetare</w:t>
      </w:r>
      <w:r w:rsidRPr="00876DFC">
        <w:rPr>
          <w:rFonts w:ascii="Times New Roman" w:hAnsi="Times New Roman" w:cs="Times New Roman"/>
          <w:sz w:val="28"/>
          <w:szCs w:val="28"/>
        </w:rPr>
        <w:t xml:space="preserve">, efectuîndu-se modificările respective la </w:t>
      </w:r>
      <w:r w:rsidR="00726039">
        <w:rPr>
          <w:rFonts w:ascii="Times New Roman" w:hAnsi="Times New Roman" w:cs="Times New Roman"/>
          <w:sz w:val="28"/>
          <w:szCs w:val="28"/>
        </w:rPr>
        <w:t>art.55 alin.(5)</w:t>
      </w:r>
      <w:r w:rsidRPr="00876DFC">
        <w:rPr>
          <w:rFonts w:ascii="Times New Roman" w:hAnsi="Times New Roman" w:cs="Times New Roman"/>
          <w:sz w:val="28"/>
          <w:szCs w:val="28"/>
        </w:rPr>
        <w:t>.</w:t>
      </w:r>
    </w:p>
    <w:p w:rsidR="00CC268F" w:rsidRDefault="00CC268F" w:rsidP="00854AE9">
      <w:pPr>
        <w:spacing w:after="0"/>
        <w:ind w:firstLine="709"/>
        <w:jc w:val="both"/>
        <w:rPr>
          <w:rFonts w:ascii="Times New Roman" w:hAnsi="Times New Roman" w:cs="Times New Roman"/>
          <w:sz w:val="28"/>
          <w:szCs w:val="28"/>
        </w:rPr>
      </w:pPr>
    </w:p>
    <w:p w:rsidR="00F940A1" w:rsidRPr="00164764" w:rsidRDefault="00F940A1" w:rsidP="00F940A1">
      <w:pPr>
        <w:shd w:val="clear" w:color="auto" w:fill="FFFFFF"/>
        <w:spacing w:after="0"/>
        <w:ind w:firstLine="720"/>
        <w:jc w:val="both"/>
        <w:rPr>
          <w:rFonts w:ascii="Times New Roman" w:eastAsia="Times New Roman" w:hAnsi="Times New Roman" w:cs="Times New Roman"/>
          <w:color w:val="000000"/>
          <w:sz w:val="28"/>
          <w:szCs w:val="28"/>
          <w:lang w:eastAsia="ro-RO"/>
        </w:rPr>
      </w:pPr>
      <w:r w:rsidRPr="00164764">
        <w:rPr>
          <w:rFonts w:ascii="Times New Roman" w:eastAsia="Times New Roman" w:hAnsi="Times New Roman" w:cs="Times New Roman"/>
          <w:color w:val="000000"/>
          <w:sz w:val="28"/>
          <w:szCs w:val="28"/>
          <w:lang w:eastAsia="ro-RO"/>
        </w:rPr>
        <w:t xml:space="preserve">Modificările la art.60 au drept scop clarificarea modului de aplicare a limitei de 10% stabilite la lit.a), care necesită a fi respectată atît în sensul reducerii, cît și în sensul majorării alocațiilor bugetare la linia bugetară respectivă. </w:t>
      </w:r>
    </w:p>
    <w:p w:rsidR="00F940A1" w:rsidRPr="00164764" w:rsidRDefault="00F940A1" w:rsidP="00F940A1">
      <w:pPr>
        <w:shd w:val="clear" w:color="auto" w:fill="FFFFFF"/>
        <w:spacing w:after="0"/>
        <w:ind w:firstLine="720"/>
        <w:jc w:val="both"/>
        <w:rPr>
          <w:rFonts w:ascii="Calibri" w:eastAsia="Times New Roman" w:hAnsi="Calibri" w:cs="Times New Roman"/>
          <w:color w:val="000000"/>
          <w:sz w:val="28"/>
          <w:szCs w:val="28"/>
          <w:lang w:eastAsia="ro-RO"/>
        </w:rPr>
      </w:pPr>
      <w:r w:rsidRPr="00164764">
        <w:rPr>
          <w:rFonts w:ascii="Times New Roman" w:eastAsia="Times New Roman" w:hAnsi="Times New Roman" w:cs="Times New Roman"/>
          <w:color w:val="000000"/>
          <w:sz w:val="28"/>
          <w:szCs w:val="28"/>
          <w:lang w:eastAsia="ro-RO"/>
        </w:rPr>
        <w:t>De asemenea, se propune delimitarea competențelor autorității bugetare și instituției bugetare în ce privește redistribuirea alocațiilor, pentru a evita confuziile în aplicarea redistribuirilor prevăzute la lit.c).</w:t>
      </w:r>
    </w:p>
    <w:p w:rsidR="00F940A1" w:rsidRPr="00164764" w:rsidRDefault="00F940A1" w:rsidP="00F940A1">
      <w:pPr>
        <w:shd w:val="clear" w:color="auto" w:fill="FFFFFF"/>
        <w:spacing w:after="0"/>
        <w:ind w:firstLine="720"/>
        <w:jc w:val="both"/>
        <w:rPr>
          <w:rFonts w:ascii="Calibri" w:eastAsia="Times New Roman" w:hAnsi="Calibri" w:cs="Times New Roman"/>
          <w:color w:val="000000"/>
          <w:sz w:val="28"/>
          <w:szCs w:val="28"/>
          <w:lang w:eastAsia="ro-RO"/>
        </w:rPr>
      </w:pPr>
      <w:r w:rsidRPr="00164764">
        <w:rPr>
          <w:rFonts w:ascii="Times New Roman" w:hAnsi="Times New Roman" w:cs="Times New Roman"/>
          <w:sz w:val="28"/>
          <w:szCs w:val="28"/>
        </w:rPr>
        <w:t>Propunerea de a interzice redistribuirile în primul trimestru al anului are drept scop asigurarea premizelor pentru un management financiar bun și încurajarea autorităților / instituțiilor bugetare de a spori credibilitatea propunerilor de buget/bugetelor recent aprobate, în timp ce stabilirea datei limită pentru efectuarea redistribuirilor, urmărește scopul de a dispune de timp suficient pentru valorificarea alocațiilor redistribuite și va descuraja “absorbția” alocațiilor bugetare excesive .</w:t>
      </w:r>
    </w:p>
    <w:p w:rsidR="00F940A1" w:rsidRDefault="00F940A1" w:rsidP="004A704F">
      <w:pPr>
        <w:spacing w:after="0"/>
        <w:ind w:firstLine="709"/>
        <w:jc w:val="both"/>
        <w:rPr>
          <w:rFonts w:ascii="Times New Roman" w:hAnsi="Times New Roman" w:cs="Times New Roman"/>
          <w:sz w:val="28"/>
          <w:szCs w:val="28"/>
        </w:rPr>
      </w:pPr>
    </w:p>
    <w:p w:rsidR="004A704F" w:rsidRDefault="00F51028" w:rsidP="004A704F">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Conform</w:t>
      </w:r>
      <w:r w:rsidR="00017942">
        <w:rPr>
          <w:rFonts w:ascii="Times New Roman" w:hAnsi="Times New Roman" w:cs="Times New Roman"/>
          <w:sz w:val="28"/>
          <w:szCs w:val="28"/>
        </w:rPr>
        <w:t xml:space="preserve"> legii, </w:t>
      </w:r>
      <w:r w:rsidR="000C4E98" w:rsidRPr="00F51028">
        <w:rPr>
          <w:rFonts w:ascii="Times New Roman" w:hAnsi="Times New Roman" w:cs="Times New Roman"/>
          <w:sz w:val="28"/>
          <w:szCs w:val="28"/>
        </w:rPr>
        <w:t>a</w:t>
      </w:r>
      <w:r w:rsidR="000C4E98" w:rsidRPr="00F51028">
        <w:rPr>
          <w:rFonts w:ascii="Times New Roman" w:eastAsia="Times New Roman" w:hAnsi="Times New Roman" w:cs="Times New Roman"/>
          <w:sz w:val="28"/>
          <w:szCs w:val="28"/>
        </w:rPr>
        <w:t>sumarea angajamentelor de către autorităţile/instituţiile bugetare se permite doar în scopurile şi în limitele alocaţiilor bugetare</w:t>
      </w:r>
      <w:r>
        <w:rPr>
          <w:rFonts w:ascii="Times New Roman" w:eastAsia="Times New Roman" w:hAnsi="Times New Roman" w:cs="Times New Roman"/>
          <w:sz w:val="28"/>
          <w:szCs w:val="28"/>
        </w:rPr>
        <w:t>, iar</w:t>
      </w:r>
      <w:r>
        <w:rPr>
          <w:rFonts w:ascii="Times New Roman" w:eastAsia="Times New Roman" w:hAnsi="Times New Roman" w:cs="Times New Roman"/>
          <w:sz w:val="20"/>
          <w:szCs w:val="20"/>
        </w:rPr>
        <w:t xml:space="preserve"> </w:t>
      </w:r>
      <w:r w:rsidR="00DF6442">
        <w:rPr>
          <w:rFonts w:ascii="Times New Roman" w:hAnsi="Times New Roman" w:cs="Times New Roman"/>
          <w:sz w:val="28"/>
          <w:szCs w:val="28"/>
        </w:rPr>
        <w:t>d</w:t>
      </w:r>
      <w:r w:rsidR="00017942" w:rsidRPr="00DF6442">
        <w:rPr>
          <w:rFonts w:ascii="Times New Roman" w:hAnsi="Times New Roman" w:cs="Times New Roman"/>
          <w:sz w:val="28"/>
          <w:szCs w:val="28"/>
        </w:rPr>
        <w:t>atoriile autorităţilor/instituţiilor bugetare din anii precedenţi se achită de către acestea din contul şi în limita bugetelor autorităţilor/instituţiilor respective aprobate pe anul bugetar curent</w:t>
      </w:r>
      <w:r w:rsidR="00DF6442">
        <w:rPr>
          <w:rFonts w:ascii="Times New Roman" w:hAnsi="Times New Roman" w:cs="Times New Roman"/>
          <w:sz w:val="28"/>
          <w:szCs w:val="28"/>
        </w:rPr>
        <w:t xml:space="preserve">. </w:t>
      </w:r>
      <w:r w:rsidR="000C4E98">
        <w:rPr>
          <w:rFonts w:ascii="Times New Roman" w:hAnsi="Times New Roman" w:cs="Times New Roman"/>
          <w:sz w:val="28"/>
          <w:szCs w:val="28"/>
        </w:rPr>
        <w:t xml:space="preserve">Cu toate acestea, legea nu reglementează </w:t>
      </w:r>
      <w:r>
        <w:rPr>
          <w:rFonts w:ascii="Times New Roman" w:hAnsi="Times New Roman" w:cs="Times New Roman"/>
          <w:sz w:val="28"/>
          <w:szCs w:val="28"/>
        </w:rPr>
        <w:t xml:space="preserve">necesitatea luării în considerare a datoriilor la asumarea angajamentelor noi și nici </w:t>
      </w:r>
      <w:r w:rsidR="000C4E98">
        <w:rPr>
          <w:rFonts w:ascii="Times New Roman" w:hAnsi="Times New Roman" w:cs="Times New Roman"/>
          <w:sz w:val="28"/>
          <w:szCs w:val="28"/>
        </w:rPr>
        <w:t>prioritatea achitării datoriilor cu termen de achitare expirat, inclusiv la plățile curente</w:t>
      </w:r>
      <w:r w:rsidR="004A704F">
        <w:rPr>
          <w:rFonts w:ascii="Times New Roman" w:hAnsi="Times New Roman" w:cs="Times New Roman"/>
          <w:sz w:val="28"/>
          <w:szCs w:val="28"/>
        </w:rPr>
        <w:t xml:space="preserve">, ceea ce creează </w:t>
      </w:r>
      <w:r w:rsidR="004A704F">
        <w:rPr>
          <w:rFonts w:ascii="Times New Roman" w:hAnsi="Times New Roman" w:cs="Times New Roman"/>
          <w:sz w:val="28"/>
          <w:szCs w:val="28"/>
        </w:rPr>
        <w:lastRenderedPageBreak/>
        <w:t>premize pentru acumularea datoriilor</w:t>
      </w:r>
      <w:r w:rsidR="000C4E98">
        <w:rPr>
          <w:rFonts w:ascii="Times New Roman" w:hAnsi="Times New Roman" w:cs="Times New Roman"/>
          <w:sz w:val="28"/>
          <w:szCs w:val="28"/>
        </w:rPr>
        <w:t xml:space="preserve">. </w:t>
      </w:r>
      <w:r>
        <w:rPr>
          <w:rFonts w:ascii="Times New Roman" w:hAnsi="Times New Roman" w:cs="Times New Roman"/>
          <w:sz w:val="28"/>
          <w:szCs w:val="28"/>
        </w:rPr>
        <w:t xml:space="preserve">Aceste lacune vor fi eliminate prin </w:t>
      </w:r>
      <w:r w:rsidR="000E1787">
        <w:rPr>
          <w:rFonts w:ascii="Times New Roman" w:hAnsi="Times New Roman" w:cs="Times New Roman"/>
          <w:sz w:val="28"/>
          <w:szCs w:val="28"/>
        </w:rPr>
        <w:t>complet</w:t>
      </w:r>
      <w:r>
        <w:rPr>
          <w:rFonts w:ascii="Times New Roman" w:hAnsi="Times New Roman" w:cs="Times New Roman"/>
          <w:sz w:val="28"/>
          <w:szCs w:val="28"/>
        </w:rPr>
        <w:t>ările propuse la</w:t>
      </w:r>
      <w:r w:rsidR="000E1787">
        <w:rPr>
          <w:rFonts w:ascii="Times New Roman" w:hAnsi="Times New Roman" w:cs="Times New Roman"/>
          <w:sz w:val="28"/>
          <w:szCs w:val="28"/>
        </w:rPr>
        <w:t xml:space="preserve"> </w:t>
      </w:r>
      <w:r w:rsidRPr="004A704F">
        <w:rPr>
          <w:rFonts w:ascii="Times New Roman" w:eastAsia="Times New Roman" w:hAnsi="Times New Roman" w:cs="Times New Roman"/>
          <w:sz w:val="28"/>
          <w:szCs w:val="28"/>
        </w:rPr>
        <w:t xml:space="preserve">art.66,  alin. (2) și la art.67, potrivit cărora la asumarea angajamentelor de către autoritățile/instituțiile bugetare, acestea vor trebui să țină cont de datoriile înregistrate la finele anului precedent, precum și faptul, că  acestea nu vor putea efectua plăți curente pînă la stingerea datoriilor cu termen de achitare expirat. Modificarea are drept scop contracararea fenomenului de acumulare a datoriilor de către autoritățile/instituțiile bugetare, precum și responsabilizarea conducătorului </w:t>
      </w:r>
      <w:r w:rsidRPr="004A704F">
        <w:rPr>
          <w:rFonts w:ascii="Times New Roman" w:hAnsi="Times New Roman" w:cs="Times New Roman"/>
          <w:sz w:val="28"/>
          <w:szCs w:val="28"/>
        </w:rPr>
        <w:t xml:space="preserve">autorităţilor/instituţiilor bugetare în efectuarea eficientă și eficace a cheltuielilor întru neadmiterea de arierate </w:t>
      </w:r>
      <w:r w:rsidRPr="004A704F">
        <w:rPr>
          <w:rFonts w:ascii="Times New Roman" w:eastAsia="Times New Roman" w:hAnsi="Times New Roman" w:cs="Times New Roman"/>
          <w:sz w:val="28"/>
          <w:szCs w:val="28"/>
        </w:rPr>
        <w:t>în procesul de executare a bugetului. De asemenea, astfel se va asigura îmbunătățirea indicatorului evaluat în cadrul Memorandumului încheiat cu Fondul Monetar Internațional.</w:t>
      </w:r>
      <w:r w:rsidR="004A704F" w:rsidRPr="004A704F">
        <w:rPr>
          <w:rFonts w:ascii="Times New Roman" w:eastAsia="Times New Roman" w:hAnsi="Times New Roman" w:cs="Times New Roman"/>
          <w:sz w:val="28"/>
          <w:szCs w:val="28"/>
        </w:rPr>
        <w:t xml:space="preserve"> </w:t>
      </w:r>
      <w:r w:rsidR="004A704F">
        <w:rPr>
          <w:rFonts w:ascii="Times New Roman" w:eastAsia="Times New Roman" w:hAnsi="Times New Roman" w:cs="Times New Roman"/>
          <w:sz w:val="28"/>
          <w:szCs w:val="28"/>
        </w:rPr>
        <w:t>E de menționat că</w:t>
      </w:r>
      <w:r w:rsidR="004A704F" w:rsidRPr="00677904">
        <w:rPr>
          <w:rFonts w:ascii="Times New Roman" w:eastAsia="Times New Roman" w:hAnsi="Times New Roman" w:cs="Times New Roman"/>
          <w:sz w:val="28"/>
          <w:szCs w:val="28"/>
        </w:rPr>
        <w:t xml:space="preserve"> datoriile cu termen de achitare expirat (ariarate) este un indicator evaluat în cadrul Cheltuielilor publice și responsabilității financiare (PEFA).</w:t>
      </w:r>
    </w:p>
    <w:p w:rsidR="00F51028" w:rsidRPr="004A704F" w:rsidRDefault="00F51028" w:rsidP="00E42103">
      <w:pPr>
        <w:spacing w:after="0"/>
        <w:ind w:firstLine="709"/>
        <w:jc w:val="both"/>
        <w:rPr>
          <w:rFonts w:ascii="Times New Roman" w:eastAsia="Times New Roman" w:hAnsi="Times New Roman" w:cs="Times New Roman"/>
          <w:sz w:val="28"/>
          <w:szCs w:val="28"/>
        </w:rPr>
      </w:pPr>
    </w:p>
    <w:p w:rsidR="00CC268F" w:rsidRDefault="00CC268F" w:rsidP="00164764">
      <w:pPr>
        <w:spacing w:before="120" w:after="0"/>
        <w:ind w:firstLine="706"/>
        <w:jc w:val="both"/>
        <w:rPr>
          <w:rFonts w:ascii="Times New Roman" w:hAnsi="Times New Roman" w:cs="Times New Roman"/>
          <w:sz w:val="28"/>
          <w:szCs w:val="28"/>
        </w:rPr>
      </w:pPr>
      <w:bookmarkStart w:id="2" w:name="_GoBack"/>
      <w:bookmarkEnd w:id="2"/>
      <w:r w:rsidRPr="00CC268F">
        <w:rPr>
          <w:rFonts w:ascii="Times New Roman" w:hAnsi="Times New Roman" w:cs="Times New Roman"/>
          <w:sz w:val="28"/>
          <w:szCs w:val="28"/>
        </w:rPr>
        <w:t>Legea</w:t>
      </w:r>
      <w:r w:rsidR="004A704F">
        <w:rPr>
          <w:rFonts w:ascii="Times New Roman" w:hAnsi="Times New Roman" w:cs="Times New Roman"/>
          <w:sz w:val="28"/>
          <w:szCs w:val="28"/>
        </w:rPr>
        <w:t xml:space="preserve"> în vigoare</w:t>
      </w:r>
      <w:r w:rsidRPr="00CC268F">
        <w:rPr>
          <w:rFonts w:ascii="Times New Roman" w:hAnsi="Times New Roman" w:cs="Times New Roman"/>
          <w:sz w:val="28"/>
          <w:szCs w:val="28"/>
        </w:rPr>
        <w:t xml:space="preserve"> reglementează succesiunea </w:t>
      </w:r>
      <w:r>
        <w:rPr>
          <w:rFonts w:ascii="Times New Roman" w:hAnsi="Times New Roman" w:cs="Times New Roman"/>
          <w:sz w:val="28"/>
          <w:szCs w:val="28"/>
        </w:rPr>
        <w:t>s</w:t>
      </w:r>
      <w:r w:rsidRPr="00CC268F">
        <w:rPr>
          <w:rFonts w:ascii="Times New Roman" w:hAnsi="Times New Roman" w:cs="Times New Roman"/>
          <w:sz w:val="28"/>
          <w:szCs w:val="28"/>
        </w:rPr>
        <w:t>tinger</w:t>
      </w:r>
      <w:r>
        <w:rPr>
          <w:rFonts w:ascii="Times New Roman" w:hAnsi="Times New Roman" w:cs="Times New Roman"/>
          <w:sz w:val="28"/>
          <w:szCs w:val="28"/>
        </w:rPr>
        <w:t>ii</w:t>
      </w:r>
      <w:r w:rsidRPr="00CC268F">
        <w:rPr>
          <w:rFonts w:ascii="Times New Roman" w:hAnsi="Times New Roman" w:cs="Times New Roman"/>
          <w:sz w:val="28"/>
          <w:szCs w:val="28"/>
        </w:rPr>
        <w:t xml:space="preserve"> datoriilor expirate aferente împrumuturilor acordate şi/sau recreditate de Ministerul Finanţelor, precum şi a împrumuturilor achitate din contul bugetului de stat conform garanţiei de stat</w:t>
      </w:r>
      <w:r>
        <w:rPr>
          <w:rFonts w:ascii="Times New Roman" w:hAnsi="Times New Roman" w:cs="Times New Roman"/>
          <w:sz w:val="28"/>
          <w:szCs w:val="28"/>
        </w:rPr>
        <w:t>, și an</w:t>
      </w:r>
      <w:r w:rsidR="00E554F9">
        <w:rPr>
          <w:rFonts w:ascii="Times New Roman" w:hAnsi="Times New Roman" w:cs="Times New Roman"/>
          <w:sz w:val="28"/>
          <w:szCs w:val="28"/>
        </w:rPr>
        <w:t>u</w:t>
      </w:r>
      <w:r>
        <w:rPr>
          <w:rFonts w:ascii="Times New Roman" w:hAnsi="Times New Roman" w:cs="Times New Roman"/>
          <w:sz w:val="28"/>
          <w:szCs w:val="28"/>
        </w:rPr>
        <w:t>me:</w:t>
      </w:r>
      <w:r w:rsidRPr="00CC268F">
        <w:rPr>
          <w:rFonts w:ascii="Times New Roman" w:hAnsi="Times New Roman" w:cs="Times New Roman"/>
          <w:sz w:val="20"/>
          <w:szCs w:val="20"/>
        </w:rPr>
        <w:t xml:space="preserve"> </w:t>
      </w:r>
      <w:r w:rsidRPr="00CC268F">
        <w:rPr>
          <w:rFonts w:ascii="Times New Roman" w:hAnsi="Times New Roman" w:cs="Times New Roman"/>
          <w:sz w:val="28"/>
          <w:szCs w:val="28"/>
        </w:rPr>
        <w:t>suma principală a împrumutului, dobînda şi alte plăţi, penalitatea</w:t>
      </w:r>
      <w:r>
        <w:rPr>
          <w:rFonts w:ascii="Times New Roman" w:hAnsi="Times New Roman" w:cs="Times New Roman"/>
          <w:sz w:val="28"/>
          <w:szCs w:val="28"/>
        </w:rPr>
        <w:t>.</w:t>
      </w:r>
    </w:p>
    <w:p w:rsidR="00CC268F" w:rsidRPr="00CC268F" w:rsidRDefault="00CC268F" w:rsidP="0048394B">
      <w:pPr>
        <w:shd w:val="clear" w:color="auto" w:fill="FFFFFF"/>
        <w:spacing w:after="0"/>
        <w:ind w:firstLine="708"/>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În aceste condiții, î</w:t>
      </w:r>
      <w:r w:rsidRPr="00CC268F">
        <w:rPr>
          <w:rFonts w:ascii="Times New Roman" w:eastAsia="Times New Roman" w:hAnsi="Times New Roman" w:cs="Times New Roman"/>
          <w:color w:val="000000"/>
          <w:sz w:val="28"/>
          <w:szCs w:val="28"/>
          <w:lang w:eastAsia="ro-RO"/>
        </w:rPr>
        <w:t>n cazul recreditării împrumuturilor</w:t>
      </w:r>
      <w:r>
        <w:rPr>
          <w:rFonts w:ascii="Times New Roman" w:eastAsia="Times New Roman" w:hAnsi="Times New Roman" w:cs="Times New Roman"/>
          <w:color w:val="000000"/>
          <w:sz w:val="28"/>
          <w:szCs w:val="28"/>
          <w:lang w:eastAsia="ro-RO"/>
        </w:rPr>
        <w:t>,</w:t>
      </w:r>
      <w:r w:rsidRPr="00CC268F">
        <w:rPr>
          <w:rFonts w:ascii="Times New Roman" w:eastAsia="Times New Roman" w:hAnsi="Times New Roman" w:cs="Times New Roman"/>
          <w:color w:val="000000"/>
          <w:sz w:val="28"/>
          <w:szCs w:val="28"/>
          <w:lang w:eastAsia="ro-RO"/>
        </w:rPr>
        <w:t xml:space="preserve"> precum și emiterii garanțiilor de stat, bugetul de stat este expus unor riscuri de credit semnificative.</w:t>
      </w:r>
      <w:r w:rsidR="004A704F">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E de menționat că l</w:t>
      </w:r>
      <w:r w:rsidRPr="00CC268F">
        <w:rPr>
          <w:rFonts w:ascii="Times New Roman" w:eastAsia="Times New Roman" w:hAnsi="Times New Roman" w:cs="Times New Roman"/>
          <w:color w:val="000000"/>
          <w:sz w:val="28"/>
          <w:szCs w:val="28"/>
          <w:lang w:eastAsia="ro-RO"/>
        </w:rPr>
        <w:t>a situația din 30.06.2017, datoria cu termen de achitare expirat la împrumuturile recreditate prin intermediul Ministerului Finanțelor a constituit suma de cca 327,1 mil. lei, dintre care partea majoră (55%) constituie penalitatea, dobînda și alte plăți de deservire. Astfel, există riscul iminent de neîncasare a acestor mijloace financiare, precum și ratarea veniturilor viitoare dat fiind faptul, că în cazul achitării prioritare a sumei de bază, aceasta nu va putea genera dobînzi în viitor, menținînd totodată arierate la plăți de deservire a împrumutului.</w:t>
      </w:r>
    </w:p>
    <w:p w:rsidR="00CC268F" w:rsidRDefault="00CC268F" w:rsidP="0048394B">
      <w:pPr>
        <w:spacing w:after="0"/>
        <w:ind w:firstLine="709"/>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Î</w:t>
      </w:r>
      <w:r w:rsidRPr="00CC268F">
        <w:rPr>
          <w:rFonts w:ascii="Times New Roman" w:eastAsia="Times New Roman" w:hAnsi="Times New Roman" w:cs="Times New Roman"/>
          <w:color w:val="000000"/>
          <w:sz w:val="28"/>
          <w:szCs w:val="28"/>
          <w:lang w:eastAsia="ro-RO"/>
        </w:rPr>
        <w:t>n scopul îmbunătățirii atît a disciplinei fiscale</w:t>
      </w:r>
      <w:r>
        <w:rPr>
          <w:rFonts w:ascii="Times New Roman" w:eastAsia="Times New Roman" w:hAnsi="Times New Roman" w:cs="Times New Roman"/>
          <w:color w:val="000000"/>
          <w:sz w:val="28"/>
          <w:szCs w:val="28"/>
          <w:lang w:eastAsia="ro-RO"/>
        </w:rPr>
        <w:t>,</w:t>
      </w:r>
      <w:r w:rsidRPr="00CC268F">
        <w:rPr>
          <w:rFonts w:ascii="Times New Roman" w:eastAsia="Times New Roman" w:hAnsi="Times New Roman" w:cs="Times New Roman"/>
          <w:color w:val="000000"/>
          <w:sz w:val="28"/>
          <w:szCs w:val="28"/>
          <w:lang w:eastAsia="ro-RO"/>
        </w:rPr>
        <w:t xml:space="preserve"> cît și a managementului riscurilor bugetar-fiscale</w:t>
      </w:r>
      <w:r>
        <w:rPr>
          <w:rFonts w:ascii="Times New Roman" w:eastAsia="Times New Roman" w:hAnsi="Times New Roman" w:cs="Times New Roman"/>
          <w:color w:val="000000"/>
          <w:sz w:val="28"/>
          <w:szCs w:val="28"/>
          <w:lang w:eastAsia="ro-RO"/>
        </w:rPr>
        <w:t xml:space="preserve">, </w:t>
      </w:r>
      <w:r w:rsidR="0048394B">
        <w:rPr>
          <w:rFonts w:ascii="Times New Roman" w:eastAsia="Times New Roman" w:hAnsi="Times New Roman" w:cs="Times New Roman"/>
          <w:color w:val="000000"/>
          <w:sz w:val="28"/>
          <w:szCs w:val="28"/>
          <w:lang w:eastAsia="ro-RO"/>
        </w:rPr>
        <w:t xml:space="preserve">precum și </w:t>
      </w:r>
      <w:r w:rsidR="0048394B" w:rsidRPr="00CC268F">
        <w:rPr>
          <w:rFonts w:ascii="Times New Roman" w:eastAsia="Times New Roman" w:hAnsi="Times New Roman" w:cs="Times New Roman"/>
          <w:color w:val="000000"/>
          <w:sz w:val="28"/>
          <w:szCs w:val="28"/>
          <w:lang w:eastAsia="ro-RO"/>
        </w:rPr>
        <w:t>alinier</w:t>
      </w:r>
      <w:r w:rsidR="0048394B">
        <w:rPr>
          <w:rFonts w:ascii="Times New Roman" w:eastAsia="Times New Roman" w:hAnsi="Times New Roman" w:cs="Times New Roman"/>
          <w:color w:val="000000"/>
          <w:sz w:val="28"/>
          <w:szCs w:val="28"/>
          <w:lang w:eastAsia="ro-RO"/>
        </w:rPr>
        <w:t>ii</w:t>
      </w:r>
      <w:r w:rsidR="0048394B" w:rsidRPr="00CC268F">
        <w:rPr>
          <w:rFonts w:ascii="Times New Roman" w:eastAsia="Times New Roman" w:hAnsi="Times New Roman" w:cs="Times New Roman"/>
          <w:color w:val="000000"/>
          <w:sz w:val="28"/>
          <w:szCs w:val="28"/>
          <w:lang w:eastAsia="ro-RO"/>
        </w:rPr>
        <w:t xml:space="preserve"> la practica bancară internațională și națională</w:t>
      </w:r>
      <w:r w:rsidR="0048394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se propune modificarea </w:t>
      </w:r>
      <w:r w:rsidRPr="00CC268F">
        <w:rPr>
          <w:rFonts w:ascii="Times New Roman" w:hAnsi="Times New Roman" w:cs="Times New Roman"/>
          <w:sz w:val="28"/>
          <w:szCs w:val="28"/>
        </w:rPr>
        <w:t>succesiuni</w:t>
      </w:r>
      <w:r>
        <w:rPr>
          <w:rFonts w:ascii="Times New Roman" w:hAnsi="Times New Roman" w:cs="Times New Roman"/>
          <w:sz w:val="28"/>
          <w:szCs w:val="28"/>
        </w:rPr>
        <w:t>i</w:t>
      </w:r>
      <w:r w:rsidRPr="00CC268F">
        <w:rPr>
          <w:rFonts w:ascii="Times New Roman" w:hAnsi="Times New Roman" w:cs="Times New Roman"/>
          <w:sz w:val="28"/>
          <w:szCs w:val="28"/>
        </w:rPr>
        <w:t xml:space="preserve"> </w:t>
      </w:r>
      <w:r>
        <w:rPr>
          <w:rFonts w:ascii="Times New Roman" w:hAnsi="Times New Roman" w:cs="Times New Roman"/>
          <w:sz w:val="28"/>
          <w:szCs w:val="28"/>
        </w:rPr>
        <w:t>s</w:t>
      </w:r>
      <w:r w:rsidRPr="00CC268F">
        <w:rPr>
          <w:rFonts w:ascii="Times New Roman" w:hAnsi="Times New Roman" w:cs="Times New Roman"/>
          <w:sz w:val="28"/>
          <w:szCs w:val="28"/>
        </w:rPr>
        <w:t>tinger</w:t>
      </w:r>
      <w:r>
        <w:rPr>
          <w:rFonts w:ascii="Times New Roman" w:hAnsi="Times New Roman" w:cs="Times New Roman"/>
          <w:sz w:val="28"/>
          <w:szCs w:val="28"/>
        </w:rPr>
        <w:t>ii</w:t>
      </w:r>
      <w:r w:rsidRPr="00CC268F">
        <w:rPr>
          <w:rFonts w:ascii="Times New Roman" w:hAnsi="Times New Roman" w:cs="Times New Roman"/>
          <w:sz w:val="28"/>
          <w:szCs w:val="28"/>
        </w:rPr>
        <w:t xml:space="preserve"> datoriilor</w:t>
      </w:r>
      <w:r>
        <w:rPr>
          <w:rFonts w:ascii="Times New Roman" w:hAnsi="Times New Roman" w:cs="Times New Roman"/>
          <w:sz w:val="28"/>
          <w:szCs w:val="28"/>
        </w:rPr>
        <w:t xml:space="preserve"> menționate în fel următor:</w:t>
      </w:r>
      <w:r w:rsidRPr="00CC268F">
        <w:rPr>
          <w:rFonts w:ascii="Times New Roman" w:hAnsi="Times New Roman" w:cs="Times New Roman"/>
          <w:sz w:val="20"/>
          <w:szCs w:val="20"/>
        </w:rPr>
        <w:t xml:space="preserve"> </w:t>
      </w:r>
      <w:r w:rsidRPr="00CC268F">
        <w:rPr>
          <w:rFonts w:ascii="Times New Roman" w:hAnsi="Times New Roman" w:cs="Times New Roman"/>
          <w:sz w:val="28"/>
          <w:szCs w:val="28"/>
        </w:rPr>
        <w:t>penalitatea, dobînda şi alte plăţi, suma principală a împrumutului</w:t>
      </w:r>
      <w:r>
        <w:rPr>
          <w:rFonts w:ascii="Times New Roman" w:hAnsi="Times New Roman" w:cs="Times New Roman"/>
          <w:sz w:val="28"/>
          <w:szCs w:val="28"/>
        </w:rPr>
        <w:t xml:space="preserve">, efectuîndu-se precizări </w:t>
      </w:r>
      <w:r w:rsidR="0048394B">
        <w:rPr>
          <w:rFonts w:ascii="Times New Roman" w:hAnsi="Times New Roman" w:cs="Times New Roman"/>
          <w:sz w:val="28"/>
          <w:szCs w:val="28"/>
        </w:rPr>
        <w:t xml:space="preserve">respective </w:t>
      </w:r>
      <w:r>
        <w:rPr>
          <w:rFonts w:ascii="Times New Roman" w:hAnsi="Times New Roman" w:cs="Times New Roman"/>
          <w:sz w:val="28"/>
          <w:szCs w:val="28"/>
        </w:rPr>
        <w:t>la art.80 alin.(5).</w:t>
      </w:r>
    </w:p>
    <w:p w:rsidR="00F940A1" w:rsidRDefault="00F940A1" w:rsidP="0071532F">
      <w:pPr>
        <w:spacing w:after="0"/>
        <w:ind w:firstLine="567"/>
        <w:jc w:val="both"/>
        <w:rPr>
          <w:rFonts w:ascii="Times New Roman" w:hAnsi="Times New Roman" w:cs="Times New Roman"/>
          <w:bCs/>
          <w:sz w:val="28"/>
          <w:szCs w:val="28"/>
        </w:rPr>
      </w:pPr>
    </w:p>
    <w:p w:rsidR="00854AE9" w:rsidRPr="00D514CA" w:rsidRDefault="00D514CA" w:rsidP="0071532F">
      <w:pPr>
        <w:spacing w:after="0"/>
        <w:ind w:firstLine="567"/>
        <w:jc w:val="both"/>
        <w:rPr>
          <w:rFonts w:ascii="Times New Roman" w:hAnsi="Times New Roman" w:cs="Times New Roman"/>
          <w:bCs/>
          <w:sz w:val="28"/>
          <w:szCs w:val="28"/>
        </w:rPr>
      </w:pPr>
      <w:r w:rsidRPr="00D514CA">
        <w:rPr>
          <w:rFonts w:ascii="Times New Roman" w:hAnsi="Times New Roman" w:cs="Times New Roman"/>
          <w:bCs/>
          <w:sz w:val="28"/>
          <w:szCs w:val="28"/>
        </w:rPr>
        <w:t>Proiectul de lege include</w:t>
      </w:r>
      <w:r>
        <w:rPr>
          <w:rFonts w:ascii="Times New Roman" w:hAnsi="Times New Roman" w:cs="Times New Roman"/>
          <w:bCs/>
          <w:sz w:val="28"/>
          <w:szCs w:val="28"/>
        </w:rPr>
        <w:t xml:space="preserve"> </w:t>
      </w:r>
      <w:r w:rsidR="00A231DF">
        <w:rPr>
          <w:rFonts w:ascii="Times New Roman" w:hAnsi="Times New Roman" w:cs="Times New Roman"/>
          <w:bCs/>
          <w:sz w:val="28"/>
          <w:szCs w:val="28"/>
        </w:rPr>
        <w:t xml:space="preserve">și unele </w:t>
      </w:r>
      <w:r>
        <w:rPr>
          <w:rFonts w:ascii="Times New Roman" w:hAnsi="Times New Roman" w:cs="Times New Roman"/>
          <w:bCs/>
          <w:sz w:val="28"/>
          <w:szCs w:val="28"/>
        </w:rPr>
        <w:t xml:space="preserve">modificări cu caracter redacțional, precum și aducerea în concordanță cu </w:t>
      </w:r>
      <w:r w:rsidRPr="00D514CA">
        <w:rPr>
          <w:rFonts w:ascii="Times New Roman" w:hAnsi="Times New Roman" w:cs="Times New Roman"/>
          <w:bCs/>
          <w:sz w:val="28"/>
          <w:szCs w:val="28"/>
        </w:rPr>
        <w:t xml:space="preserve"> </w:t>
      </w:r>
      <w:r w:rsidR="002E127A">
        <w:rPr>
          <w:rFonts w:ascii="Times New Roman" w:hAnsi="Times New Roman" w:cs="Times New Roman"/>
          <w:bCs/>
          <w:sz w:val="28"/>
          <w:szCs w:val="28"/>
        </w:rPr>
        <w:t>prevederile altor legi.</w:t>
      </w:r>
    </w:p>
    <w:p w:rsidR="00854AE9" w:rsidRDefault="00854AE9" w:rsidP="0071532F">
      <w:pPr>
        <w:spacing w:after="0"/>
        <w:ind w:firstLine="567"/>
        <w:jc w:val="both"/>
        <w:rPr>
          <w:rFonts w:ascii="Times New Roman" w:hAnsi="Times New Roman" w:cs="Times New Roman"/>
          <w:b/>
          <w:bCs/>
          <w:sz w:val="28"/>
          <w:szCs w:val="28"/>
        </w:rPr>
      </w:pPr>
    </w:p>
    <w:p w:rsidR="004613D4" w:rsidRPr="00F940A1" w:rsidRDefault="00F940A1" w:rsidP="00F940A1">
      <w:pPr>
        <w:spacing w:after="0" w:line="360" w:lineRule="auto"/>
        <w:ind w:left="432" w:right="432" w:firstLine="708"/>
        <w:jc w:val="both"/>
        <w:rPr>
          <w:rFonts w:ascii="Times New Roman" w:hAnsi="Times New Roman" w:cs="Times New Roman"/>
          <w:bCs/>
          <w:sz w:val="28"/>
          <w:szCs w:val="28"/>
        </w:rPr>
      </w:pPr>
      <w:r w:rsidRPr="00F940A1">
        <w:rPr>
          <w:rFonts w:ascii="Times New Roman" w:hAnsi="Times New Roman" w:cs="Times New Roman"/>
          <w:bCs/>
          <w:sz w:val="28"/>
          <w:szCs w:val="28"/>
        </w:rPr>
        <w:t>Ministru                                                        Octavian Armașu</w:t>
      </w:r>
    </w:p>
    <w:sectPr w:rsidR="004613D4" w:rsidRPr="00F940A1" w:rsidSect="005A6B5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F3" w:rsidRDefault="00C172F3" w:rsidP="00123BC6">
      <w:pPr>
        <w:spacing w:after="0" w:line="240" w:lineRule="auto"/>
      </w:pPr>
      <w:r>
        <w:separator/>
      </w:r>
    </w:p>
  </w:endnote>
  <w:endnote w:type="continuationSeparator" w:id="1">
    <w:p w:rsidR="00C172F3" w:rsidRDefault="00C172F3" w:rsidP="00123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469"/>
      <w:docPartObj>
        <w:docPartGallery w:val="Page Numbers (Bottom of Page)"/>
        <w:docPartUnique/>
      </w:docPartObj>
    </w:sdtPr>
    <w:sdtEndPr>
      <w:rPr>
        <w:rFonts w:ascii="Times New Roman" w:hAnsi="Times New Roman" w:cs="Times New Roman"/>
        <w:sz w:val="16"/>
        <w:szCs w:val="16"/>
      </w:rPr>
    </w:sdtEndPr>
    <w:sdtContent>
      <w:p w:rsidR="007B1F0B" w:rsidRDefault="007F15C8">
        <w:pPr>
          <w:pStyle w:val="Footer"/>
          <w:jc w:val="right"/>
        </w:pPr>
        <w:r w:rsidRPr="00123BC6">
          <w:rPr>
            <w:rFonts w:ascii="Times New Roman" w:hAnsi="Times New Roman" w:cs="Times New Roman"/>
            <w:sz w:val="16"/>
            <w:szCs w:val="16"/>
          </w:rPr>
          <w:fldChar w:fldCharType="begin"/>
        </w:r>
        <w:r w:rsidR="007B1F0B" w:rsidRPr="00123BC6">
          <w:rPr>
            <w:rFonts w:ascii="Times New Roman" w:hAnsi="Times New Roman" w:cs="Times New Roman"/>
            <w:sz w:val="16"/>
            <w:szCs w:val="16"/>
          </w:rPr>
          <w:instrText xml:space="preserve"> PAGE   \* MERGEFORMAT </w:instrText>
        </w:r>
        <w:r w:rsidRPr="00123BC6">
          <w:rPr>
            <w:rFonts w:ascii="Times New Roman" w:hAnsi="Times New Roman" w:cs="Times New Roman"/>
            <w:sz w:val="16"/>
            <w:szCs w:val="16"/>
          </w:rPr>
          <w:fldChar w:fldCharType="separate"/>
        </w:r>
        <w:r w:rsidR="00F940A1">
          <w:rPr>
            <w:rFonts w:ascii="Times New Roman" w:hAnsi="Times New Roman" w:cs="Times New Roman"/>
            <w:noProof/>
            <w:sz w:val="16"/>
            <w:szCs w:val="16"/>
          </w:rPr>
          <w:t>3</w:t>
        </w:r>
        <w:r w:rsidRPr="00123BC6">
          <w:rPr>
            <w:rFonts w:ascii="Times New Roman" w:hAnsi="Times New Roman" w:cs="Times New Roman"/>
            <w:sz w:val="16"/>
            <w:szCs w:val="16"/>
          </w:rPr>
          <w:fldChar w:fldCharType="end"/>
        </w:r>
      </w:p>
    </w:sdtContent>
  </w:sdt>
  <w:p w:rsidR="007B1F0B" w:rsidRDefault="007B1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F3" w:rsidRDefault="00C172F3" w:rsidP="00123BC6">
      <w:pPr>
        <w:spacing w:after="0" w:line="240" w:lineRule="auto"/>
      </w:pPr>
      <w:r>
        <w:separator/>
      </w:r>
    </w:p>
  </w:footnote>
  <w:footnote w:type="continuationSeparator" w:id="1">
    <w:p w:rsidR="00C172F3" w:rsidRDefault="00C172F3" w:rsidP="00123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51950"/>
    <w:multiLevelType w:val="hybridMultilevel"/>
    <w:tmpl w:val="F39E8F5E"/>
    <w:lvl w:ilvl="0" w:tplc="160C4276">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F2DBB"/>
    <w:rsid w:val="000115CC"/>
    <w:rsid w:val="00017942"/>
    <w:rsid w:val="00020120"/>
    <w:rsid w:val="00040B8E"/>
    <w:rsid w:val="00045A77"/>
    <w:rsid w:val="000528B6"/>
    <w:rsid w:val="000534EF"/>
    <w:rsid w:val="00055549"/>
    <w:rsid w:val="00063A15"/>
    <w:rsid w:val="0006408C"/>
    <w:rsid w:val="00066238"/>
    <w:rsid w:val="000700DC"/>
    <w:rsid w:val="00076736"/>
    <w:rsid w:val="000817D0"/>
    <w:rsid w:val="00082644"/>
    <w:rsid w:val="000836DA"/>
    <w:rsid w:val="00087792"/>
    <w:rsid w:val="00093476"/>
    <w:rsid w:val="00093B16"/>
    <w:rsid w:val="000B3BB3"/>
    <w:rsid w:val="000C244C"/>
    <w:rsid w:val="000C4E98"/>
    <w:rsid w:val="000C6CF2"/>
    <w:rsid w:val="000D44F7"/>
    <w:rsid w:val="000D5768"/>
    <w:rsid w:val="000E174A"/>
    <w:rsid w:val="000E1787"/>
    <w:rsid w:val="000E43FE"/>
    <w:rsid w:val="000E6AA5"/>
    <w:rsid w:val="000F1A38"/>
    <w:rsid w:val="000F20D7"/>
    <w:rsid w:val="00106B37"/>
    <w:rsid w:val="00111125"/>
    <w:rsid w:val="001134BB"/>
    <w:rsid w:val="0012123D"/>
    <w:rsid w:val="00123BC6"/>
    <w:rsid w:val="00123EEC"/>
    <w:rsid w:val="00145C46"/>
    <w:rsid w:val="00146D04"/>
    <w:rsid w:val="0015087D"/>
    <w:rsid w:val="00160D0E"/>
    <w:rsid w:val="00164764"/>
    <w:rsid w:val="0016708C"/>
    <w:rsid w:val="00167D0C"/>
    <w:rsid w:val="00175628"/>
    <w:rsid w:val="00175C6D"/>
    <w:rsid w:val="001771A8"/>
    <w:rsid w:val="00181032"/>
    <w:rsid w:val="00184BDA"/>
    <w:rsid w:val="0019121E"/>
    <w:rsid w:val="001A4FBA"/>
    <w:rsid w:val="001A5423"/>
    <w:rsid w:val="001A6F00"/>
    <w:rsid w:val="001B4A55"/>
    <w:rsid w:val="001C1DC1"/>
    <w:rsid w:val="001C35D4"/>
    <w:rsid w:val="001D0DB1"/>
    <w:rsid w:val="001D1C69"/>
    <w:rsid w:val="001D2E8D"/>
    <w:rsid w:val="001D573C"/>
    <w:rsid w:val="001E75C6"/>
    <w:rsid w:val="00205C37"/>
    <w:rsid w:val="00205E1C"/>
    <w:rsid w:val="00213100"/>
    <w:rsid w:val="002149D7"/>
    <w:rsid w:val="00217F80"/>
    <w:rsid w:val="00233426"/>
    <w:rsid w:val="002358A2"/>
    <w:rsid w:val="00241B13"/>
    <w:rsid w:val="00250861"/>
    <w:rsid w:val="0025365C"/>
    <w:rsid w:val="00257B96"/>
    <w:rsid w:val="00260135"/>
    <w:rsid w:val="00260A92"/>
    <w:rsid w:val="00262BE1"/>
    <w:rsid w:val="002630CB"/>
    <w:rsid w:val="00264524"/>
    <w:rsid w:val="00264B6E"/>
    <w:rsid w:val="00265A21"/>
    <w:rsid w:val="002675E5"/>
    <w:rsid w:val="00273023"/>
    <w:rsid w:val="00274FF7"/>
    <w:rsid w:val="002774A3"/>
    <w:rsid w:val="00292B47"/>
    <w:rsid w:val="002A0DEC"/>
    <w:rsid w:val="002A2F99"/>
    <w:rsid w:val="002B0BF9"/>
    <w:rsid w:val="002B5005"/>
    <w:rsid w:val="002D43F4"/>
    <w:rsid w:val="002E007A"/>
    <w:rsid w:val="002E127A"/>
    <w:rsid w:val="002E3417"/>
    <w:rsid w:val="002E3BD0"/>
    <w:rsid w:val="00327196"/>
    <w:rsid w:val="0033360C"/>
    <w:rsid w:val="003339C7"/>
    <w:rsid w:val="00335B0D"/>
    <w:rsid w:val="0033756D"/>
    <w:rsid w:val="00344F32"/>
    <w:rsid w:val="0034718C"/>
    <w:rsid w:val="00360C93"/>
    <w:rsid w:val="00361AC1"/>
    <w:rsid w:val="00361C23"/>
    <w:rsid w:val="00377D3E"/>
    <w:rsid w:val="00395D2A"/>
    <w:rsid w:val="003A0C3C"/>
    <w:rsid w:val="003A3FC1"/>
    <w:rsid w:val="003A6549"/>
    <w:rsid w:val="003B3065"/>
    <w:rsid w:val="003B4BCE"/>
    <w:rsid w:val="003B6030"/>
    <w:rsid w:val="003B681B"/>
    <w:rsid w:val="003B7016"/>
    <w:rsid w:val="003C7B25"/>
    <w:rsid w:val="003D7F7B"/>
    <w:rsid w:val="003E5BBA"/>
    <w:rsid w:val="003F0B6C"/>
    <w:rsid w:val="003F4F8E"/>
    <w:rsid w:val="003F5897"/>
    <w:rsid w:val="004007E8"/>
    <w:rsid w:val="00400F54"/>
    <w:rsid w:val="00424AC4"/>
    <w:rsid w:val="00432A99"/>
    <w:rsid w:val="00435747"/>
    <w:rsid w:val="00437ABF"/>
    <w:rsid w:val="00445197"/>
    <w:rsid w:val="004531AB"/>
    <w:rsid w:val="004613D4"/>
    <w:rsid w:val="004644F6"/>
    <w:rsid w:val="00464E2F"/>
    <w:rsid w:val="00467963"/>
    <w:rsid w:val="00471F7C"/>
    <w:rsid w:val="0048394B"/>
    <w:rsid w:val="00491124"/>
    <w:rsid w:val="004A134B"/>
    <w:rsid w:val="004A2CBC"/>
    <w:rsid w:val="004A583B"/>
    <w:rsid w:val="004A704F"/>
    <w:rsid w:val="004A7E7C"/>
    <w:rsid w:val="004B4EC3"/>
    <w:rsid w:val="004C5F93"/>
    <w:rsid w:val="004D2F67"/>
    <w:rsid w:val="004D5E95"/>
    <w:rsid w:val="004E17E7"/>
    <w:rsid w:val="004F0BEC"/>
    <w:rsid w:val="004F33BA"/>
    <w:rsid w:val="00507766"/>
    <w:rsid w:val="00512013"/>
    <w:rsid w:val="0051280A"/>
    <w:rsid w:val="00513A46"/>
    <w:rsid w:val="00514AD8"/>
    <w:rsid w:val="00521FEE"/>
    <w:rsid w:val="0052203A"/>
    <w:rsid w:val="005247C9"/>
    <w:rsid w:val="00527B8D"/>
    <w:rsid w:val="00532379"/>
    <w:rsid w:val="00536252"/>
    <w:rsid w:val="005378DC"/>
    <w:rsid w:val="00544305"/>
    <w:rsid w:val="0054471A"/>
    <w:rsid w:val="0054714A"/>
    <w:rsid w:val="00553B06"/>
    <w:rsid w:val="005557E9"/>
    <w:rsid w:val="00557C68"/>
    <w:rsid w:val="00563E89"/>
    <w:rsid w:val="0057463D"/>
    <w:rsid w:val="00582D40"/>
    <w:rsid w:val="00583073"/>
    <w:rsid w:val="005860B9"/>
    <w:rsid w:val="00586C32"/>
    <w:rsid w:val="005979AA"/>
    <w:rsid w:val="005A6B58"/>
    <w:rsid w:val="005A6D8D"/>
    <w:rsid w:val="005B217C"/>
    <w:rsid w:val="005B3656"/>
    <w:rsid w:val="005B37C7"/>
    <w:rsid w:val="005B5541"/>
    <w:rsid w:val="00610C08"/>
    <w:rsid w:val="00625CBB"/>
    <w:rsid w:val="0062761C"/>
    <w:rsid w:val="00634F6A"/>
    <w:rsid w:val="00644C84"/>
    <w:rsid w:val="00654399"/>
    <w:rsid w:val="00657926"/>
    <w:rsid w:val="00664799"/>
    <w:rsid w:val="0066519C"/>
    <w:rsid w:val="00666310"/>
    <w:rsid w:val="006762DA"/>
    <w:rsid w:val="00677904"/>
    <w:rsid w:val="00691F22"/>
    <w:rsid w:val="006A5853"/>
    <w:rsid w:val="006A5865"/>
    <w:rsid w:val="006C0B69"/>
    <w:rsid w:val="006D15C6"/>
    <w:rsid w:val="006E3769"/>
    <w:rsid w:val="006F26C4"/>
    <w:rsid w:val="006F6190"/>
    <w:rsid w:val="0071357E"/>
    <w:rsid w:val="0071532F"/>
    <w:rsid w:val="00717CA3"/>
    <w:rsid w:val="00720704"/>
    <w:rsid w:val="00726039"/>
    <w:rsid w:val="00734E65"/>
    <w:rsid w:val="00735D91"/>
    <w:rsid w:val="00736A7F"/>
    <w:rsid w:val="00740BCC"/>
    <w:rsid w:val="00744E99"/>
    <w:rsid w:val="00745C61"/>
    <w:rsid w:val="00747300"/>
    <w:rsid w:val="007506EA"/>
    <w:rsid w:val="0077564A"/>
    <w:rsid w:val="00783D5D"/>
    <w:rsid w:val="007915E3"/>
    <w:rsid w:val="00792B1A"/>
    <w:rsid w:val="007933E3"/>
    <w:rsid w:val="007A16D8"/>
    <w:rsid w:val="007B1F0B"/>
    <w:rsid w:val="007B63FB"/>
    <w:rsid w:val="007B724B"/>
    <w:rsid w:val="007B7D27"/>
    <w:rsid w:val="007C622B"/>
    <w:rsid w:val="007D37CF"/>
    <w:rsid w:val="007D4914"/>
    <w:rsid w:val="007F15C8"/>
    <w:rsid w:val="007F4F37"/>
    <w:rsid w:val="007F57B7"/>
    <w:rsid w:val="008004FE"/>
    <w:rsid w:val="00802751"/>
    <w:rsid w:val="0081368D"/>
    <w:rsid w:val="0081486E"/>
    <w:rsid w:val="00816F42"/>
    <w:rsid w:val="00826341"/>
    <w:rsid w:val="00841604"/>
    <w:rsid w:val="00841BB0"/>
    <w:rsid w:val="00843420"/>
    <w:rsid w:val="00854AE9"/>
    <w:rsid w:val="0086004E"/>
    <w:rsid w:val="008621DC"/>
    <w:rsid w:val="00874702"/>
    <w:rsid w:val="00876DFC"/>
    <w:rsid w:val="00880823"/>
    <w:rsid w:val="00881CE6"/>
    <w:rsid w:val="00896CA7"/>
    <w:rsid w:val="008A06CA"/>
    <w:rsid w:val="008A4074"/>
    <w:rsid w:val="008B0386"/>
    <w:rsid w:val="008D60E5"/>
    <w:rsid w:val="008E64E7"/>
    <w:rsid w:val="008F53EE"/>
    <w:rsid w:val="00903386"/>
    <w:rsid w:val="009113A0"/>
    <w:rsid w:val="00913354"/>
    <w:rsid w:val="00913664"/>
    <w:rsid w:val="009220C5"/>
    <w:rsid w:val="00923A06"/>
    <w:rsid w:val="00924FF0"/>
    <w:rsid w:val="00930093"/>
    <w:rsid w:val="009344A1"/>
    <w:rsid w:val="00943AE0"/>
    <w:rsid w:val="0094419C"/>
    <w:rsid w:val="0095304C"/>
    <w:rsid w:val="009544F2"/>
    <w:rsid w:val="00967515"/>
    <w:rsid w:val="009759C7"/>
    <w:rsid w:val="0098063A"/>
    <w:rsid w:val="00980A30"/>
    <w:rsid w:val="00980E15"/>
    <w:rsid w:val="00982CFE"/>
    <w:rsid w:val="009A1B48"/>
    <w:rsid w:val="009A6C1A"/>
    <w:rsid w:val="009A6FE0"/>
    <w:rsid w:val="009B724E"/>
    <w:rsid w:val="009C3E2C"/>
    <w:rsid w:val="009C434E"/>
    <w:rsid w:val="009C5BA4"/>
    <w:rsid w:val="009E07B7"/>
    <w:rsid w:val="009E3C44"/>
    <w:rsid w:val="009E5998"/>
    <w:rsid w:val="009E69DA"/>
    <w:rsid w:val="009E6DB0"/>
    <w:rsid w:val="009F51A0"/>
    <w:rsid w:val="00A05948"/>
    <w:rsid w:val="00A0710D"/>
    <w:rsid w:val="00A0772A"/>
    <w:rsid w:val="00A231DF"/>
    <w:rsid w:val="00A30FF5"/>
    <w:rsid w:val="00A43114"/>
    <w:rsid w:val="00A53617"/>
    <w:rsid w:val="00A54BFC"/>
    <w:rsid w:val="00A565B9"/>
    <w:rsid w:val="00A61B7E"/>
    <w:rsid w:val="00A6239D"/>
    <w:rsid w:val="00A65800"/>
    <w:rsid w:val="00A75D12"/>
    <w:rsid w:val="00A81B2A"/>
    <w:rsid w:val="00A90AE5"/>
    <w:rsid w:val="00A93EF1"/>
    <w:rsid w:val="00A97EC1"/>
    <w:rsid w:val="00AA0C3A"/>
    <w:rsid w:val="00AB3DE2"/>
    <w:rsid w:val="00AC20DD"/>
    <w:rsid w:val="00AD0F62"/>
    <w:rsid w:val="00AD5FEB"/>
    <w:rsid w:val="00AD67F4"/>
    <w:rsid w:val="00AE6963"/>
    <w:rsid w:val="00AF4B1A"/>
    <w:rsid w:val="00B00795"/>
    <w:rsid w:val="00B01F50"/>
    <w:rsid w:val="00B122C2"/>
    <w:rsid w:val="00B14793"/>
    <w:rsid w:val="00B1599C"/>
    <w:rsid w:val="00B3111D"/>
    <w:rsid w:val="00B31F31"/>
    <w:rsid w:val="00B76DF4"/>
    <w:rsid w:val="00B802AB"/>
    <w:rsid w:val="00B81A41"/>
    <w:rsid w:val="00BC1765"/>
    <w:rsid w:val="00BC25E2"/>
    <w:rsid w:val="00BD0953"/>
    <w:rsid w:val="00BD0BFF"/>
    <w:rsid w:val="00BE7AB0"/>
    <w:rsid w:val="00BF64AB"/>
    <w:rsid w:val="00C172F3"/>
    <w:rsid w:val="00C3761C"/>
    <w:rsid w:val="00C37E25"/>
    <w:rsid w:val="00C55134"/>
    <w:rsid w:val="00C56126"/>
    <w:rsid w:val="00C60D63"/>
    <w:rsid w:val="00C675CB"/>
    <w:rsid w:val="00C7038B"/>
    <w:rsid w:val="00C723B8"/>
    <w:rsid w:val="00C83017"/>
    <w:rsid w:val="00C86382"/>
    <w:rsid w:val="00C877EC"/>
    <w:rsid w:val="00C924C4"/>
    <w:rsid w:val="00CA33C8"/>
    <w:rsid w:val="00CA3B4B"/>
    <w:rsid w:val="00CA5699"/>
    <w:rsid w:val="00CB20AA"/>
    <w:rsid w:val="00CC12F6"/>
    <w:rsid w:val="00CC268F"/>
    <w:rsid w:val="00CD7566"/>
    <w:rsid w:val="00CD7FFC"/>
    <w:rsid w:val="00CE4ABD"/>
    <w:rsid w:val="00CF2C31"/>
    <w:rsid w:val="00D0678F"/>
    <w:rsid w:val="00D068D0"/>
    <w:rsid w:val="00D117AA"/>
    <w:rsid w:val="00D13C7C"/>
    <w:rsid w:val="00D155EA"/>
    <w:rsid w:val="00D15642"/>
    <w:rsid w:val="00D1638A"/>
    <w:rsid w:val="00D20CFB"/>
    <w:rsid w:val="00D267AF"/>
    <w:rsid w:val="00D31EBD"/>
    <w:rsid w:val="00D33570"/>
    <w:rsid w:val="00D36446"/>
    <w:rsid w:val="00D401BB"/>
    <w:rsid w:val="00D4073A"/>
    <w:rsid w:val="00D42C56"/>
    <w:rsid w:val="00D514CA"/>
    <w:rsid w:val="00D5317A"/>
    <w:rsid w:val="00D61468"/>
    <w:rsid w:val="00D6313F"/>
    <w:rsid w:val="00D67927"/>
    <w:rsid w:val="00D91A7C"/>
    <w:rsid w:val="00D92816"/>
    <w:rsid w:val="00D93DFD"/>
    <w:rsid w:val="00DB4E56"/>
    <w:rsid w:val="00DC2830"/>
    <w:rsid w:val="00DD049A"/>
    <w:rsid w:val="00DD0933"/>
    <w:rsid w:val="00DD1CA4"/>
    <w:rsid w:val="00DD31D7"/>
    <w:rsid w:val="00DD53A1"/>
    <w:rsid w:val="00DE3891"/>
    <w:rsid w:val="00DE4FFA"/>
    <w:rsid w:val="00DE5AEE"/>
    <w:rsid w:val="00DF1EBF"/>
    <w:rsid w:val="00DF4341"/>
    <w:rsid w:val="00DF6442"/>
    <w:rsid w:val="00DF6F61"/>
    <w:rsid w:val="00DF7E6B"/>
    <w:rsid w:val="00E049DE"/>
    <w:rsid w:val="00E1394A"/>
    <w:rsid w:val="00E2285B"/>
    <w:rsid w:val="00E41F01"/>
    <w:rsid w:val="00E42103"/>
    <w:rsid w:val="00E426F8"/>
    <w:rsid w:val="00E47230"/>
    <w:rsid w:val="00E5086C"/>
    <w:rsid w:val="00E525A3"/>
    <w:rsid w:val="00E554F9"/>
    <w:rsid w:val="00E66043"/>
    <w:rsid w:val="00E81308"/>
    <w:rsid w:val="00E82595"/>
    <w:rsid w:val="00E82F61"/>
    <w:rsid w:val="00E90ABD"/>
    <w:rsid w:val="00E90B76"/>
    <w:rsid w:val="00EA10FB"/>
    <w:rsid w:val="00EA4C38"/>
    <w:rsid w:val="00EA7D75"/>
    <w:rsid w:val="00EB2D67"/>
    <w:rsid w:val="00EC1EC2"/>
    <w:rsid w:val="00EC438D"/>
    <w:rsid w:val="00EC6C39"/>
    <w:rsid w:val="00ED5879"/>
    <w:rsid w:val="00EE156B"/>
    <w:rsid w:val="00EE2DBE"/>
    <w:rsid w:val="00EF2DBB"/>
    <w:rsid w:val="00EF7AD0"/>
    <w:rsid w:val="00F026ED"/>
    <w:rsid w:val="00F02AEB"/>
    <w:rsid w:val="00F02EB2"/>
    <w:rsid w:val="00F03193"/>
    <w:rsid w:val="00F147AD"/>
    <w:rsid w:val="00F17B92"/>
    <w:rsid w:val="00F23A4D"/>
    <w:rsid w:val="00F261D5"/>
    <w:rsid w:val="00F26977"/>
    <w:rsid w:val="00F3095A"/>
    <w:rsid w:val="00F30F8A"/>
    <w:rsid w:val="00F3558A"/>
    <w:rsid w:val="00F365EF"/>
    <w:rsid w:val="00F37D79"/>
    <w:rsid w:val="00F40451"/>
    <w:rsid w:val="00F41819"/>
    <w:rsid w:val="00F418DA"/>
    <w:rsid w:val="00F46F77"/>
    <w:rsid w:val="00F50610"/>
    <w:rsid w:val="00F51028"/>
    <w:rsid w:val="00F567E0"/>
    <w:rsid w:val="00F60649"/>
    <w:rsid w:val="00F67CC4"/>
    <w:rsid w:val="00F81BD6"/>
    <w:rsid w:val="00F83E66"/>
    <w:rsid w:val="00F8516F"/>
    <w:rsid w:val="00F86589"/>
    <w:rsid w:val="00F86760"/>
    <w:rsid w:val="00F86D72"/>
    <w:rsid w:val="00F900A0"/>
    <w:rsid w:val="00F91ABB"/>
    <w:rsid w:val="00F926A9"/>
    <w:rsid w:val="00F93A37"/>
    <w:rsid w:val="00F940A1"/>
    <w:rsid w:val="00F956D4"/>
    <w:rsid w:val="00F9587B"/>
    <w:rsid w:val="00F95EF5"/>
    <w:rsid w:val="00FA04CB"/>
    <w:rsid w:val="00FA2355"/>
    <w:rsid w:val="00FA7628"/>
    <w:rsid w:val="00FC3C21"/>
    <w:rsid w:val="00FC4D5D"/>
    <w:rsid w:val="00FD5E55"/>
    <w:rsid w:val="00FD5E6A"/>
    <w:rsid w:val="00FD6535"/>
    <w:rsid w:val="00FE24A7"/>
    <w:rsid w:val="00FE3D41"/>
    <w:rsid w:val="00FE5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04"/>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webb, Знак Знак"/>
    <w:basedOn w:val="Normal"/>
    <w:link w:val="NormalWebChar"/>
    <w:uiPriority w:val="99"/>
    <w:unhideWhenUsed/>
    <w:qFormat/>
    <w:rsid w:val="008004F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ormalWebChar">
    <w:name w:val="Normal (Web) Char"/>
    <w:aliases w:val="Знак Char, Знак Char,webb Знак Знак Char,webb Char, Знак Знак Char"/>
    <w:basedOn w:val="DefaultParagraphFont"/>
    <w:link w:val="NormalWeb"/>
    <w:uiPriority w:val="99"/>
    <w:locked/>
    <w:rsid w:val="008004FE"/>
    <w:rPr>
      <w:rFonts w:ascii="Times New Roman" w:eastAsia="Times New Roman" w:hAnsi="Times New Roman" w:cs="Times New Roman"/>
      <w:sz w:val="24"/>
      <w:szCs w:val="24"/>
      <w:lang w:val="ro-RO" w:eastAsia="ru-RU"/>
    </w:rPr>
  </w:style>
  <w:style w:type="paragraph" w:styleId="Header">
    <w:name w:val="header"/>
    <w:basedOn w:val="Normal"/>
    <w:link w:val="HeaderChar"/>
    <w:uiPriority w:val="99"/>
    <w:semiHidden/>
    <w:unhideWhenUsed/>
    <w:rsid w:val="00123BC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23BC6"/>
    <w:rPr>
      <w:lang w:val="ro-RO"/>
    </w:rPr>
  </w:style>
  <w:style w:type="paragraph" w:styleId="Footer">
    <w:name w:val="footer"/>
    <w:basedOn w:val="Normal"/>
    <w:link w:val="FooterChar"/>
    <w:uiPriority w:val="99"/>
    <w:unhideWhenUsed/>
    <w:rsid w:val="00123BC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23BC6"/>
    <w:rPr>
      <w:lang w:val="ro-RO"/>
    </w:rPr>
  </w:style>
  <w:style w:type="paragraph" w:styleId="ListParagraph">
    <w:name w:val="List Paragraph"/>
    <w:basedOn w:val="Normal"/>
    <w:uiPriority w:val="34"/>
    <w:qFormat/>
    <w:rsid w:val="007915E3"/>
    <w:pPr>
      <w:spacing w:after="0" w:line="240" w:lineRule="auto"/>
      <w:ind w:left="720"/>
    </w:pPr>
    <w:rPr>
      <w:rFonts w:ascii="Calibri" w:hAnsi="Calibri" w:cs="Times New Roman"/>
      <w:lang w:val="ru-RU" w:eastAsia="ru-RU"/>
    </w:rPr>
  </w:style>
  <w:style w:type="table" w:styleId="TableGrid">
    <w:name w:val="Table Grid"/>
    <w:basedOn w:val="TableNormal"/>
    <w:uiPriority w:val="59"/>
    <w:rsid w:val="00260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26039"/>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40642477">
      <w:bodyDiv w:val="1"/>
      <w:marLeft w:val="0"/>
      <w:marRight w:val="0"/>
      <w:marTop w:val="0"/>
      <w:marBottom w:val="0"/>
      <w:divBdr>
        <w:top w:val="none" w:sz="0" w:space="0" w:color="auto"/>
        <w:left w:val="none" w:sz="0" w:space="0" w:color="auto"/>
        <w:bottom w:val="none" w:sz="0" w:space="0" w:color="auto"/>
        <w:right w:val="none" w:sz="0" w:space="0" w:color="auto"/>
      </w:divBdr>
    </w:div>
    <w:div w:id="159855105">
      <w:bodyDiv w:val="1"/>
      <w:marLeft w:val="0"/>
      <w:marRight w:val="0"/>
      <w:marTop w:val="0"/>
      <w:marBottom w:val="0"/>
      <w:divBdr>
        <w:top w:val="none" w:sz="0" w:space="0" w:color="auto"/>
        <w:left w:val="none" w:sz="0" w:space="0" w:color="auto"/>
        <w:bottom w:val="none" w:sz="0" w:space="0" w:color="auto"/>
        <w:right w:val="none" w:sz="0" w:space="0" w:color="auto"/>
      </w:divBdr>
    </w:div>
    <w:div w:id="168100501">
      <w:bodyDiv w:val="1"/>
      <w:marLeft w:val="0"/>
      <w:marRight w:val="0"/>
      <w:marTop w:val="0"/>
      <w:marBottom w:val="0"/>
      <w:divBdr>
        <w:top w:val="none" w:sz="0" w:space="0" w:color="auto"/>
        <w:left w:val="none" w:sz="0" w:space="0" w:color="auto"/>
        <w:bottom w:val="none" w:sz="0" w:space="0" w:color="auto"/>
        <w:right w:val="none" w:sz="0" w:space="0" w:color="auto"/>
      </w:divBdr>
    </w:div>
    <w:div w:id="280108455">
      <w:bodyDiv w:val="1"/>
      <w:marLeft w:val="0"/>
      <w:marRight w:val="0"/>
      <w:marTop w:val="0"/>
      <w:marBottom w:val="0"/>
      <w:divBdr>
        <w:top w:val="none" w:sz="0" w:space="0" w:color="auto"/>
        <w:left w:val="none" w:sz="0" w:space="0" w:color="auto"/>
        <w:bottom w:val="none" w:sz="0" w:space="0" w:color="auto"/>
        <w:right w:val="none" w:sz="0" w:space="0" w:color="auto"/>
      </w:divBdr>
    </w:div>
    <w:div w:id="415173531">
      <w:bodyDiv w:val="1"/>
      <w:marLeft w:val="0"/>
      <w:marRight w:val="0"/>
      <w:marTop w:val="0"/>
      <w:marBottom w:val="0"/>
      <w:divBdr>
        <w:top w:val="none" w:sz="0" w:space="0" w:color="auto"/>
        <w:left w:val="none" w:sz="0" w:space="0" w:color="auto"/>
        <w:bottom w:val="none" w:sz="0" w:space="0" w:color="auto"/>
        <w:right w:val="none" w:sz="0" w:space="0" w:color="auto"/>
      </w:divBdr>
    </w:div>
    <w:div w:id="485587645">
      <w:bodyDiv w:val="1"/>
      <w:marLeft w:val="0"/>
      <w:marRight w:val="0"/>
      <w:marTop w:val="0"/>
      <w:marBottom w:val="0"/>
      <w:divBdr>
        <w:top w:val="none" w:sz="0" w:space="0" w:color="auto"/>
        <w:left w:val="none" w:sz="0" w:space="0" w:color="auto"/>
        <w:bottom w:val="none" w:sz="0" w:space="0" w:color="auto"/>
        <w:right w:val="none" w:sz="0" w:space="0" w:color="auto"/>
      </w:divBdr>
    </w:div>
    <w:div w:id="530846747">
      <w:bodyDiv w:val="1"/>
      <w:marLeft w:val="0"/>
      <w:marRight w:val="0"/>
      <w:marTop w:val="0"/>
      <w:marBottom w:val="0"/>
      <w:divBdr>
        <w:top w:val="none" w:sz="0" w:space="0" w:color="auto"/>
        <w:left w:val="none" w:sz="0" w:space="0" w:color="auto"/>
        <w:bottom w:val="none" w:sz="0" w:space="0" w:color="auto"/>
        <w:right w:val="none" w:sz="0" w:space="0" w:color="auto"/>
      </w:divBdr>
    </w:div>
    <w:div w:id="603072118">
      <w:bodyDiv w:val="1"/>
      <w:marLeft w:val="0"/>
      <w:marRight w:val="0"/>
      <w:marTop w:val="0"/>
      <w:marBottom w:val="0"/>
      <w:divBdr>
        <w:top w:val="none" w:sz="0" w:space="0" w:color="auto"/>
        <w:left w:val="none" w:sz="0" w:space="0" w:color="auto"/>
        <w:bottom w:val="none" w:sz="0" w:space="0" w:color="auto"/>
        <w:right w:val="none" w:sz="0" w:space="0" w:color="auto"/>
      </w:divBdr>
    </w:div>
    <w:div w:id="661395299">
      <w:bodyDiv w:val="1"/>
      <w:marLeft w:val="0"/>
      <w:marRight w:val="0"/>
      <w:marTop w:val="0"/>
      <w:marBottom w:val="0"/>
      <w:divBdr>
        <w:top w:val="none" w:sz="0" w:space="0" w:color="auto"/>
        <w:left w:val="none" w:sz="0" w:space="0" w:color="auto"/>
        <w:bottom w:val="none" w:sz="0" w:space="0" w:color="auto"/>
        <w:right w:val="none" w:sz="0" w:space="0" w:color="auto"/>
      </w:divBdr>
    </w:div>
    <w:div w:id="855462677">
      <w:bodyDiv w:val="1"/>
      <w:marLeft w:val="0"/>
      <w:marRight w:val="0"/>
      <w:marTop w:val="0"/>
      <w:marBottom w:val="0"/>
      <w:divBdr>
        <w:top w:val="none" w:sz="0" w:space="0" w:color="auto"/>
        <w:left w:val="none" w:sz="0" w:space="0" w:color="auto"/>
        <w:bottom w:val="none" w:sz="0" w:space="0" w:color="auto"/>
        <w:right w:val="none" w:sz="0" w:space="0" w:color="auto"/>
      </w:divBdr>
    </w:div>
    <w:div w:id="867452875">
      <w:bodyDiv w:val="1"/>
      <w:marLeft w:val="0"/>
      <w:marRight w:val="0"/>
      <w:marTop w:val="0"/>
      <w:marBottom w:val="0"/>
      <w:divBdr>
        <w:top w:val="none" w:sz="0" w:space="0" w:color="auto"/>
        <w:left w:val="none" w:sz="0" w:space="0" w:color="auto"/>
        <w:bottom w:val="none" w:sz="0" w:space="0" w:color="auto"/>
        <w:right w:val="none" w:sz="0" w:space="0" w:color="auto"/>
      </w:divBdr>
    </w:div>
    <w:div w:id="941490939">
      <w:bodyDiv w:val="1"/>
      <w:marLeft w:val="0"/>
      <w:marRight w:val="0"/>
      <w:marTop w:val="0"/>
      <w:marBottom w:val="0"/>
      <w:divBdr>
        <w:top w:val="none" w:sz="0" w:space="0" w:color="auto"/>
        <w:left w:val="none" w:sz="0" w:space="0" w:color="auto"/>
        <w:bottom w:val="none" w:sz="0" w:space="0" w:color="auto"/>
        <w:right w:val="none" w:sz="0" w:space="0" w:color="auto"/>
      </w:divBdr>
    </w:div>
    <w:div w:id="951862283">
      <w:bodyDiv w:val="1"/>
      <w:marLeft w:val="0"/>
      <w:marRight w:val="0"/>
      <w:marTop w:val="0"/>
      <w:marBottom w:val="0"/>
      <w:divBdr>
        <w:top w:val="none" w:sz="0" w:space="0" w:color="auto"/>
        <w:left w:val="none" w:sz="0" w:space="0" w:color="auto"/>
        <w:bottom w:val="none" w:sz="0" w:space="0" w:color="auto"/>
        <w:right w:val="none" w:sz="0" w:space="0" w:color="auto"/>
      </w:divBdr>
    </w:div>
    <w:div w:id="1184514949">
      <w:bodyDiv w:val="1"/>
      <w:marLeft w:val="0"/>
      <w:marRight w:val="0"/>
      <w:marTop w:val="0"/>
      <w:marBottom w:val="0"/>
      <w:divBdr>
        <w:top w:val="none" w:sz="0" w:space="0" w:color="auto"/>
        <w:left w:val="none" w:sz="0" w:space="0" w:color="auto"/>
        <w:bottom w:val="none" w:sz="0" w:space="0" w:color="auto"/>
        <w:right w:val="none" w:sz="0" w:space="0" w:color="auto"/>
      </w:divBdr>
    </w:div>
    <w:div w:id="1198153554">
      <w:bodyDiv w:val="1"/>
      <w:marLeft w:val="0"/>
      <w:marRight w:val="0"/>
      <w:marTop w:val="0"/>
      <w:marBottom w:val="0"/>
      <w:divBdr>
        <w:top w:val="none" w:sz="0" w:space="0" w:color="auto"/>
        <w:left w:val="none" w:sz="0" w:space="0" w:color="auto"/>
        <w:bottom w:val="none" w:sz="0" w:space="0" w:color="auto"/>
        <w:right w:val="none" w:sz="0" w:space="0" w:color="auto"/>
      </w:divBdr>
    </w:div>
    <w:div w:id="1386180834">
      <w:bodyDiv w:val="1"/>
      <w:marLeft w:val="0"/>
      <w:marRight w:val="0"/>
      <w:marTop w:val="0"/>
      <w:marBottom w:val="0"/>
      <w:divBdr>
        <w:top w:val="none" w:sz="0" w:space="0" w:color="auto"/>
        <w:left w:val="none" w:sz="0" w:space="0" w:color="auto"/>
        <w:bottom w:val="none" w:sz="0" w:space="0" w:color="auto"/>
        <w:right w:val="none" w:sz="0" w:space="0" w:color="auto"/>
      </w:divBdr>
    </w:div>
    <w:div w:id="1439566037">
      <w:bodyDiv w:val="1"/>
      <w:marLeft w:val="0"/>
      <w:marRight w:val="0"/>
      <w:marTop w:val="0"/>
      <w:marBottom w:val="0"/>
      <w:divBdr>
        <w:top w:val="none" w:sz="0" w:space="0" w:color="auto"/>
        <w:left w:val="none" w:sz="0" w:space="0" w:color="auto"/>
        <w:bottom w:val="none" w:sz="0" w:space="0" w:color="auto"/>
        <w:right w:val="none" w:sz="0" w:space="0" w:color="auto"/>
      </w:divBdr>
    </w:div>
    <w:div w:id="1705520733">
      <w:bodyDiv w:val="1"/>
      <w:marLeft w:val="0"/>
      <w:marRight w:val="0"/>
      <w:marTop w:val="0"/>
      <w:marBottom w:val="0"/>
      <w:divBdr>
        <w:top w:val="none" w:sz="0" w:space="0" w:color="auto"/>
        <w:left w:val="none" w:sz="0" w:space="0" w:color="auto"/>
        <w:bottom w:val="none" w:sz="0" w:space="0" w:color="auto"/>
        <w:right w:val="none" w:sz="0" w:space="0" w:color="auto"/>
      </w:divBdr>
    </w:div>
    <w:div w:id="1736080539">
      <w:bodyDiv w:val="1"/>
      <w:marLeft w:val="0"/>
      <w:marRight w:val="0"/>
      <w:marTop w:val="0"/>
      <w:marBottom w:val="0"/>
      <w:divBdr>
        <w:top w:val="none" w:sz="0" w:space="0" w:color="auto"/>
        <w:left w:val="none" w:sz="0" w:space="0" w:color="auto"/>
        <w:bottom w:val="none" w:sz="0" w:space="0" w:color="auto"/>
        <w:right w:val="none" w:sz="0" w:space="0" w:color="auto"/>
      </w:divBdr>
    </w:div>
    <w:div w:id="1810322099">
      <w:bodyDiv w:val="1"/>
      <w:marLeft w:val="0"/>
      <w:marRight w:val="0"/>
      <w:marTop w:val="0"/>
      <w:marBottom w:val="0"/>
      <w:divBdr>
        <w:top w:val="none" w:sz="0" w:space="0" w:color="auto"/>
        <w:left w:val="none" w:sz="0" w:space="0" w:color="auto"/>
        <w:bottom w:val="none" w:sz="0" w:space="0" w:color="auto"/>
        <w:right w:val="none" w:sz="0" w:space="0" w:color="auto"/>
      </w:divBdr>
    </w:div>
    <w:div w:id="1830562271">
      <w:bodyDiv w:val="1"/>
      <w:marLeft w:val="0"/>
      <w:marRight w:val="0"/>
      <w:marTop w:val="0"/>
      <w:marBottom w:val="0"/>
      <w:divBdr>
        <w:top w:val="none" w:sz="0" w:space="0" w:color="auto"/>
        <w:left w:val="none" w:sz="0" w:space="0" w:color="auto"/>
        <w:bottom w:val="none" w:sz="0" w:space="0" w:color="auto"/>
        <w:right w:val="none" w:sz="0" w:space="0" w:color="auto"/>
      </w:divBdr>
    </w:div>
    <w:div w:id="1930239112">
      <w:bodyDiv w:val="1"/>
      <w:marLeft w:val="0"/>
      <w:marRight w:val="0"/>
      <w:marTop w:val="0"/>
      <w:marBottom w:val="0"/>
      <w:divBdr>
        <w:top w:val="none" w:sz="0" w:space="0" w:color="auto"/>
        <w:left w:val="none" w:sz="0" w:space="0" w:color="auto"/>
        <w:bottom w:val="none" w:sz="0" w:space="0" w:color="auto"/>
        <w:right w:val="none" w:sz="0" w:space="0" w:color="auto"/>
      </w:divBdr>
    </w:div>
    <w:div w:id="2107652264">
      <w:bodyDiv w:val="1"/>
      <w:marLeft w:val="0"/>
      <w:marRight w:val="0"/>
      <w:marTop w:val="0"/>
      <w:marBottom w:val="0"/>
      <w:divBdr>
        <w:top w:val="none" w:sz="0" w:space="0" w:color="auto"/>
        <w:left w:val="none" w:sz="0" w:space="0" w:color="auto"/>
        <w:bottom w:val="none" w:sz="0" w:space="0" w:color="auto"/>
        <w:right w:val="none" w:sz="0" w:space="0" w:color="auto"/>
      </w:divBdr>
    </w:div>
    <w:div w:id="21275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BBE5-5DFA-4D39-AE31-B627994B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1205</Words>
  <Characters>6874</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necleavior</cp:lastModifiedBy>
  <cp:revision>3</cp:revision>
  <cp:lastPrinted>2015-04-14T05:43:00Z</cp:lastPrinted>
  <dcterms:created xsi:type="dcterms:W3CDTF">2017-08-25T08:40:00Z</dcterms:created>
  <dcterms:modified xsi:type="dcterms:W3CDTF">2017-08-25T08:42:00Z</dcterms:modified>
</cp:coreProperties>
</file>