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13" w:rsidRDefault="003E7E8A" w:rsidP="00A4271A">
      <w:pPr>
        <w:jc w:val="right"/>
        <w:rPr>
          <w:lang w:val="ro-RO"/>
        </w:rPr>
      </w:pPr>
      <w:r>
        <w:rPr>
          <w:lang w:val="ro-RO"/>
        </w:rPr>
        <w:t xml:space="preserve">                              </w:t>
      </w:r>
    </w:p>
    <w:p w:rsidR="00EC4F36" w:rsidRDefault="00EC4F36" w:rsidP="00EC4F36">
      <w:pPr>
        <w:rPr>
          <w:b/>
          <w:sz w:val="26"/>
          <w:szCs w:val="26"/>
          <w:lang w:val="ro-RO"/>
        </w:rPr>
      </w:pPr>
    </w:p>
    <w:p w:rsidR="00FB646D" w:rsidRPr="00FB646D" w:rsidRDefault="00FB646D" w:rsidP="00FB646D">
      <w:pPr>
        <w:jc w:val="center"/>
        <w:rPr>
          <w:b/>
          <w:sz w:val="26"/>
          <w:szCs w:val="26"/>
          <w:lang w:val="ro-RO"/>
        </w:rPr>
      </w:pPr>
      <w:r w:rsidRPr="00FB646D">
        <w:rPr>
          <w:b/>
          <w:sz w:val="26"/>
          <w:szCs w:val="26"/>
          <w:lang w:val="ro-RO"/>
        </w:rPr>
        <w:t>Notă informativă</w:t>
      </w:r>
    </w:p>
    <w:p w:rsidR="00FB646D" w:rsidRPr="00FB646D" w:rsidRDefault="009C29FD" w:rsidP="00FB646D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la </w:t>
      </w:r>
      <w:r w:rsidR="00FB646D" w:rsidRPr="00FB646D">
        <w:rPr>
          <w:b/>
          <w:sz w:val="26"/>
          <w:szCs w:val="26"/>
          <w:lang w:val="ro-RO"/>
        </w:rPr>
        <w:t>proiectul hotărîrii Guvernului ,,Privind aprobarea Planului sectorial de acțiuni</w:t>
      </w:r>
      <w:r w:rsidR="00117398">
        <w:rPr>
          <w:b/>
          <w:sz w:val="26"/>
          <w:szCs w:val="26"/>
          <w:lang w:val="ro-RO"/>
        </w:rPr>
        <w:t xml:space="preserve"> anticorupție în domeniul achizițiilor publice</w:t>
      </w:r>
      <w:r w:rsidR="00FB646D" w:rsidRPr="00FB646D">
        <w:rPr>
          <w:b/>
          <w:sz w:val="26"/>
          <w:szCs w:val="26"/>
          <w:lang w:val="ro-RO"/>
        </w:rPr>
        <w:t xml:space="preserve"> pentru anii 2018-2020”</w:t>
      </w:r>
    </w:p>
    <w:p w:rsidR="00FB646D" w:rsidRPr="00C644DF" w:rsidRDefault="00FB646D" w:rsidP="008E44D9">
      <w:pPr>
        <w:jc w:val="both"/>
        <w:rPr>
          <w:sz w:val="26"/>
          <w:szCs w:val="26"/>
          <w:lang w:val="ro-RO"/>
        </w:rPr>
      </w:pPr>
    </w:p>
    <w:p w:rsidR="00EC4F36" w:rsidRDefault="00EC4F36" w:rsidP="00EC4F36">
      <w:pPr>
        <w:spacing w:line="276" w:lineRule="auto"/>
        <w:jc w:val="both"/>
        <w:rPr>
          <w:sz w:val="26"/>
          <w:szCs w:val="26"/>
          <w:lang w:val="ro-RO"/>
        </w:rPr>
      </w:pPr>
    </w:p>
    <w:p w:rsidR="004159FC" w:rsidRPr="00C16AC1" w:rsidRDefault="00FB646D" w:rsidP="00C16AC1">
      <w:pPr>
        <w:spacing w:line="360" w:lineRule="auto"/>
        <w:ind w:firstLine="706"/>
        <w:jc w:val="both"/>
        <w:rPr>
          <w:sz w:val="26"/>
          <w:szCs w:val="26"/>
          <w:lang w:val="ro-RO"/>
        </w:rPr>
      </w:pPr>
      <w:r w:rsidRPr="00C16AC1">
        <w:rPr>
          <w:sz w:val="26"/>
          <w:szCs w:val="26"/>
          <w:lang w:val="ro-RO"/>
        </w:rPr>
        <w:t>Întru</w:t>
      </w:r>
      <w:r w:rsidR="00BA7DB7" w:rsidRPr="00C16AC1">
        <w:rPr>
          <w:sz w:val="26"/>
          <w:szCs w:val="26"/>
          <w:lang w:val="ro-RO"/>
        </w:rPr>
        <w:t xml:space="preserve"> </w:t>
      </w:r>
      <w:r w:rsidR="004159FC" w:rsidRPr="00C16AC1">
        <w:rPr>
          <w:sz w:val="26"/>
          <w:szCs w:val="26"/>
          <w:lang w:val="ro-RO"/>
        </w:rPr>
        <w:t xml:space="preserve">executarea conformă și în termen a prevederilor Hotărîrii Parlamentului nr.56 din 30 martie 2017 privind aprobarea Strategiei naționale de integritate și anticorupție pentru anii 2017-2020 și a Hotărîrii Guvernul nr.676 din 29 august 2017 ,,Privind aprobarea mecanismului de elaborare și coordonare a planurilor sectoriale și locale de acțiuni anticorupție pentru anii 2018-2020”, </w:t>
      </w:r>
      <w:r w:rsidRPr="00C16AC1">
        <w:rPr>
          <w:sz w:val="26"/>
          <w:szCs w:val="26"/>
          <w:lang w:val="ro-RO"/>
        </w:rPr>
        <w:t>a fost elaborat Planul sectorial de acțiuni</w:t>
      </w:r>
      <w:r w:rsidR="00117398">
        <w:rPr>
          <w:sz w:val="26"/>
          <w:szCs w:val="26"/>
          <w:lang w:val="ro-RO"/>
        </w:rPr>
        <w:t xml:space="preserve"> anticorupție în domeniul achizițiilor publice</w:t>
      </w:r>
      <w:r w:rsidRPr="00C16AC1">
        <w:rPr>
          <w:sz w:val="26"/>
          <w:szCs w:val="26"/>
          <w:lang w:val="ro-RO"/>
        </w:rPr>
        <w:t xml:space="preserve"> pentru anii 2018-2020. </w:t>
      </w:r>
    </w:p>
    <w:p w:rsidR="00FB646D" w:rsidRDefault="00FB646D" w:rsidP="00C16AC1">
      <w:pPr>
        <w:spacing w:line="360" w:lineRule="auto"/>
        <w:ind w:firstLine="706"/>
        <w:jc w:val="both"/>
        <w:rPr>
          <w:sz w:val="26"/>
          <w:szCs w:val="26"/>
          <w:lang w:val="ro-RO"/>
        </w:rPr>
      </w:pPr>
      <w:r w:rsidRPr="00C16AC1">
        <w:rPr>
          <w:sz w:val="26"/>
          <w:szCs w:val="26"/>
          <w:lang w:val="ro-RO"/>
        </w:rPr>
        <w:t xml:space="preserve">Planul respectiv a fost elaborat </w:t>
      </w:r>
      <w:r w:rsidR="00C16AC1" w:rsidRPr="00C16AC1">
        <w:rPr>
          <w:sz w:val="26"/>
          <w:szCs w:val="26"/>
          <w:lang w:val="ro-RO"/>
        </w:rPr>
        <w:t xml:space="preserve">de către grupul de lucru, constituit din reprezentanții Ministerului Finanțelor, </w:t>
      </w:r>
      <w:r w:rsidR="00117398">
        <w:rPr>
          <w:sz w:val="26"/>
          <w:szCs w:val="26"/>
          <w:lang w:val="ro-RO"/>
        </w:rPr>
        <w:t>Agenției Achiziții Publice</w:t>
      </w:r>
      <w:r w:rsidR="00C16AC1" w:rsidRPr="00C16AC1">
        <w:rPr>
          <w:sz w:val="26"/>
          <w:szCs w:val="26"/>
          <w:lang w:val="ro-RO"/>
        </w:rPr>
        <w:t>, Centrului Național Anticorupție</w:t>
      </w:r>
      <w:r w:rsidR="00117398">
        <w:rPr>
          <w:sz w:val="26"/>
          <w:szCs w:val="26"/>
          <w:lang w:val="ro-RO"/>
        </w:rPr>
        <w:t>,</w:t>
      </w:r>
      <w:r w:rsidR="00C16AC1" w:rsidRPr="00C16AC1">
        <w:rPr>
          <w:sz w:val="26"/>
          <w:szCs w:val="26"/>
          <w:lang w:val="ro-RO"/>
        </w:rPr>
        <w:t xml:space="preserve"> </w:t>
      </w:r>
      <w:r w:rsidR="00A37CD9">
        <w:rPr>
          <w:sz w:val="26"/>
          <w:szCs w:val="26"/>
          <w:lang w:val="ro-RO"/>
        </w:rPr>
        <w:t xml:space="preserve">Agenției Naționale Pentru Soluționarea Contestațiilor și </w:t>
      </w:r>
      <w:r w:rsidR="00C16AC1" w:rsidRPr="00C16AC1">
        <w:rPr>
          <w:sz w:val="26"/>
          <w:szCs w:val="26"/>
          <w:lang w:val="ro-RO"/>
        </w:rPr>
        <w:t>expertul din domeniu</w:t>
      </w:r>
      <w:r w:rsidR="004F7838">
        <w:rPr>
          <w:sz w:val="26"/>
          <w:szCs w:val="26"/>
          <w:lang w:val="ro-RO"/>
        </w:rPr>
        <w:t>,</w:t>
      </w:r>
      <w:r w:rsidR="00C16AC1" w:rsidRPr="00C16AC1">
        <w:rPr>
          <w:sz w:val="26"/>
          <w:szCs w:val="26"/>
          <w:lang w:val="ro-RO"/>
        </w:rPr>
        <w:t xml:space="preserve"> </w:t>
      </w:r>
      <w:r w:rsidR="004F7838">
        <w:rPr>
          <w:sz w:val="26"/>
          <w:szCs w:val="26"/>
          <w:lang w:val="ro-RO"/>
        </w:rPr>
        <w:t>av</w:t>
      </w:r>
      <w:proofErr w:type="spellStart"/>
      <w:r w:rsidR="004F7838">
        <w:rPr>
          <w:sz w:val="26"/>
          <w:szCs w:val="26"/>
          <w:lang w:val="ro-MD"/>
        </w:rPr>
        <w:t>ând</w:t>
      </w:r>
      <w:proofErr w:type="spellEnd"/>
      <w:r w:rsidR="00C16AC1" w:rsidRPr="00C16AC1">
        <w:rPr>
          <w:sz w:val="26"/>
          <w:szCs w:val="26"/>
          <w:lang w:val="ro-RO"/>
        </w:rPr>
        <w:t xml:space="preserve"> ca scop consolidarea domeniului </w:t>
      </w:r>
      <w:r w:rsidR="00117398">
        <w:rPr>
          <w:sz w:val="26"/>
          <w:szCs w:val="26"/>
          <w:lang w:val="ro-RO"/>
        </w:rPr>
        <w:t>achizițiilor publice</w:t>
      </w:r>
      <w:r w:rsidR="00C16AC1" w:rsidRPr="00C16AC1">
        <w:rPr>
          <w:sz w:val="26"/>
          <w:szCs w:val="26"/>
          <w:lang w:val="ro-RO"/>
        </w:rPr>
        <w:t xml:space="preserve"> prin sporirea integrității, transparenței, responsabilității și rezistenței la riscurile de corupție.</w:t>
      </w:r>
    </w:p>
    <w:p w:rsidR="00117398" w:rsidRPr="00117398" w:rsidRDefault="00EC4F36" w:rsidP="00117398">
      <w:pPr>
        <w:spacing w:line="360" w:lineRule="auto"/>
        <w:ind w:firstLine="706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ro-RO"/>
        </w:rPr>
        <w:t xml:space="preserve">Obiectivul principal al proiectului </w:t>
      </w:r>
      <w:r w:rsidRPr="00EC4F36">
        <w:rPr>
          <w:sz w:val="26"/>
          <w:szCs w:val="26"/>
          <w:lang w:val="ro-RO"/>
        </w:rPr>
        <w:t xml:space="preserve">presupune creșterea calității și consolidarea </w:t>
      </w:r>
      <w:r w:rsidR="00117398">
        <w:rPr>
          <w:sz w:val="26"/>
          <w:szCs w:val="26"/>
          <w:lang w:val="ro-RO"/>
        </w:rPr>
        <w:t xml:space="preserve">sectorului achizițiilor publice </w:t>
      </w:r>
      <w:r w:rsidRPr="00EC4F36">
        <w:rPr>
          <w:sz w:val="26"/>
          <w:szCs w:val="26"/>
          <w:lang w:val="ro-RO"/>
        </w:rPr>
        <w:t xml:space="preserve">prin: </w:t>
      </w:r>
      <w:r w:rsidR="00117398">
        <w:rPr>
          <w:sz w:val="26"/>
          <w:szCs w:val="26"/>
          <w:lang w:val="ro-RO"/>
        </w:rPr>
        <w:t>a</w:t>
      </w:r>
      <w:r w:rsidR="00117398" w:rsidRPr="00117398">
        <w:rPr>
          <w:sz w:val="26"/>
          <w:szCs w:val="26"/>
          <w:lang w:val="ro-RO"/>
        </w:rPr>
        <w:t xml:space="preserve">linierea cadrului legal și normativ la directivele UE și bunele practici în domeniu, </w:t>
      </w:r>
      <w:r w:rsidR="00117398">
        <w:rPr>
          <w:sz w:val="26"/>
          <w:szCs w:val="26"/>
          <w:lang w:val="ro-RO"/>
        </w:rPr>
        <w:t>a</w:t>
      </w:r>
      <w:r w:rsidR="00117398" w:rsidRPr="00117398">
        <w:rPr>
          <w:sz w:val="26"/>
          <w:szCs w:val="26"/>
          <w:lang w:val="ro-RO"/>
        </w:rPr>
        <w:t>sigurarea unui proces de achiziții publice transparent și participativ, performant și bazat pe bunele practici</w:t>
      </w:r>
      <w:r w:rsidR="00117398">
        <w:rPr>
          <w:sz w:val="26"/>
          <w:szCs w:val="26"/>
          <w:lang w:val="en-US"/>
        </w:rPr>
        <w:t>;</w:t>
      </w:r>
      <w:r w:rsidR="00117398" w:rsidRPr="00117398">
        <w:rPr>
          <w:sz w:val="26"/>
          <w:szCs w:val="26"/>
          <w:lang w:val="ro-RO"/>
        </w:rPr>
        <w:t xml:space="preserve"> </w:t>
      </w:r>
      <w:r w:rsidR="00117398">
        <w:rPr>
          <w:sz w:val="26"/>
          <w:szCs w:val="26"/>
          <w:lang w:val="ro-RO"/>
        </w:rPr>
        <w:t>t</w:t>
      </w:r>
      <w:r w:rsidR="00117398" w:rsidRPr="00117398">
        <w:rPr>
          <w:sz w:val="26"/>
          <w:szCs w:val="26"/>
          <w:lang w:val="ro-RO"/>
        </w:rPr>
        <w:t>ransparentizarea procesului de implementare a achizițiilor electronice, asigurarea unui instrument funcțional, cost-eficient, securizat, nediscriminatoriu, bazat pe bunele practici, care va contribui la creșterea nivelului de participare în procesul de achiziții publice, reducerea riscurilor și costurilor corupționale, precum și optimi</w:t>
      </w:r>
      <w:r w:rsidR="004F7838">
        <w:rPr>
          <w:sz w:val="26"/>
          <w:szCs w:val="26"/>
          <w:lang w:val="ro-RO"/>
        </w:rPr>
        <w:t>zarea costurilor tranzacționale</w:t>
      </w:r>
      <w:r w:rsidR="00117398">
        <w:rPr>
          <w:sz w:val="26"/>
          <w:szCs w:val="26"/>
          <w:lang w:val="ro-RO"/>
        </w:rPr>
        <w:t>.</w:t>
      </w:r>
    </w:p>
    <w:p w:rsidR="00C16AC1" w:rsidRPr="00C16AC1" w:rsidRDefault="00C16AC1" w:rsidP="00C16AC1">
      <w:pPr>
        <w:spacing w:line="360" w:lineRule="auto"/>
        <w:ind w:firstLine="706"/>
        <w:jc w:val="both"/>
        <w:rPr>
          <w:rFonts w:eastAsia="Calibri"/>
          <w:bCs/>
          <w:sz w:val="26"/>
          <w:szCs w:val="26"/>
          <w:lang w:val="ro-RO" w:eastAsia="en-US"/>
        </w:rPr>
      </w:pPr>
      <w:r w:rsidRPr="00C16AC1">
        <w:rPr>
          <w:sz w:val="26"/>
          <w:szCs w:val="26"/>
          <w:lang w:val="ro-RO"/>
        </w:rPr>
        <w:t xml:space="preserve">Totodată, întru </w:t>
      </w:r>
      <w:r w:rsidR="00FB646D" w:rsidRPr="00FB646D">
        <w:rPr>
          <w:rFonts w:eastAsia="Calibri"/>
          <w:bCs/>
          <w:sz w:val="26"/>
          <w:szCs w:val="26"/>
          <w:lang w:val="ro-RO" w:eastAsia="en-US"/>
        </w:rPr>
        <w:t xml:space="preserve">respectarea prevederilor Legii nr. 239-XVI din 13 noiembrie 2008 privind transparența în procesul decizional și a Hotărîrii Guvernului nr. 967 din 9 august 2016 „Cu privire la mecanismul de consultare publică cu societatea civilă în procesul decizional”, </w:t>
      </w:r>
      <w:r w:rsidRPr="00C16AC1">
        <w:rPr>
          <w:rFonts w:eastAsia="Calibri"/>
          <w:bCs/>
          <w:sz w:val="26"/>
          <w:szCs w:val="26"/>
          <w:lang w:val="ro-RO" w:eastAsia="en-US"/>
        </w:rPr>
        <w:t xml:space="preserve">proiectul </w:t>
      </w:r>
      <w:r w:rsidR="00FB646D" w:rsidRPr="00FB646D">
        <w:rPr>
          <w:rFonts w:eastAsia="Calibri"/>
          <w:bCs/>
          <w:sz w:val="26"/>
          <w:szCs w:val="26"/>
          <w:lang w:val="ro-RO" w:eastAsia="en-US"/>
        </w:rPr>
        <w:t>a f</w:t>
      </w:r>
      <w:r w:rsidRPr="00C16AC1">
        <w:rPr>
          <w:rFonts w:eastAsia="Calibri"/>
          <w:bCs/>
          <w:sz w:val="26"/>
          <w:szCs w:val="26"/>
          <w:lang w:val="ro-RO" w:eastAsia="en-US"/>
        </w:rPr>
        <w:t>ost</w:t>
      </w:r>
      <w:r w:rsidR="00FB646D" w:rsidRPr="00FB646D">
        <w:rPr>
          <w:rFonts w:eastAsia="Calibri"/>
          <w:bCs/>
          <w:sz w:val="26"/>
          <w:szCs w:val="26"/>
          <w:lang w:val="ro-RO" w:eastAsia="en-US"/>
        </w:rPr>
        <w:t xml:space="preserve"> </w:t>
      </w:r>
      <w:r w:rsidRPr="00C16AC1">
        <w:rPr>
          <w:rFonts w:eastAsia="Calibri"/>
          <w:bCs/>
          <w:sz w:val="26"/>
          <w:szCs w:val="26"/>
          <w:lang w:val="ro-RO" w:eastAsia="en-US"/>
        </w:rPr>
        <w:t>plasat</w:t>
      </w:r>
      <w:r w:rsidR="00FB646D" w:rsidRPr="00FB646D">
        <w:rPr>
          <w:rFonts w:eastAsia="Calibri"/>
          <w:bCs/>
          <w:sz w:val="26"/>
          <w:szCs w:val="26"/>
          <w:lang w:val="ro-RO" w:eastAsia="en-US"/>
        </w:rPr>
        <w:t xml:space="preserve"> </w:t>
      </w:r>
      <w:r w:rsidRPr="00C16AC1">
        <w:rPr>
          <w:rFonts w:eastAsia="Calibri"/>
          <w:bCs/>
          <w:sz w:val="26"/>
          <w:szCs w:val="26"/>
          <w:lang w:val="ro-RO" w:eastAsia="en-US"/>
        </w:rPr>
        <w:t xml:space="preserve">spre consultare publică </w:t>
      </w:r>
      <w:r w:rsidR="00FB646D" w:rsidRPr="00FB646D">
        <w:rPr>
          <w:rFonts w:eastAsia="Calibri"/>
          <w:bCs/>
          <w:sz w:val="26"/>
          <w:szCs w:val="26"/>
          <w:lang w:val="ro-RO" w:eastAsia="en-US"/>
        </w:rPr>
        <w:t>pe pagina web</w:t>
      </w:r>
      <w:r w:rsidRPr="00C16AC1">
        <w:rPr>
          <w:rFonts w:eastAsia="Calibri"/>
          <w:bCs/>
          <w:sz w:val="26"/>
          <w:szCs w:val="26"/>
          <w:lang w:val="ro-RO" w:eastAsia="en-US"/>
        </w:rPr>
        <w:t xml:space="preserve"> a Ministerului Finanțelor și pe platforma </w:t>
      </w:r>
      <w:r w:rsidRPr="00C16AC1">
        <w:rPr>
          <w:rFonts w:eastAsia="Calibri"/>
          <w:bCs/>
          <w:i/>
          <w:sz w:val="26"/>
          <w:szCs w:val="26"/>
          <w:u w:val="single"/>
          <w:lang w:val="ro-RO" w:eastAsia="en-US"/>
        </w:rPr>
        <w:t>www.particip.gov.md.</w:t>
      </w:r>
    </w:p>
    <w:p w:rsidR="0085186D" w:rsidRDefault="0085186D" w:rsidP="00EC4F36">
      <w:pPr>
        <w:spacing w:line="276" w:lineRule="auto"/>
        <w:jc w:val="both"/>
        <w:rPr>
          <w:sz w:val="26"/>
          <w:szCs w:val="26"/>
          <w:lang w:val="ro-RO"/>
        </w:rPr>
      </w:pPr>
    </w:p>
    <w:p w:rsidR="00EC4F36" w:rsidRPr="00EC4F36" w:rsidRDefault="00EC4F36" w:rsidP="00EC4F36">
      <w:pPr>
        <w:spacing w:line="276" w:lineRule="auto"/>
        <w:jc w:val="both"/>
        <w:rPr>
          <w:sz w:val="26"/>
          <w:szCs w:val="26"/>
          <w:lang w:val="ro-RO"/>
        </w:rPr>
      </w:pPr>
    </w:p>
    <w:p w:rsidR="008E44D9" w:rsidRDefault="00FA45EF" w:rsidP="008E44D9">
      <w:pPr>
        <w:spacing w:line="276" w:lineRule="auto"/>
        <w:rPr>
          <w:sz w:val="16"/>
          <w:szCs w:val="16"/>
          <w:lang w:val="ro-RO"/>
        </w:rPr>
      </w:pPr>
      <w:r>
        <w:rPr>
          <w:b/>
          <w:sz w:val="26"/>
          <w:szCs w:val="26"/>
          <w:lang w:val="ro-RO"/>
        </w:rPr>
        <w:t>SECRETAR DE STAT</w:t>
      </w:r>
      <w:r w:rsidR="008E44D9" w:rsidRPr="00C644DF">
        <w:rPr>
          <w:b/>
          <w:sz w:val="26"/>
          <w:szCs w:val="26"/>
          <w:lang w:val="ro-RO"/>
        </w:rPr>
        <w:tab/>
      </w:r>
      <w:r w:rsidR="003D6F1A">
        <w:rPr>
          <w:b/>
          <w:sz w:val="26"/>
          <w:szCs w:val="26"/>
          <w:lang w:val="ro-RO"/>
        </w:rPr>
        <w:t xml:space="preserve">                             </w:t>
      </w:r>
      <w:r w:rsidR="008E44D9" w:rsidRPr="00C644DF">
        <w:rPr>
          <w:b/>
          <w:sz w:val="26"/>
          <w:szCs w:val="26"/>
          <w:lang w:val="ro-RO"/>
        </w:rPr>
        <w:tab/>
        <w:t xml:space="preserve">       </w:t>
      </w:r>
      <w:r w:rsidR="0065573E" w:rsidRPr="00C644DF">
        <w:rPr>
          <w:b/>
          <w:sz w:val="26"/>
          <w:szCs w:val="26"/>
          <w:lang w:val="ro-RO"/>
        </w:rPr>
        <w:t xml:space="preserve">     </w:t>
      </w:r>
      <w:r w:rsidR="003D6F1A">
        <w:rPr>
          <w:b/>
          <w:sz w:val="26"/>
          <w:szCs w:val="26"/>
          <w:lang w:val="ro-RO"/>
        </w:rPr>
        <w:t xml:space="preserve">    </w:t>
      </w:r>
      <w:r w:rsidR="0065573E" w:rsidRPr="00C644DF">
        <w:rPr>
          <w:b/>
          <w:sz w:val="26"/>
          <w:szCs w:val="26"/>
          <w:lang w:val="ro-RO"/>
        </w:rPr>
        <w:t xml:space="preserve"> </w:t>
      </w:r>
      <w:r w:rsidR="008E44D9" w:rsidRPr="00C644DF">
        <w:rPr>
          <w:b/>
          <w:sz w:val="26"/>
          <w:szCs w:val="26"/>
          <w:lang w:val="ro-RO"/>
        </w:rPr>
        <w:t xml:space="preserve">    </w:t>
      </w:r>
      <w:r w:rsidR="008E44D9" w:rsidRPr="00C644DF">
        <w:rPr>
          <w:b/>
          <w:sz w:val="26"/>
          <w:szCs w:val="26"/>
          <w:lang w:val="ro-RO"/>
        </w:rPr>
        <w:tab/>
        <w:t xml:space="preserve"> </w:t>
      </w:r>
      <w:r w:rsidR="003D6F1A">
        <w:rPr>
          <w:b/>
          <w:sz w:val="26"/>
          <w:szCs w:val="26"/>
          <w:lang w:val="ro-RO"/>
        </w:rPr>
        <w:t xml:space="preserve">          </w:t>
      </w:r>
      <w:bookmarkStart w:id="0" w:name="_GoBack"/>
      <w:bookmarkEnd w:id="0"/>
      <w:r>
        <w:rPr>
          <w:b/>
          <w:sz w:val="26"/>
          <w:szCs w:val="26"/>
          <w:lang w:val="ro-RO"/>
        </w:rPr>
        <w:t>Viorica PRICOP</w:t>
      </w:r>
    </w:p>
    <w:p w:rsidR="008E44D9" w:rsidRDefault="008E44D9" w:rsidP="008E44D9">
      <w:pPr>
        <w:spacing w:line="276" w:lineRule="auto"/>
        <w:rPr>
          <w:sz w:val="16"/>
          <w:szCs w:val="16"/>
          <w:lang w:val="ro-RO"/>
        </w:rPr>
      </w:pPr>
    </w:p>
    <w:p w:rsidR="008E44D9" w:rsidRDefault="008E44D9" w:rsidP="008E44D9">
      <w:pPr>
        <w:spacing w:line="276" w:lineRule="auto"/>
        <w:rPr>
          <w:sz w:val="16"/>
          <w:szCs w:val="16"/>
          <w:lang w:val="ro-RO"/>
        </w:rPr>
      </w:pPr>
    </w:p>
    <w:sectPr w:rsidR="008E44D9" w:rsidSect="00EC4F36">
      <w:pgSz w:w="11906" w:h="16838"/>
      <w:pgMar w:top="719" w:right="1196" w:bottom="899" w:left="1710" w:header="720" w:footer="22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1B73"/>
    <w:multiLevelType w:val="hybridMultilevel"/>
    <w:tmpl w:val="7E6C60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AD6455F"/>
    <w:multiLevelType w:val="hybridMultilevel"/>
    <w:tmpl w:val="DF0EB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A8775D"/>
    <w:multiLevelType w:val="hybridMultilevel"/>
    <w:tmpl w:val="1E34F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54566"/>
    <w:multiLevelType w:val="hybridMultilevel"/>
    <w:tmpl w:val="28F21DC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735E3C97"/>
    <w:multiLevelType w:val="hybridMultilevel"/>
    <w:tmpl w:val="4B3C95CE"/>
    <w:lvl w:ilvl="0" w:tplc="2662DD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E8A"/>
    <w:rsid w:val="00014D24"/>
    <w:rsid w:val="00042E91"/>
    <w:rsid w:val="00043979"/>
    <w:rsid w:val="000555D8"/>
    <w:rsid w:val="00080145"/>
    <w:rsid w:val="000A4803"/>
    <w:rsid w:val="000A6778"/>
    <w:rsid w:val="000F14A5"/>
    <w:rsid w:val="00117398"/>
    <w:rsid w:val="00186780"/>
    <w:rsid w:val="00245F30"/>
    <w:rsid w:val="002B7406"/>
    <w:rsid w:val="002F2280"/>
    <w:rsid w:val="003270A2"/>
    <w:rsid w:val="003330A9"/>
    <w:rsid w:val="003543F7"/>
    <w:rsid w:val="00385921"/>
    <w:rsid w:val="003D6F1A"/>
    <w:rsid w:val="003E1A57"/>
    <w:rsid w:val="003E7E8A"/>
    <w:rsid w:val="003F1183"/>
    <w:rsid w:val="004159FC"/>
    <w:rsid w:val="00426680"/>
    <w:rsid w:val="004326DD"/>
    <w:rsid w:val="0045657E"/>
    <w:rsid w:val="004C40B0"/>
    <w:rsid w:val="004F7838"/>
    <w:rsid w:val="00545A76"/>
    <w:rsid w:val="005605FF"/>
    <w:rsid w:val="00593E7E"/>
    <w:rsid w:val="005A5AC6"/>
    <w:rsid w:val="005C412F"/>
    <w:rsid w:val="005E280A"/>
    <w:rsid w:val="00623140"/>
    <w:rsid w:val="00644467"/>
    <w:rsid w:val="0065573E"/>
    <w:rsid w:val="00677395"/>
    <w:rsid w:val="006B5116"/>
    <w:rsid w:val="006F3798"/>
    <w:rsid w:val="0070408D"/>
    <w:rsid w:val="00745213"/>
    <w:rsid w:val="007E3424"/>
    <w:rsid w:val="007E429E"/>
    <w:rsid w:val="00844172"/>
    <w:rsid w:val="0085186D"/>
    <w:rsid w:val="008835A8"/>
    <w:rsid w:val="008E44D9"/>
    <w:rsid w:val="009027F9"/>
    <w:rsid w:val="00906D7A"/>
    <w:rsid w:val="0096264C"/>
    <w:rsid w:val="009643B6"/>
    <w:rsid w:val="009A70E0"/>
    <w:rsid w:val="009C29FD"/>
    <w:rsid w:val="009E7940"/>
    <w:rsid w:val="00A2558D"/>
    <w:rsid w:val="00A34A61"/>
    <w:rsid w:val="00A37CD9"/>
    <w:rsid w:val="00A4271A"/>
    <w:rsid w:val="00A60139"/>
    <w:rsid w:val="00A770A9"/>
    <w:rsid w:val="00A9205F"/>
    <w:rsid w:val="00AA68A7"/>
    <w:rsid w:val="00AC4797"/>
    <w:rsid w:val="00B1315D"/>
    <w:rsid w:val="00B24179"/>
    <w:rsid w:val="00B63758"/>
    <w:rsid w:val="00B91F1C"/>
    <w:rsid w:val="00BA7DB7"/>
    <w:rsid w:val="00BE7A75"/>
    <w:rsid w:val="00BF77FA"/>
    <w:rsid w:val="00C16AC1"/>
    <w:rsid w:val="00C1733C"/>
    <w:rsid w:val="00C644DF"/>
    <w:rsid w:val="00C73B45"/>
    <w:rsid w:val="00C9374E"/>
    <w:rsid w:val="00CC370F"/>
    <w:rsid w:val="00CC6F2B"/>
    <w:rsid w:val="00CF4655"/>
    <w:rsid w:val="00D62C46"/>
    <w:rsid w:val="00D67822"/>
    <w:rsid w:val="00DA1749"/>
    <w:rsid w:val="00DC2E5C"/>
    <w:rsid w:val="00E1244B"/>
    <w:rsid w:val="00E16A24"/>
    <w:rsid w:val="00E23403"/>
    <w:rsid w:val="00E63A89"/>
    <w:rsid w:val="00E929B3"/>
    <w:rsid w:val="00EB340C"/>
    <w:rsid w:val="00EB6913"/>
    <w:rsid w:val="00EC4F36"/>
    <w:rsid w:val="00EF467D"/>
    <w:rsid w:val="00F159DD"/>
    <w:rsid w:val="00F563FE"/>
    <w:rsid w:val="00F57B5D"/>
    <w:rsid w:val="00F76012"/>
    <w:rsid w:val="00FA2615"/>
    <w:rsid w:val="00FA45EF"/>
    <w:rsid w:val="00FB642D"/>
    <w:rsid w:val="00FB646D"/>
    <w:rsid w:val="00F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F7A0"/>
  <w15:docId w15:val="{6CE62BA1-0F86-45AE-8B42-450E37F3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3E7E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t">
    <w:name w:val="tt"/>
    <w:basedOn w:val="Normal"/>
    <w:rsid w:val="009A70E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C2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E44D9"/>
    <w:pPr>
      <w:ind w:firstLine="567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5A2C-5AA2-45C3-A471-2F2854D0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npisaroglo</dc:creator>
  <cp:keywords/>
  <dc:description/>
  <cp:lastModifiedBy>Ochinca Dumitru</cp:lastModifiedBy>
  <cp:revision>34</cp:revision>
  <cp:lastPrinted>2017-12-13T07:05:00Z</cp:lastPrinted>
  <dcterms:created xsi:type="dcterms:W3CDTF">2016-04-08T06:49:00Z</dcterms:created>
  <dcterms:modified xsi:type="dcterms:W3CDTF">2018-01-11T08:18:00Z</dcterms:modified>
</cp:coreProperties>
</file>