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995A" w14:textId="7AFA827E" w:rsidR="00F77F6D" w:rsidRPr="00CB1E53" w:rsidRDefault="00F77F6D" w:rsidP="00FD11D9">
      <w:pPr>
        <w:jc w:val="both"/>
        <w:rPr>
          <w:rStyle w:val="StrongDKB"/>
          <w:sz w:val="56"/>
          <w:szCs w:val="56"/>
        </w:rPr>
      </w:pPr>
    </w:p>
    <w:p w14:paraId="776D06B1" w14:textId="77777777" w:rsidR="00F77F6D" w:rsidRPr="00CB1E53" w:rsidRDefault="00F77F6D" w:rsidP="00FD11D9">
      <w:pPr>
        <w:jc w:val="both"/>
        <w:rPr>
          <w:rStyle w:val="StrongDKB"/>
          <w:sz w:val="56"/>
          <w:szCs w:val="56"/>
        </w:rPr>
      </w:pPr>
    </w:p>
    <w:p w14:paraId="1FF9D848" w14:textId="77777777" w:rsidR="00F77F6D" w:rsidRPr="00CB1E53" w:rsidRDefault="00F77F6D" w:rsidP="00FD11D9">
      <w:pPr>
        <w:jc w:val="both"/>
        <w:rPr>
          <w:rStyle w:val="StrongDKB"/>
          <w:sz w:val="56"/>
          <w:szCs w:val="56"/>
        </w:rPr>
      </w:pPr>
    </w:p>
    <w:p w14:paraId="2779528B" w14:textId="77777777" w:rsidR="00F77F6D" w:rsidRPr="00CB1E53" w:rsidRDefault="00F77F6D" w:rsidP="00FD11D9">
      <w:pPr>
        <w:jc w:val="both"/>
        <w:rPr>
          <w:rStyle w:val="StrongDKB"/>
          <w:sz w:val="56"/>
          <w:szCs w:val="56"/>
        </w:rPr>
      </w:pPr>
    </w:p>
    <w:p w14:paraId="74605929" w14:textId="20BEC9DC" w:rsidR="00F77F6D" w:rsidRPr="00CB1E53" w:rsidRDefault="00F77F6D" w:rsidP="00FD11D9">
      <w:pPr>
        <w:jc w:val="center"/>
        <w:rPr>
          <w:rStyle w:val="StrongDKB"/>
          <w:sz w:val="56"/>
          <w:szCs w:val="56"/>
        </w:rPr>
      </w:pPr>
      <w:r w:rsidRPr="00CB1E53">
        <w:rPr>
          <w:rStyle w:val="StrongDKB"/>
          <w:sz w:val="56"/>
          <w:szCs w:val="56"/>
        </w:rPr>
        <w:t>Tax Expenditure</w:t>
      </w:r>
      <w:r w:rsidR="00DC71E5" w:rsidRPr="00CB1E53">
        <w:rPr>
          <w:rStyle w:val="StrongDKB"/>
          <w:sz w:val="56"/>
          <w:szCs w:val="56"/>
        </w:rPr>
        <w:t>s</w:t>
      </w:r>
      <w:r w:rsidRPr="00CB1E53">
        <w:rPr>
          <w:rStyle w:val="StrongDKB"/>
          <w:sz w:val="56"/>
          <w:szCs w:val="56"/>
        </w:rPr>
        <w:t xml:space="preserve"> Assessment Report</w:t>
      </w:r>
    </w:p>
    <w:p w14:paraId="2F4982B7" w14:textId="77777777" w:rsidR="00F77F6D" w:rsidRPr="00CB1E53" w:rsidRDefault="00F77F6D" w:rsidP="00FD11D9">
      <w:pPr>
        <w:jc w:val="both"/>
        <w:rPr>
          <w:rStyle w:val="StrongDKB"/>
          <w:sz w:val="56"/>
          <w:szCs w:val="56"/>
        </w:rPr>
      </w:pPr>
    </w:p>
    <w:p w14:paraId="32287408" w14:textId="41B81885" w:rsidR="00F77F6D" w:rsidRDefault="00F77F6D" w:rsidP="00FD11D9">
      <w:pPr>
        <w:jc w:val="both"/>
        <w:rPr>
          <w:rStyle w:val="StrongDKB"/>
          <w:sz w:val="56"/>
          <w:szCs w:val="56"/>
        </w:rPr>
      </w:pPr>
    </w:p>
    <w:p w14:paraId="4E918374" w14:textId="1C1D54DC" w:rsidR="00FB414B" w:rsidRDefault="00FB414B" w:rsidP="00FD11D9">
      <w:pPr>
        <w:jc w:val="both"/>
        <w:rPr>
          <w:rStyle w:val="StrongDKB"/>
          <w:sz w:val="56"/>
          <w:szCs w:val="56"/>
        </w:rPr>
      </w:pPr>
    </w:p>
    <w:p w14:paraId="2C4D4B7F" w14:textId="4E282924" w:rsidR="00FB414B" w:rsidRDefault="00FB414B" w:rsidP="00FD11D9">
      <w:pPr>
        <w:jc w:val="both"/>
        <w:rPr>
          <w:rStyle w:val="StrongDKB"/>
          <w:sz w:val="56"/>
          <w:szCs w:val="56"/>
        </w:rPr>
      </w:pPr>
    </w:p>
    <w:p w14:paraId="75BF1920" w14:textId="16EA90B1" w:rsidR="00FB414B" w:rsidRDefault="00FB414B" w:rsidP="00FD11D9">
      <w:pPr>
        <w:jc w:val="both"/>
        <w:rPr>
          <w:rStyle w:val="StrongDKB"/>
          <w:sz w:val="56"/>
          <w:szCs w:val="56"/>
        </w:rPr>
      </w:pPr>
    </w:p>
    <w:p w14:paraId="3FBD9C22" w14:textId="77777777" w:rsidR="00FB414B" w:rsidRPr="00CB1E53" w:rsidRDefault="00FB414B" w:rsidP="00FD11D9">
      <w:pPr>
        <w:jc w:val="center"/>
        <w:rPr>
          <w:rStyle w:val="StrongDKB"/>
          <w:sz w:val="56"/>
          <w:szCs w:val="56"/>
        </w:rPr>
      </w:pPr>
    </w:p>
    <w:p w14:paraId="54F830AB" w14:textId="718A4506" w:rsidR="00F77F6D" w:rsidRDefault="00F77F6D" w:rsidP="00FD11D9">
      <w:pPr>
        <w:jc w:val="center"/>
        <w:rPr>
          <w:rStyle w:val="StrongDKB"/>
          <w:sz w:val="18"/>
          <w:szCs w:val="18"/>
        </w:rPr>
      </w:pPr>
      <w:r w:rsidRPr="00FD11D9">
        <w:rPr>
          <w:rStyle w:val="StrongDKB"/>
          <w:sz w:val="18"/>
          <w:szCs w:val="18"/>
        </w:rPr>
        <w:t>May 2022</w:t>
      </w:r>
    </w:p>
    <w:p w14:paraId="6086E9E5" w14:textId="6BC709B3" w:rsidR="000974F8" w:rsidRPr="00FD11D9" w:rsidRDefault="000974F8" w:rsidP="00FD11D9">
      <w:pPr>
        <w:jc w:val="center"/>
        <w:rPr>
          <w:rStyle w:val="StrongDKB"/>
          <w:sz w:val="18"/>
          <w:szCs w:val="18"/>
        </w:rPr>
      </w:pPr>
      <w:r>
        <w:rPr>
          <w:rStyle w:val="StrongDKB"/>
          <w:sz w:val="18"/>
          <w:szCs w:val="18"/>
        </w:rPr>
        <w:t xml:space="preserve">Elaborated by Ministry of Finance with International Monetary </w:t>
      </w:r>
      <w:r w:rsidR="00FD11D9">
        <w:rPr>
          <w:rStyle w:val="StrongDKB"/>
          <w:sz w:val="18"/>
          <w:szCs w:val="18"/>
        </w:rPr>
        <w:t>Fund</w:t>
      </w:r>
      <w:r>
        <w:rPr>
          <w:rStyle w:val="StrongDKB"/>
          <w:sz w:val="18"/>
          <w:szCs w:val="18"/>
        </w:rPr>
        <w:t xml:space="preserve"> support</w:t>
      </w:r>
    </w:p>
    <w:p w14:paraId="1356A6CD" w14:textId="715FC980" w:rsidR="00F77F6D" w:rsidRPr="00CB1E53" w:rsidRDefault="00F77F6D" w:rsidP="00FD11D9">
      <w:pPr>
        <w:jc w:val="both"/>
        <w:rPr>
          <w:rFonts w:ascii="Segoe UI" w:hAnsi="Segoe UI" w:cs="Segoe UI"/>
          <w:b/>
          <w:bCs/>
        </w:rPr>
      </w:pPr>
      <w:r w:rsidRPr="00CB1E53">
        <w:rPr>
          <w:rFonts w:ascii="Segoe UI" w:hAnsi="Segoe UI" w:cs="Segoe UI"/>
          <w:b/>
          <w:bCs/>
        </w:rPr>
        <w:br w:type="page"/>
      </w:r>
    </w:p>
    <w:p w14:paraId="7C0D6460" w14:textId="3C9C2CCE" w:rsidR="00F77F6D" w:rsidRPr="002F2301" w:rsidRDefault="008C790C" w:rsidP="00FD11D9">
      <w:pPr>
        <w:jc w:val="both"/>
        <w:rPr>
          <w:rStyle w:val="StrongMDB"/>
          <w:rFonts w:ascii="Segoe UI" w:hAnsi="Segoe UI" w:cs="Segoe UI"/>
          <w:color w:val="004C97" w:themeColor="text2"/>
          <w:sz w:val="26"/>
          <w:szCs w:val="26"/>
        </w:rPr>
      </w:pPr>
      <w:bookmarkStart w:id="0" w:name="_Toc96775172"/>
      <w:r w:rsidRPr="00CB1E53">
        <w:rPr>
          <w:rStyle w:val="StrongMDB"/>
          <w:rFonts w:ascii="Segoe UI" w:hAnsi="Segoe UI" w:cs="Segoe UI"/>
          <w:color w:val="004C97" w:themeColor="text2"/>
          <w:sz w:val="26"/>
          <w:szCs w:val="26"/>
        </w:rPr>
        <w:lastRenderedPageBreak/>
        <w:t>Table of Content</w:t>
      </w:r>
      <w:bookmarkEnd w:id="0"/>
    </w:p>
    <w:p w14:paraId="59F07EBB" w14:textId="07949915" w:rsidR="002F2301" w:rsidRPr="002F2301" w:rsidRDefault="00495C61" w:rsidP="00FD11D9">
      <w:pPr>
        <w:pStyle w:val="TOC2"/>
        <w:tabs>
          <w:tab w:val="right" w:leader="dot" w:pos="9350"/>
        </w:tabs>
        <w:jc w:val="both"/>
        <w:rPr>
          <w:rFonts w:ascii="Segoe UI" w:eastAsiaTheme="minorEastAsia" w:hAnsi="Segoe UI" w:cs="Segoe UI"/>
          <w:noProof/>
          <w:sz w:val="24"/>
          <w:szCs w:val="24"/>
          <w:lang w:val="en-CA"/>
        </w:rPr>
      </w:pPr>
      <w:r w:rsidRPr="002F2301">
        <w:rPr>
          <w:rFonts w:ascii="Segoe UI" w:hAnsi="Segoe UI" w:cs="Segoe UI"/>
          <w:b/>
          <w:bCs/>
          <w:sz w:val="21"/>
          <w:szCs w:val="21"/>
        </w:rPr>
        <w:fldChar w:fldCharType="begin"/>
      </w:r>
      <w:r w:rsidRPr="002F2301">
        <w:rPr>
          <w:rFonts w:ascii="Segoe UI" w:hAnsi="Segoe UI" w:cs="Segoe UI"/>
          <w:b/>
          <w:bCs/>
          <w:sz w:val="21"/>
          <w:szCs w:val="21"/>
        </w:rPr>
        <w:instrText xml:space="preserve"> TOC \o "1-3" \h \z \u </w:instrText>
      </w:r>
      <w:r w:rsidRPr="002F2301">
        <w:rPr>
          <w:rFonts w:ascii="Segoe UI" w:hAnsi="Segoe UI" w:cs="Segoe UI"/>
          <w:b/>
          <w:bCs/>
          <w:sz w:val="21"/>
          <w:szCs w:val="21"/>
        </w:rPr>
        <w:fldChar w:fldCharType="separate"/>
      </w:r>
      <w:hyperlink w:anchor="_Toc99298751" w:history="1">
        <w:r w:rsidR="002F2301" w:rsidRPr="002F2301">
          <w:rPr>
            <w:rStyle w:val="Hyperlink"/>
            <w:rFonts w:ascii="Segoe UI" w:hAnsi="Segoe UI" w:cs="Segoe UI"/>
            <w:noProof/>
          </w:rPr>
          <w:t>Acronyms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_Toc99298751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4</w:t>
        </w:r>
        <w:r w:rsidR="002F2301" w:rsidRPr="002F2301">
          <w:rPr>
            <w:rFonts w:ascii="Segoe UI" w:hAnsi="Segoe UI" w:cs="Segoe UI"/>
            <w:noProof/>
            <w:webHidden/>
          </w:rPr>
          <w:fldChar w:fldCharType="end"/>
        </w:r>
      </w:hyperlink>
    </w:p>
    <w:p w14:paraId="7A3AB641" w14:textId="1BE801A6" w:rsidR="002F2301" w:rsidRPr="002F2301" w:rsidRDefault="00F139FD" w:rsidP="00FD11D9">
      <w:pPr>
        <w:pStyle w:val="TOC2"/>
        <w:tabs>
          <w:tab w:val="right" w:leader="dot" w:pos="9350"/>
        </w:tabs>
        <w:jc w:val="both"/>
        <w:rPr>
          <w:rFonts w:ascii="Segoe UI" w:eastAsiaTheme="minorEastAsia" w:hAnsi="Segoe UI" w:cs="Segoe UI"/>
          <w:noProof/>
          <w:sz w:val="24"/>
          <w:szCs w:val="24"/>
          <w:lang w:val="en-CA"/>
        </w:rPr>
      </w:pPr>
      <w:hyperlink w:anchor="_Toc99298752" w:history="1">
        <w:r w:rsidR="002F2301" w:rsidRPr="002F2301">
          <w:rPr>
            <w:rStyle w:val="Hyperlink"/>
            <w:rFonts w:ascii="Segoe UI" w:hAnsi="Segoe UI" w:cs="Segoe UI"/>
            <w:noProof/>
          </w:rPr>
          <w:t>Executive Summary and Key Findings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_Toc99298752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5</w:t>
        </w:r>
        <w:r w:rsidR="002F2301" w:rsidRPr="002F2301">
          <w:rPr>
            <w:rFonts w:ascii="Segoe UI" w:hAnsi="Segoe UI" w:cs="Segoe UI"/>
            <w:noProof/>
            <w:webHidden/>
          </w:rPr>
          <w:fldChar w:fldCharType="end"/>
        </w:r>
      </w:hyperlink>
    </w:p>
    <w:p w14:paraId="396ED227" w14:textId="0106C69A"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3" w:history="1">
        <w:r w:rsidR="002F2301" w:rsidRPr="002F2301">
          <w:rPr>
            <w:rStyle w:val="Hyperlink"/>
            <w:rFonts w:ascii="Segoe UI" w:hAnsi="Segoe UI" w:cs="Segoe UI"/>
            <w:noProof/>
          </w:rPr>
          <w:t>Tax expenditure assessments, future tax policy changes, and cost-benefit analysis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_Toc99298753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5</w:t>
        </w:r>
        <w:r w:rsidR="002F2301" w:rsidRPr="002F2301">
          <w:rPr>
            <w:rFonts w:ascii="Segoe UI" w:hAnsi="Segoe UI" w:cs="Segoe UI"/>
            <w:noProof/>
            <w:webHidden/>
          </w:rPr>
          <w:fldChar w:fldCharType="end"/>
        </w:r>
      </w:hyperlink>
    </w:p>
    <w:p w14:paraId="6B80E36E" w14:textId="4F42809D"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4" w:history="1">
        <w:r w:rsidR="002F2301" w:rsidRPr="002F2301">
          <w:rPr>
            <w:rStyle w:val="Hyperlink"/>
            <w:rFonts w:ascii="Segoe UI" w:hAnsi="Segoe UI" w:cs="Segoe UI"/>
            <w:noProof/>
          </w:rPr>
          <w:t>Complexities with defining a benchmark tax system</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_Toc99298754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5</w:t>
        </w:r>
        <w:r w:rsidR="002F2301" w:rsidRPr="002F2301">
          <w:rPr>
            <w:rFonts w:ascii="Segoe UI" w:hAnsi="Segoe UI" w:cs="Segoe UI"/>
            <w:noProof/>
            <w:webHidden/>
          </w:rPr>
          <w:fldChar w:fldCharType="end"/>
        </w:r>
      </w:hyperlink>
    </w:p>
    <w:p w14:paraId="4AA1D4D1" w14:textId="3297F4D2"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5" w:history="1">
        <w:r w:rsidR="002F2301" w:rsidRPr="002F2301">
          <w:rPr>
            <w:rStyle w:val="Hyperlink"/>
            <w:rFonts w:ascii="Segoe UI" w:hAnsi="Segoe UI" w:cs="Segoe UI"/>
            <w:noProof/>
          </w:rPr>
          <w:t>Tax Expenditures and estimation methodologies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_Toc99298755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6</w:t>
        </w:r>
        <w:r w:rsidR="002F2301" w:rsidRPr="002F2301">
          <w:rPr>
            <w:rFonts w:ascii="Segoe UI" w:hAnsi="Segoe UI" w:cs="Segoe UI"/>
            <w:noProof/>
            <w:webHidden/>
          </w:rPr>
          <w:fldChar w:fldCharType="end"/>
        </w:r>
      </w:hyperlink>
    </w:p>
    <w:p w14:paraId="3D6E3875" w14:textId="03C71649"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6" w:history="1">
        <w:r w:rsidR="002F2301" w:rsidRPr="002F2301">
          <w:rPr>
            <w:rStyle w:val="Hyperlink"/>
            <w:rFonts w:ascii="Segoe UI" w:hAnsi="Segoe UI" w:cs="Segoe UI"/>
            <w:noProof/>
          </w:rPr>
          <w:t>Tax expenditure assessment responsibility</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_Toc99298756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7</w:t>
        </w:r>
        <w:r w:rsidR="002F2301" w:rsidRPr="002F2301">
          <w:rPr>
            <w:rFonts w:ascii="Segoe UI" w:hAnsi="Segoe UI" w:cs="Segoe UI"/>
            <w:noProof/>
            <w:webHidden/>
          </w:rPr>
          <w:fldChar w:fldCharType="end"/>
        </w:r>
      </w:hyperlink>
    </w:p>
    <w:p w14:paraId="4878B4DF" w14:textId="4EDD6416" w:rsidR="002F2301" w:rsidRPr="002F2301" w:rsidRDefault="00F139FD" w:rsidP="00FD11D9">
      <w:pPr>
        <w:pStyle w:val="TOC2"/>
        <w:tabs>
          <w:tab w:val="left" w:pos="720"/>
          <w:tab w:val="right" w:leader="dot" w:pos="9350"/>
        </w:tabs>
        <w:jc w:val="both"/>
        <w:rPr>
          <w:rFonts w:ascii="Segoe UI" w:eastAsiaTheme="minorEastAsia" w:hAnsi="Segoe UI" w:cs="Segoe UI"/>
          <w:noProof/>
          <w:sz w:val="24"/>
          <w:szCs w:val="24"/>
          <w:lang w:val="en-CA"/>
        </w:rPr>
      </w:pPr>
      <w:hyperlink w:anchor="_Toc99298757" w:history="1">
        <w:r w:rsidR="002F2301" w:rsidRPr="002F2301">
          <w:rPr>
            <w:rStyle w:val="Hyperlink"/>
            <w:rFonts w:ascii="Segoe UI" w:hAnsi="Segoe UI" w:cs="Segoe UI"/>
            <w:noProof/>
          </w:rPr>
          <w:t>I.</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Introduction</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_Toc99298757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9</w:t>
        </w:r>
        <w:r w:rsidR="002F2301" w:rsidRPr="002F2301">
          <w:rPr>
            <w:rFonts w:ascii="Segoe UI" w:hAnsi="Segoe UI" w:cs="Segoe UI"/>
            <w:noProof/>
            <w:webHidden/>
          </w:rPr>
          <w:fldChar w:fldCharType="end"/>
        </w:r>
      </w:hyperlink>
    </w:p>
    <w:p w14:paraId="59BFBD15" w14:textId="53600D52"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8" w:history="1">
        <w:r w:rsidR="002F2301" w:rsidRPr="002F2301">
          <w:rPr>
            <w:rStyle w:val="Hyperlink"/>
            <w:rFonts w:ascii="Segoe UI" w:hAnsi="Segoe UI" w:cs="Segoe UI"/>
            <w:noProof/>
          </w:rPr>
          <w:t>Tax Expenditures reporting and its use in fiscal management</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_Toc99298758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9</w:t>
        </w:r>
        <w:r w:rsidR="002F2301" w:rsidRPr="002F2301">
          <w:rPr>
            <w:rFonts w:ascii="Segoe UI" w:hAnsi="Segoe UI" w:cs="Segoe UI"/>
            <w:noProof/>
            <w:webHidden/>
          </w:rPr>
          <w:fldChar w:fldCharType="end"/>
        </w:r>
      </w:hyperlink>
    </w:p>
    <w:p w14:paraId="2BC5A1F3" w14:textId="443EFE59"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59" w:history="1">
        <w:r w:rsidR="002F2301" w:rsidRPr="002F2301">
          <w:rPr>
            <w:rStyle w:val="Hyperlink"/>
            <w:rFonts w:ascii="Segoe UI" w:hAnsi="Segoe UI" w:cs="Segoe UI"/>
            <w:noProof/>
          </w:rPr>
          <w:t>Forms of tax relief</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_Toc99298759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9</w:t>
        </w:r>
        <w:r w:rsidR="002F2301" w:rsidRPr="002F2301">
          <w:rPr>
            <w:rFonts w:ascii="Segoe UI" w:hAnsi="Segoe UI" w:cs="Segoe UI"/>
            <w:noProof/>
            <w:webHidden/>
          </w:rPr>
          <w:fldChar w:fldCharType="end"/>
        </w:r>
      </w:hyperlink>
    </w:p>
    <w:p w14:paraId="57E2C084" w14:textId="6D2E649F"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0" w:history="1">
        <w:r w:rsidR="002F2301" w:rsidRPr="002F2301">
          <w:rPr>
            <w:rStyle w:val="Hyperlink"/>
            <w:rFonts w:ascii="Segoe UI" w:hAnsi="Segoe UI" w:cs="Segoe UI"/>
            <w:noProof/>
          </w:rPr>
          <w:t>Tax relief vs. support defrayed from the budget's expenditure side</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_Toc99298760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9</w:t>
        </w:r>
        <w:r w:rsidR="002F2301" w:rsidRPr="002F2301">
          <w:rPr>
            <w:rFonts w:ascii="Segoe UI" w:hAnsi="Segoe UI" w:cs="Segoe UI"/>
            <w:noProof/>
            <w:webHidden/>
          </w:rPr>
          <w:fldChar w:fldCharType="end"/>
        </w:r>
      </w:hyperlink>
    </w:p>
    <w:p w14:paraId="31006E9B" w14:textId="046FBD1E"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1" w:history="1">
        <w:r w:rsidR="002F2301" w:rsidRPr="002F2301">
          <w:rPr>
            <w:rStyle w:val="Hyperlink"/>
            <w:rFonts w:ascii="Segoe UI" w:hAnsi="Segoe UI" w:cs="Segoe UI"/>
            <w:noProof/>
          </w:rPr>
          <w:t>Following global good practice in fiscal transparency</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_Toc99298761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10</w:t>
        </w:r>
        <w:r w:rsidR="002F2301" w:rsidRPr="002F2301">
          <w:rPr>
            <w:rFonts w:ascii="Segoe UI" w:hAnsi="Segoe UI" w:cs="Segoe UI"/>
            <w:noProof/>
            <w:webHidden/>
          </w:rPr>
          <w:fldChar w:fldCharType="end"/>
        </w:r>
      </w:hyperlink>
    </w:p>
    <w:p w14:paraId="78A0044D" w14:textId="7D358A95"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2" w:history="1">
        <w:r w:rsidR="002F2301" w:rsidRPr="002F2301">
          <w:rPr>
            <w:rStyle w:val="Hyperlink"/>
            <w:rFonts w:ascii="Segoe UI" w:hAnsi="Segoe UI" w:cs="Segoe UI"/>
            <w:noProof/>
          </w:rPr>
          <w:t>The steps of the Moldovan TEs assessment</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_Toc99298762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10</w:t>
        </w:r>
        <w:r w:rsidR="002F2301" w:rsidRPr="002F2301">
          <w:rPr>
            <w:rFonts w:ascii="Segoe UI" w:hAnsi="Segoe UI" w:cs="Segoe UI"/>
            <w:noProof/>
            <w:webHidden/>
          </w:rPr>
          <w:fldChar w:fldCharType="end"/>
        </w:r>
      </w:hyperlink>
    </w:p>
    <w:p w14:paraId="2DD1EF91" w14:textId="02CAFBC3"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3" w:history="1">
        <w:r w:rsidR="002F2301" w:rsidRPr="002F2301">
          <w:rPr>
            <w:rStyle w:val="Hyperlink"/>
            <w:rFonts w:ascii="Segoe UI" w:hAnsi="Segoe UI" w:cs="Segoe UI"/>
            <w:noProof/>
          </w:rPr>
          <w:t>Tax instrument categories covered</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_Toc99298763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11</w:t>
        </w:r>
        <w:r w:rsidR="002F2301" w:rsidRPr="002F2301">
          <w:rPr>
            <w:rFonts w:ascii="Segoe UI" w:hAnsi="Segoe UI" w:cs="Segoe UI"/>
            <w:noProof/>
            <w:webHidden/>
          </w:rPr>
          <w:fldChar w:fldCharType="end"/>
        </w:r>
      </w:hyperlink>
    </w:p>
    <w:p w14:paraId="69E04F3C" w14:textId="05A4D19C"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4" w:history="1">
        <w:r w:rsidR="002F2301" w:rsidRPr="002F2301">
          <w:rPr>
            <w:rStyle w:val="Hyperlink"/>
            <w:rFonts w:ascii="Segoe UI" w:hAnsi="Segoe UI" w:cs="Segoe UI"/>
            <w:noProof/>
          </w:rPr>
          <w:t>Comparison with TEs Register</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_Toc99298764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11</w:t>
        </w:r>
        <w:r w:rsidR="002F2301" w:rsidRPr="002F2301">
          <w:rPr>
            <w:rFonts w:ascii="Segoe UI" w:hAnsi="Segoe UI" w:cs="Segoe UI"/>
            <w:noProof/>
            <w:webHidden/>
          </w:rPr>
          <w:fldChar w:fldCharType="end"/>
        </w:r>
      </w:hyperlink>
    </w:p>
    <w:p w14:paraId="5D4CAE86" w14:textId="5F285179" w:rsidR="002F2301" w:rsidRPr="002F2301" w:rsidRDefault="00F139FD" w:rsidP="00FD11D9">
      <w:pPr>
        <w:pStyle w:val="TOC2"/>
        <w:tabs>
          <w:tab w:val="left" w:pos="720"/>
          <w:tab w:val="right" w:leader="dot" w:pos="9350"/>
        </w:tabs>
        <w:jc w:val="both"/>
        <w:rPr>
          <w:rFonts w:ascii="Segoe UI" w:eastAsiaTheme="minorEastAsia" w:hAnsi="Segoe UI" w:cs="Segoe UI"/>
          <w:noProof/>
          <w:sz w:val="24"/>
          <w:szCs w:val="24"/>
          <w:lang w:val="en-CA"/>
        </w:rPr>
      </w:pPr>
      <w:hyperlink w:anchor="_Toc99298765" w:history="1">
        <w:r w:rsidR="002F2301" w:rsidRPr="002F2301">
          <w:rPr>
            <w:rStyle w:val="Hyperlink"/>
            <w:rFonts w:ascii="Segoe UI" w:hAnsi="Segoe UI" w:cs="Segoe UI"/>
            <w:noProof/>
          </w:rPr>
          <w:t>II.</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Defining a Benchmark Tax System for Moldova</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_Toc99298765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12</w:t>
        </w:r>
        <w:r w:rsidR="002F2301" w:rsidRPr="002F2301">
          <w:rPr>
            <w:rFonts w:ascii="Segoe UI" w:hAnsi="Segoe UI" w:cs="Segoe UI"/>
            <w:noProof/>
            <w:webHidden/>
          </w:rPr>
          <w:fldChar w:fldCharType="end"/>
        </w:r>
      </w:hyperlink>
    </w:p>
    <w:p w14:paraId="61D042F0" w14:textId="7B2B48DC"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6" w:history="1">
        <w:r w:rsidR="002F2301" w:rsidRPr="002F2301">
          <w:rPr>
            <w:rStyle w:val="Hyperlink"/>
            <w:rFonts w:ascii="Segoe UI" w:hAnsi="Segoe UI" w:cs="Segoe UI"/>
            <w:noProof/>
          </w:rPr>
          <w:t>General description and definitional issues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_Toc99298766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12</w:t>
        </w:r>
        <w:r w:rsidR="002F2301" w:rsidRPr="002F2301">
          <w:rPr>
            <w:rFonts w:ascii="Segoe UI" w:hAnsi="Segoe UI" w:cs="Segoe UI"/>
            <w:noProof/>
            <w:webHidden/>
          </w:rPr>
          <w:fldChar w:fldCharType="end"/>
        </w:r>
      </w:hyperlink>
    </w:p>
    <w:p w14:paraId="0DA4DF7C" w14:textId="2EA13E68"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7" w:history="1">
        <w:r w:rsidR="002F2301" w:rsidRPr="002F2301">
          <w:rPr>
            <w:rStyle w:val="Hyperlink"/>
            <w:rFonts w:ascii="Segoe UI" w:hAnsi="Segoe UI" w:cs="Segoe UI"/>
            <w:noProof/>
          </w:rPr>
          <w:t>Personal income tax</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_Toc99298767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14</w:t>
        </w:r>
        <w:r w:rsidR="002F2301" w:rsidRPr="002F2301">
          <w:rPr>
            <w:rFonts w:ascii="Segoe UI" w:hAnsi="Segoe UI" w:cs="Segoe UI"/>
            <w:noProof/>
            <w:webHidden/>
          </w:rPr>
          <w:fldChar w:fldCharType="end"/>
        </w:r>
      </w:hyperlink>
    </w:p>
    <w:p w14:paraId="091E59EA" w14:textId="167DC47F"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8" w:history="1">
        <w:r w:rsidR="002F2301" w:rsidRPr="002F2301">
          <w:rPr>
            <w:rStyle w:val="Hyperlink"/>
            <w:rFonts w:ascii="Segoe UI" w:hAnsi="Segoe UI" w:cs="Segoe UI"/>
            <w:noProof/>
          </w:rPr>
          <w:t>Business income tax</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_Toc99298768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18</w:t>
        </w:r>
        <w:r w:rsidR="002F2301" w:rsidRPr="002F2301">
          <w:rPr>
            <w:rFonts w:ascii="Segoe UI" w:hAnsi="Segoe UI" w:cs="Segoe UI"/>
            <w:noProof/>
            <w:webHidden/>
          </w:rPr>
          <w:fldChar w:fldCharType="end"/>
        </w:r>
      </w:hyperlink>
    </w:p>
    <w:p w14:paraId="6C6C0C85" w14:textId="6C0DD29E"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69" w:history="1">
        <w:r w:rsidR="002F2301" w:rsidRPr="002F2301">
          <w:rPr>
            <w:rStyle w:val="Hyperlink"/>
            <w:rFonts w:ascii="Segoe UI" w:hAnsi="Segoe UI" w:cs="Segoe UI"/>
            <w:noProof/>
          </w:rPr>
          <w:t>Value-added tax</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_Toc99298769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20</w:t>
        </w:r>
        <w:r w:rsidR="002F2301" w:rsidRPr="002F2301">
          <w:rPr>
            <w:rFonts w:ascii="Segoe UI" w:hAnsi="Segoe UI" w:cs="Segoe UI"/>
            <w:noProof/>
            <w:webHidden/>
          </w:rPr>
          <w:fldChar w:fldCharType="end"/>
        </w:r>
      </w:hyperlink>
    </w:p>
    <w:p w14:paraId="08293219" w14:textId="1D235915" w:rsidR="002F2301" w:rsidRPr="002F2301" w:rsidRDefault="00F139FD" w:rsidP="00FD11D9">
      <w:pPr>
        <w:pStyle w:val="TOC2"/>
        <w:tabs>
          <w:tab w:val="left" w:pos="720"/>
          <w:tab w:val="right" w:leader="dot" w:pos="9350"/>
        </w:tabs>
        <w:jc w:val="both"/>
        <w:rPr>
          <w:rFonts w:ascii="Segoe UI" w:eastAsiaTheme="minorEastAsia" w:hAnsi="Segoe UI" w:cs="Segoe UI"/>
          <w:noProof/>
          <w:sz w:val="24"/>
          <w:szCs w:val="24"/>
          <w:lang w:val="en-CA"/>
        </w:rPr>
      </w:pPr>
      <w:hyperlink w:anchor="_Toc99298770" w:history="1">
        <w:r w:rsidR="002F2301" w:rsidRPr="002F2301">
          <w:rPr>
            <w:rStyle w:val="Hyperlink"/>
            <w:rFonts w:ascii="Segoe UI" w:hAnsi="Segoe UI" w:cs="Segoe UI"/>
            <w:noProof/>
          </w:rPr>
          <w:t>III.</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Inventory of Identified Variations from the Benchmark</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_Toc99298770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26</w:t>
        </w:r>
        <w:r w:rsidR="002F2301" w:rsidRPr="002F2301">
          <w:rPr>
            <w:rFonts w:ascii="Segoe UI" w:hAnsi="Segoe UI" w:cs="Segoe UI"/>
            <w:noProof/>
            <w:webHidden/>
          </w:rPr>
          <w:fldChar w:fldCharType="end"/>
        </w:r>
      </w:hyperlink>
    </w:p>
    <w:p w14:paraId="2F738C3A" w14:textId="2A873318" w:rsidR="002F2301" w:rsidRPr="002F2301" w:rsidRDefault="00F139FD" w:rsidP="00FD11D9">
      <w:pPr>
        <w:pStyle w:val="TOC2"/>
        <w:tabs>
          <w:tab w:val="left" w:pos="720"/>
          <w:tab w:val="right" w:leader="dot" w:pos="9350"/>
        </w:tabs>
        <w:jc w:val="both"/>
        <w:rPr>
          <w:rFonts w:ascii="Segoe UI" w:eastAsiaTheme="minorEastAsia" w:hAnsi="Segoe UI" w:cs="Segoe UI"/>
          <w:noProof/>
          <w:sz w:val="24"/>
          <w:szCs w:val="24"/>
          <w:lang w:val="en-CA"/>
        </w:rPr>
      </w:pPr>
      <w:hyperlink w:anchor="_Toc99298771" w:history="1">
        <w:r w:rsidR="002F2301" w:rsidRPr="002F2301">
          <w:rPr>
            <w:rStyle w:val="Hyperlink"/>
            <w:rFonts w:ascii="Segoe UI" w:hAnsi="Segoe UI" w:cs="Segoe UI"/>
            <w:noProof/>
          </w:rPr>
          <w:t>IV.</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Estimation of the Cost of Tax Expenditures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_Toc99298771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26</w:t>
        </w:r>
        <w:r w:rsidR="002F2301" w:rsidRPr="002F2301">
          <w:rPr>
            <w:rFonts w:ascii="Segoe UI" w:hAnsi="Segoe UI" w:cs="Segoe UI"/>
            <w:noProof/>
            <w:webHidden/>
          </w:rPr>
          <w:fldChar w:fldCharType="end"/>
        </w:r>
      </w:hyperlink>
    </w:p>
    <w:p w14:paraId="7ED747D0" w14:textId="20ED0A9C"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72" w:history="1">
        <w:r w:rsidR="002F2301" w:rsidRPr="002F2301">
          <w:rPr>
            <w:rStyle w:val="Hyperlink"/>
            <w:rFonts w:ascii="Segoe UI" w:hAnsi="Segoe UI" w:cs="Segoe UI"/>
            <w:noProof/>
          </w:rPr>
          <w:t>Tax Expenditures Methodology for PIT</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_Toc99298772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26</w:t>
        </w:r>
        <w:r w:rsidR="002F2301" w:rsidRPr="002F2301">
          <w:rPr>
            <w:rFonts w:ascii="Segoe UI" w:hAnsi="Segoe UI" w:cs="Segoe UI"/>
            <w:noProof/>
            <w:webHidden/>
          </w:rPr>
          <w:fldChar w:fldCharType="end"/>
        </w:r>
      </w:hyperlink>
    </w:p>
    <w:p w14:paraId="23EADFFD" w14:textId="241490ED"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73" w:history="1">
        <w:r w:rsidR="002F2301" w:rsidRPr="002F2301">
          <w:rPr>
            <w:rStyle w:val="Hyperlink"/>
            <w:rFonts w:ascii="Segoe UI" w:hAnsi="Segoe UI" w:cs="Segoe UI"/>
            <w:noProof/>
          </w:rPr>
          <w:t>Tax Expenditures Methodology for BIT</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_Toc99298773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28</w:t>
        </w:r>
        <w:r w:rsidR="002F2301" w:rsidRPr="002F2301">
          <w:rPr>
            <w:rFonts w:ascii="Segoe UI" w:hAnsi="Segoe UI" w:cs="Segoe UI"/>
            <w:noProof/>
            <w:webHidden/>
          </w:rPr>
          <w:fldChar w:fldCharType="end"/>
        </w:r>
      </w:hyperlink>
    </w:p>
    <w:p w14:paraId="049FB645" w14:textId="17A4944D"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74" w:history="1">
        <w:r w:rsidR="002F2301" w:rsidRPr="002F2301">
          <w:rPr>
            <w:rStyle w:val="Hyperlink"/>
            <w:rFonts w:ascii="Segoe UI" w:hAnsi="Segoe UI" w:cs="Segoe UI"/>
            <w:noProof/>
          </w:rPr>
          <w:t>Tax Expenditures Methodology for VAT</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_Toc99298774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29</w:t>
        </w:r>
        <w:r w:rsidR="002F2301" w:rsidRPr="002F2301">
          <w:rPr>
            <w:rFonts w:ascii="Segoe UI" w:hAnsi="Segoe UI" w:cs="Segoe UI"/>
            <w:noProof/>
            <w:webHidden/>
          </w:rPr>
          <w:fldChar w:fldCharType="end"/>
        </w:r>
      </w:hyperlink>
    </w:p>
    <w:p w14:paraId="7E2021DF" w14:textId="08C9F236" w:rsidR="002F2301" w:rsidRPr="002F2301" w:rsidRDefault="00F139FD" w:rsidP="00FD11D9">
      <w:pPr>
        <w:pStyle w:val="TOC3"/>
        <w:tabs>
          <w:tab w:val="right" w:leader="dot" w:pos="9350"/>
        </w:tabs>
        <w:jc w:val="both"/>
        <w:rPr>
          <w:rFonts w:ascii="Segoe UI" w:eastAsiaTheme="minorEastAsia" w:hAnsi="Segoe UI" w:cs="Segoe UI"/>
          <w:noProof/>
          <w:sz w:val="24"/>
          <w:szCs w:val="24"/>
          <w:lang w:val="en-CA"/>
        </w:rPr>
      </w:pPr>
      <w:hyperlink w:anchor="_Toc99298775" w:history="1">
        <w:r w:rsidR="002F2301" w:rsidRPr="002F2301">
          <w:rPr>
            <w:rStyle w:val="Hyperlink"/>
            <w:rFonts w:ascii="Segoe UI" w:hAnsi="Segoe UI" w:cs="Segoe UI"/>
            <w:noProof/>
          </w:rPr>
          <w:t>Costing of Tax Expenditures, 2018-2021</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_Toc99298775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32</w:t>
        </w:r>
        <w:r w:rsidR="002F2301" w:rsidRPr="002F2301">
          <w:rPr>
            <w:rFonts w:ascii="Segoe UI" w:hAnsi="Segoe UI" w:cs="Segoe UI"/>
            <w:noProof/>
            <w:webHidden/>
          </w:rPr>
          <w:fldChar w:fldCharType="end"/>
        </w:r>
      </w:hyperlink>
    </w:p>
    <w:p w14:paraId="31C059AE" w14:textId="16774EAF" w:rsidR="002F2301" w:rsidRPr="002F2301" w:rsidRDefault="00F139FD" w:rsidP="00FD11D9">
      <w:pPr>
        <w:pStyle w:val="TOC2"/>
        <w:tabs>
          <w:tab w:val="left" w:pos="720"/>
          <w:tab w:val="right" w:leader="dot" w:pos="9350"/>
        </w:tabs>
        <w:jc w:val="both"/>
        <w:rPr>
          <w:rFonts w:ascii="Segoe UI" w:eastAsiaTheme="minorEastAsia" w:hAnsi="Segoe UI" w:cs="Segoe UI"/>
          <w:noProof/>
          <w:sz w:val="24"/>
          <w:szCs w:val="24"/>
          <w:lang w:val="en-CA"/>
        </w:rPr>
      </w:pPr>
      <w:hyperlink w:anchor="_Toc99298776" w:history="1">
        <w:r w:rsidR="002F2301" w:rsidRPr="002F2301">
          <w:rPr>
            <w:rStyle w:val="Hyperlink"/>
            <w:rFonts w:ascii="Segoe UI" w:hAnsi="Segoe UI" w:cs="Segoe UI"/>
            <w:noProof/>
          </w:rPr>
          <w:t>V.</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The Way forward</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_Toc99298776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35</w:t>
        </w:r>
        <w:r w:rsidR="002F2301" w:rsidRPr="002F2301">
          <w:rPr>
            <w:rFonts w:ascii="Segoe UI" w:hAnsi="Segoe UI" w:cs="Segoe UI"/>
            <w:noProof/>
            <w:webHidden/>
          </w:rPr>
          <w:fldChar w:fldCharType="end"/>
        </w:r>
      </w:hyperlink>
    </w:p>
    <w:p w14:paraId="3B3D30D1" w14:textId="2A721216" w:rsidR="002F2301" w:rsidRPr="002F2301" w:rsidRDefault="00F139FD" w:rsidP="00FD11D9">
      <w:pPr>
        <w:pStyle w:val="TOC2"/>
        <w:tabs>
          <w:tab w:val="right" w:leader="dot" w:pos="9350"/>
        </w:tabs>
        <w:jc w:val="both"/>
        <w:rPr>
          <w:rFonts w:ascii="Segoe UI" w:eastAsiaTheme="minorEastAsia" w:hAnsi="Segoe UI" w:cs="Segoe UI"/>
          <w:noProof/>
          <w:sz w:val="24"/>
          <w:szCs w:val="24"/>
          <w:lang w:val="en-CA"/>
        </w:rPr>
      </w:pPr>
      <w:hyperlink w:anchor="_Toc99298777" w:history="1">
        <w:r w:rsidR="002F2301" w:rsidRPr="002F2301">
          <w:rPr>
            <w:rStyle w:val="Hyperlink"/>
            <w:rFonts w:ascii="Segoe UI" w:hAnsi="Segoe UI" w:cs="Segoe UI"/>
            <w:noProof/>
          </w:rPr>
          <w:t>References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_Toc99298777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36</w:t>
        </w:r>
        <w:r w:rsidR="002F2301" w:rsidRPr="002F2301">
          <w:rPr>
            <w:rFonts w:ascii="Segoe UI" w:hAnsi="Segoe UI" w:cs="Segoe UI"/>
            <w:noProof/>
            <w:webHidden/>
          </w:rPr>
          <w:fldChar w:fldCharType="end"/>
        </w:r>
      </w:hyperlink>
    </w:p>
    <w:p w14:paraId="35869C24" w14:textId="4A1E0132" w:rsidR="002F2301" w:rsidRPr="002F2301" w:rsidRDefault="00F139FD" w:rsidP="00FD11D9">
      <w:pPr>
        <w:pStyle w:val="TOC2"/>
        <w:tabs>
          <w:tab w:val="left" w:pos="1680"/>
          <w:tab w:val="right" w:leader="dot" w:pos="9350"/>
        </w:tabs>
        <w:jc w:val="both"/>
        <w:rPr>
          <w:rFonts w:ascii="Segoe UI" w:eastAsiaTheme="minorEastAsia" w:hAnsi="Segoe UI" w:cs="Segoe UI"/>
          <w:noProof/>
          <w:sz w:val="24"/>
          <w:szCs w:val="24"/>
          <w:lang w:val="en-CA"/>
        </w:rPr>
      </w:pPr>
      <w:hyperlink w:anchor="_Toc99298778" w:history="1">
        <w:r w:rsidR="002F2301" w:rsidRPr="002F2301">
          <w:rPr>
            <w:rStyle w:val="Hyperlink"/>
            <w:rFonts w:ascii="Segoe UI" w:hAnsi="Segoe UI" w:cs="Segoe UI"/>
            <w:noProof/>
          </w:rPr>
          <w:t>Appendix 1:</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PIT Tax Expenditures Summary Sheets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_Toc99298778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37</w:t>
        </w:r>
        <w:r w:rsidR="002F2301" w:rsidRPr="002F2301">
          <w:rPr>
            <w:rFonts w:ascii="Segoe UI" w:hAnsi="Segoe UI" w:cs="Segoe UI"/>
            <w:noProof/>
            <w:webHidden/>
          </w:rPr>
          <w:fldChar w:fldCharType="end"/>
        </w:r>
      </w:hyperlink>
    </w:p>
    <w:p w14:paraId="0820DF3B" w14:textId="0CB8C574" w:rsidR="002F2301" w:rsidRPr="002F2301" w:rsidRDefault="00F139FD" w:rsidP="00FD11D9">
      <w:pPr>
        <w:pStyle w:val="TOC2"/>
        <w:tabs>
          <w:tab w:val="left" w:pos="1680"/>
          <w:tab w:val="right" w:leader="dot" w:pos="9350"/>
        </w:tabs>
        <w:jc w:val="both"/>
        <w:rPr>
          <w:rFonts w:ascii="Segoe UI" w:eastAsiaTheme="minorEastAsia" w:hAnsi="Segoe UI" w:cs="Segoe UI"/>
          <w:noProof/>
          <w:sz w:val="24"/>
          <w:szCs w:val="24"/>
          <w:lang w:val="en-CA"/>
        </w:rPr>
      </w:pPr>
      <w:hyperlink w:anchor="_Toc99298779" w:history="1">
        <w:r w:rsidR="002F2301" w:rsidRPr="002F2301">
          <w:rPr>
            <w:rStyle w:val="Hyperlink"/>
            <w:rFonts w:ascii="Segoe UI" w:hAnsi="Segoe UI" w:cs="Segoe UI"/>
            <w:noProof/>
          </w:rPr>
          <w:t>Appendix 2:</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BIT Tax Expenditures Summary Sheets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_Toc99298779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53</w:t>
        </w:r>
        <w:r w:rsidR="002F2301" w:rsidRPr="002F2301">
          <w:rPr>
            <w:rFonts w:ascii="Segoe UI" w:hAnsi="Segoe UI" w:cs="Segoe UI"/>
            <w:noProof/>
            <w:webHidden/>
          </w:rPr>
          <w:fldChar w:fldCharType="end"/>
        </w:r>
      </w:hyperlink>
    </w:p>
    <w:p w14:paraId="70209F37" w14:textId="4F7438E5" w:rsidR="002F2301" w:rsidRPr="002F2301" w:rsidRDefault="00F139FD" w:rsidP="00FD11D9">
      <w:pPr>
        <w:pStyle w:val="TOC2"/>
        <w:tabs>
          <w:tab w:val="left" w:pos="1680"/>
          <w:tab w:val="right" w:leader="dot" w:pos="9350"/>
        </w:tabs>
        <w:jc w:val="both"/>
        <w:rPr>
          <w:rFonts w:ascii="Segoe UI" w:eastAsiaTheme="minorEastAsia" w:hAnsi="Segoe UI" w:cs="Segoe UI"/>
          <w:noProof/>
          <w:sz w:val="24"/>
          <w:szCs w:val="24"/>
          <w:lang w:val="en-CA"/>
        </w:rPr>
      </w:pPr>
      <w:hyperlink w:anchor="_Toc99298780" w:history="1">
        <w:r w:rsidR="002F2301" w:rsidRPr="002F2301">
          <w:rPr>
            <w:rStyle w:val="Hyperlink"/>
            <w:rFonts w:ascii="Segoe UI" w:hAnsi="Segoe UI" w:cs="Segoe UI"/>
            <w:noProof/>
          </w:rPr>
          <w:t>Appendix 3:</w:t>
        </w:r>
        <w:r w:rsidR="002F2301" w:rsidRPr="002F2301">
          <w:rPr>
            <w:rFonts w:ascii="Segoe UI" w:eastAsiaTheme="minorEastAsia" w:hAnsi="Segoe UI" w:cs="Segoe UI"/>
            <w:noProof/>
            <w:sz w:val="24"/>
            <w:szCs w:val="24"/>
            <w:lang w:val="en-CA"/>
          </w:rPr>
          <w:tab/>
        </w:r>
        <w:r w:rsidR="002F2301" w:rsidRPr="002F2301">
          <w:rPr>
            <w:rStyle w:val="Hyperlink"/>
            <w:rFonts w:ascii="Segoe UI" w:hAnsi="Segoe UI" w:cs="Segoe UI"/>
            <w:noProof/>
          </w:rPr>
          <w:t>VAT Tax Expenditures Summary Sheets</w:t>
        </w:r>
        <w:r w:rsidR="002F2301" w:rsidRPr="002F2301">
          <w:rPr>
            <w:rFonts w:ascii="Segoe UI" w:hAnsi="Segoe UI" w:cs="Segoe UI"/>
            <w:noProof/>
            <w:webHidden/>
          </w:rPr>
          <w:tab/>
        </w:r>
        <w:r w:rsidR="002F2301" w:rsidRPr="002F2301">
          <w:rPr>
            <w:rFonts w:ascii="Segoe UI" w:hAnsi="Segoe UI" w:cs="Segoe UI"/>
            <w:noProof/>
            <w:webHidden/>
          </w:rPr>
          <w:fldChar w:fldCharType="begin"/>
        </w:r>
        <w:r w:rsidR="002F2301" w:rsidRPr="002F2301">
          <w:rPr>
            <w:rFonts w:ascii="Segoe UI" w:hAnsi="Segoe UI" w:cs="Segoe UI"/>
            <w:noProof/>
            <w:webHidden/>
          </w:rPr>
          <w:instrText xml:space="preserve"> PAGEREF _Toc99298780 \h </w:instrText>
        </w:r>
        <w:r w:rsidR="002F2301" w:rsidRPr="002F2301">
          <w:rPr>
            <w:rFonts w:ascii="Segoe UI" w:hAnsi="Segoe UI" w:cs="Segoe UI"/>
            <w:noProof/>
            <w:webHidden/>
          </w:rPr>
        </w:r>
        <w:r w:rsidR="002F2301" w:rsidRPr="002F2301">
          <w:rPr>
            <w:rFonts w:ascii="Segoe UI" w:hAnsi="Segoe UI" w:cs="Segoe UI"/>
            <w:noProof/>
            <w:webHidden/>
          </w:rPr>
          <w:fldChar w:fldCharType="separate"/>
        </w:r>
        <w:r w:rsidR="002E0D97">
          <w:rPr>
            <w:rFonts w:ascii="Segoe UI" w:hAnsi="Segoe UI" w:cs="Segoe UI"/>
            <w:noProof/>
            <w:webHidden/>
          </w:rPr>
          <w:t>64</w:t>
        </w:r>
        <w:r w:rsidR="002F2301" w:rsidRPr="002F2301">
          <w:rPr>
            <w:rFonts w:ascii="Segoe UI" w:hAnsi="Segoe UI" w:cs="Segoe UI"/>
            <w:noProof/>
            <w:webHidden/>
          </w:rPr>
          <w:fldChar w:fldCharType="end"/>
        </w:r>
      </w:hyperlink>
    </w:p>
    <w:p w14:paraId="0EE4C98C" w14:textId="2E88F772" w:rsidR="00495C61" w:rsidRPr="00CB1E53" w:rsidRDefault="00495C61" w:rsidP="00FD11D9">
      <w:pPr>
        <w:spacing w:after="120" w:line="264" w:lineRule="auto"/>
        <w:jc w:val="both"/>
        <w:rPr>
          <w:rFonts w:ascii="Segoe UI" w:hAnsi="Segoe UI" w:cs="Segoe UI"/>
          <w:b/>
          <w:bCs/>
        </w:rPr>
      </w:pPr>
      <w:r w:rsidRPr="002F2301">
        <w:rPr>
          <w:rFonts w:ascii="Segoe UI" w:hAnsi="Segoe UI" w:cs="Segoe UI"/>
          <w:b/>
          <w:bCs/>
          <w:sz w:val="21"/>
          <w:szCs w:val="21"/>
        </w:rPr>
        <w:fldChar w:fldCharType="end"/>
      </w:r>
    </w:p>
    <w:p w14:paraId="49711F6B" w14:textId="77777777" w:rsidR="008C790C" w:rsidRPr="00CB1E53" w:rsidRDefault="008C790C" w:rsidP="00FD11D9">
      <w:pPr>
        <w:spacing w:after="120" w:line="264" w:lineRule="auto"/>
        <w:jc w:val="both"/>
        <w:rPr>
          <w:rFonts w:ascii="Segoe UI" w:hAnsi="Segoe UI" w:cs="Segoe UI"/>
          <w:b/>
          <w:bCs/>
        </w:rPr>
      </w:pPr>
    </w:p>
    <w:p w14:paraId="5778BD84" w14:textId="184649BC" w:rsidR="00495C61" w:rsidRPr="00CB1E53" w:rsidRDefault="00495C61" w:rsidP="00FD11D9">
      <w:pPr>
        <w:pStyle w:val="Heading2"/>
        <w:jc w:val="both"/>
      </w:pPr>
      <w:bookmarkStart w:id="1" w:name="_Toc96775173"/>
      <w:r w:rsidRPr="00CB1E53">
        <w:br w:type="page"/>
      </w:r>
    </w:p>
    <w:p w14:paraId="28D0C10B" w14:textId="053B8562" w:rsidR="00F77F6D" w:rsidRPr="00CB1E53" w:rsidRDefault="00F77F6D" w:rsidP="00FD11D9">
      <w:pPr>
        <w:pStyle w:val="Heading2"/>
        <w:jc w:val="both"/>
      </w:pPr>
      <w:bookmarkStart w:id="2" w:name="_Toc99298751"/>
      <w:r w:rsidRPr="00CB1E53">
        <w:lastRenderedPageBreak/>
        <w:t>Acronyms</w:t>
      </w:r>
      <w:bookmarkEnd w:id="1"/>
      <w:bookmarkEnd w:id="2"/>
    </w:p>
    <w:p w14:paraId="3D6A1A1C" w14:textId="7DA20A18"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BIT</w:t>
      </w:r>
      <w:r w:rsidRPr="00CB1E53">
        <w:rPr>
          <w:rFonts w:ascii="Segoe UI" w:hAnsi="Segoe UI" w:cs="Segoe UI"/>
          <w:sz w:val="21"/>
          <w:szCs w:val="21"/>
        </w:rPr>
        <w:tab/>
      </w:r>
      <w:r w:rsidRPr="00CB1E53">
        <w:rPr>
          <w:rFonts w:ascii="Segoe UI" w:hAnsi="Segoe UI" w:cs="Segoe UI"/>
          <w:sz w:val="21"/>
          <w:szCs w:val="21"/>
        </w:rPr>
        <w:tab/>
        <w:t>Business Income Tax or Corporate Income Tax</w:t>
      </w:r>
      <w:r w:rsidR="00206468">
        <w:rPr>
          <w:rFonts w:ascii="Segoe UI" w:hAnsi="Segoe UI" w:cs="Segoe UI"/>
          <w:sz w:val="21"/>
          <w:szCs w:val="21"/>
        </w:rPr>
        <w:t xml:space="preserve"> (CIT)</w:t>
      </w:r>
    </w:p>
    <w:p w14:paraId="73A567A1" w14:textId="77777777" w:rsidR="00495C61" w:rsidRPr="00CB1E53" w:rsidRDefault="00495C61" w:rsidP="00FD11D9">
      <w:pPr>
        <w:spacing w:after="120" w:line="264" w:lineRule="auto"/>
        <w:jc w:val="both"/>
        <w:rPr>
          <w:rFonts w:ascii="Segoe UI" w:hAnsi="Segoe UI" w:cs="Segoe UI"/>
          <w:sz w:val="21"/>
          <w:szCs w:val="21"/>
        </w:rPr>
      </w:pPr>
      <w:r w:rsidRPr="00CB1E53">
        <w:rPr>
          <w:rFonts w:ascii="Segoe UI" w:hAnsi="Segoe UI" w:cs="Segoe UI"/>
          <w:sz w:val="21"/>
          <w:szCs w:val="21"/>
        </w:rPr>
        <w:t>CGT</w:t>
      </w:r>
      <w:r w:rsidRPr="00CB1E53">
        <w:rPr>
          <w:rFonts w:ascii="Segoe UI" w:hAnsi="Segoe UI" w:cs="Segoe UI"/>
          <w:sz w:val="21"/>
          <w:szCs w:val="21"/>
        </w:rPr>
        <w:tab/>
      </w:r>
      <w:r w:rsidRPr="00CB1E53">
        <w:rPr>
          <w:rFonts w:ascii="Segoe UI" w:hAnsi="Segoe UI" w:cs="Segoe UI"/>
          <w:sz w:val="21"/>
          <w:szCs w:val="21"/>
        </w:rPr>
        <w:tab/>
        <w:t>Capital Gains Tax</w:t>
      </w:r>
    </w:p>
    <w:p w14:paraId="2A7875D8"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COA</w:t>
      </w:r>
      <w:r w:rsidRPr="00CB1E53">
        <w:rPr>
          <w:rFonts w:ascii="Segoe UI" w:hAnsi="Segoe UI" w:cs="Segoe UI"/>
          <w:sz w:val="21"/>
          <w:szCs w:val="21"/>
        </w:rPr>
        <w:tab/>
      </w:r>
      <w:r w:rsidRPr="00CB1E53">
        <w:rPr>
          <w:rFonts w:ascii="Segoe UI" w:hAnsi="Segoe UI" w:cs="Segoe UI"/>
          <w:sz w:val="21"/>
          <w:szCs w:val="21"/>
        </w:rPr>
        <w:tab/>
        <w:t>Court of Accounts</w:t>
      </w:r>
    </w:p>
    <w:p w14:paraId="42B99E26"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GDP</w:t>
      </w:r>
      <w:r w:rsidRPr="00CB1E53">
        <w:rPr>
          <w:rFonts w:ascii="Segoe UI" w:hAnsi="Segoe UI" w:cs="Segoe UI"/>
          <w:sz w:val="21"/>
          <w:szCs w:val="21"/>
        </w:rPr>
        <w:tab/>
      </w:r>
      <w:r w:rsidRPr="00CB1E53">
        <w:rPr>
          <w:rFonts w:ascii="Segoe UI" w:hAnsi="Segoe UI" w:cs="Segoe UI"/>
          <w:sz w:val="21"/>
          <w:szCs w:val="21"/>
        </w:rPr>
        <w:tab/>
        <w:t>Gross Domestic Product</w:t>
      </w:r>
    </w:p>
    <w:p w14:paraId="65F4E38E"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GFS</w:t>
      </w:r>
      <w:r w:rsidRPr="00CB1E53">
        <w:rPr>
          <w:rFonts w:ascii="Segoe UI" w:hAnsi="Segoe UI" w:cs="Segoe UI"/>
          <w:sz w:val="21"/>
          <w:szCs w:val="21"/>
        </w:rPr>
        <w:tab/>
      </w:r>
      <w:r w:rsidRPr="00CB1E53">
        <w:rPr>
          <w:rFonts w:ascii="Segoe UI" w:hAnsi="Segoe UI" w:cs="Segoe UI"/>
          <w:sz w:val="21"/>
          <w:szCs w:val="21"/>
        </w:rPr>
        <w:tab/>
        <w:t>Government Finance Statistics</w:t>
      </w:r>
    </w:p>
    <w:p w14:paraId="7ECAB0EC"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HBS</w:t>
      </w:r>
      <w:r w:rsidRPr="00CB1E53">
        <w:rPr>
          <w:rFonts w:ascii="Segoe UI" w:hAnsi="Segoe UI" w:cs="Segoe UI"/>
          <w:sz w:val="21"/>
          <w:szCs w:val="21"/>
        </w:rPr>
        <w:tab/>
      </w:r>
      <w:r w:rsidRPr="00CB1E53">
        <w:rPr>
          <w:rFonts w:ascii="Segoe UI" w:hAnsi="Segoe UI" w:cs="Segoe UI"/>
          <w:sz w:val="21"/>
          <w:szCs w:val="21"/>
        </w:rPr>
        <w:tab/>
        <w:t>Household Budget Survey</w:t>
      </w:r>
    </w:p>
    <w:p w14:paraId="40F254FB"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HS</w:t>
      </w:r>
      <w:r w:rsidRPr="00CB1E53">
        <w:rPr>
          <w:rFonts w:ascii="Segoe UI" w:hAnsi="Segoe UI" w:cs="Segoe UI"/>
          <w:sz w:val="21"/>
          <w:szCs w:val="21"/>
        </w:rPr>
        <w:tab/>
      </w:r>
      <w:r w:rsidRPr="00CB1E53">
        <w:rPr>
          <w:rFonts w:ascii="Segoe UI" w:hAnsi="Segoe UI" w:cs="Segoe UI"/>
          <w:sz w:val="21"/>
          <w:szCs w:val="21"/>
        </w:rPr>
        <w:tab/>
        <w:t>Harmonized (Commodity Description and Coding) System</w:t>
      </w:r>
    </w:p>
    <w:p w14:paraId="2BB2F5C7"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IMF</w:t>
      </w:r>
      <w:r w:rsidRPr="00CB1E53">
        <w:rPr>
          <w:rFonts w:ascii="Segoe UI" w:hAnsi="Segoe UI" w:cs="Segoe UI"/>
          <w:sz w:val="21"/>
          <w:szCs w:val="21"/>
        </w:rPr>
        <w:tab/>
      </w:r>
      <w:r w:rsidRPr="00CB1E53">
        <w:rPr>
          <w:rFonts w:ascii="Segoe UI" w:hAnsi="Segoe UI" w:cs="Segoe UI"/>
          <w:sz w:val="21"/>
          <w:szCs w:val="21"/>
        </w:rPr>
        <w:tab/>
        <w:t>International Monetary Fund</w:t>
      </w:r>
    </w:p>
    <w:p w14:paraId="0DCD1077" w14:textId="4BF73A48" w:rsidR="000C2B1D" w:rsidRPr="00CB1E53" w:rsidRDefault="000C2B1D" w:rsidP="00FD11D9">
      <w:pPr>
        <w:spacing w:after="120" w:line="264" w:lineRule="auto"/>
        <w:jc w:val="both"/>
        <w:rPr>
          <w:rFonts w:ascii="Segoe UI" w:hAnsi="Segoe UI" w:cs="Segoe UI"/>
          <w:sz w:val="21"/>
          <w:szCs w:val="21"/>
        </w:rPr>
      </w:pPr>
      <w:r w:rsidRPr="00CB1E53">
        <w:rPr>
          <w:rFonts w:ascii="Segoe UI" w:hAnsi="Segoe UI" w:cs="Segoe UI"/>
          <w:sz w:val="21"/>
          <w:szCs w:val="21"/>
        </w:rPr>
        <w:t>ITC</w:t>
      </w:r>
      <w:r w:rsidRPr="00CB1E53">
        <w:rPr>
          <w:rFonts w:ascii="Segoe UI" w:hAnsi="Segoe UI" w:cs="Segoe UI"/>
          <w:sz w:val="21"/>
          <w:szCs w:val="21"/>
        </w:rPr>
        <w:tab/>
      </w:r>
      <w:r w:rsidRPr="00CB1E53">
        <w:rPr>
          <w:rFonts w:ascii="Segoe UI" w:hAnsi="Segoe UI" w:cs="Segoe UI"/>
          <w:sz w:val="21"/>
          <w:szCs w:val="21"/>
        </w:rPr>
        <w:tab/>
        <w:t>Input Tax Credit</w:t>
      </w:r>
    </w:p>
    <w:p w14:paraId="0B8BAFE8" w14:textId="53BCD1E5"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MCS</w:t>
      </w:r>
      <w:r w:rsidRPr="00CB1E53">
        <w:rPr>
          <w:rFonts w:ascii="Segoe UI" w:hAnsi="Segoe UI" w:cs="Segoe UI"/>
          <w:sz w:val="21"/>
          <w:szCs w:val="21"/>
        </w:rPr>
        <w:tab/>
      </w:r>
      <w:r w:rsidRPr="00CB1E53">
        <w:rPr>
          <w:rFonts w:ascii="Segoe UI" w:hAnsi="Segoe UI" w:cs="Segoe UI"/>
          <w:sz w:val="21"/>
          <w:szCs w:val="21"/>
        </w:rPr>
        <w:tab/>
        <w:t>Moldovan Customs Service</w:t>
      </w:r>
    </w:p>
    <w:p w14:paraId="08E81E3E" w14:textId="2A2B3BAE"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MDL</w:t>
      </w:r>
      <w:r w:rsidRPr="00CB1E53">
        <w:rPr>
          <w:rFonts w:ascii="Segoe UI" w:hAnsi="Segoe UI" w:cs="Segoe UI"/>
          <w:sz w:val="21"/>
          <w:szCs w:val="21"/>
        </w:rPr>
        <w:tab/>
      </w:r>
      <w:r w:rsidRPr="00CB1E53">
        <w:rPr>
          <w:rFonts w:ascii="Segoe UI" w:hAnsi="Segoe UI" w:cs="Segoe UI"/>
          <w:sz w:val="21"/>
          <w:szCs w:val="21"/>
        </w:rPr>
        <w:tab/>
        <w:t xml:space="preserve">Moldovan </w:t>
      </w:r>
      <w:r w:rsidR="00206468">
        <w:rPr>
          <w:rFonts w:ascii="Segoe UI" w:hAnsi="Segoe UI" w:cs="Segoe UI"/>
          <w:sz w:val="21"/>
          <w:szCs w:val="21"/>
        </w:rPr>
        <w:t>Leu</w:t>
      </w:r>
    </w:p>
    <w:p w14:paraId="4BDCE486"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MOF</w:t>
      </w:r>
      <w:r w:rsidRPr="00CB1E53">
        <w:rPr>
          <w:rFonts w:ascii="Segoe UI" w:hAnsi="Segoe UI" w:cs="Segoe UI"/>
          <w:sz w:val="21"/>
          <w:szCs w:val="21"/>
        </w:rPr>
        <w:tab/>
      </w:r>
      <w:r w:rsidRPr="00CB1E53">
        <w:rPr>
          <w:rFonts w:ascii="Segoe UI" w:hAnsi="Segoe UI" w:cs="Segoe UI"/>
          <w:sz w:val="21"/>
          <w:szCs w:val="21"/>
        </w:rPr>
        <w:tab/>
        <w:t>Ministry of Finance</w:t>
      </w:r>
    </w:p>
    <w:p w14:paraId="7437C4C4"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NBS</w:t>
      </w:r>
      <w:r w:rsidRPr="00CB1E53">
        <w:rPr>
          <w:rFonts w:ascii="Segoe UI" w:hAnsi="Segoe UI" w:cs="Segoe UI"/>
          <w:sz w:val="21"/>
          <w:szCs w:val="21"/>
        </w:rPr>
        <w:tab/>
      </w:r>
      <w:r w:rsidRPr="00CB1E53">
        <w:rPr>
          <w:rFonts w:ascii="Segoe UI" w:hAnsi="Segoe UI" w:cs="Segoe UI"/>
          <w:sz w:val="21"/>
          <w:szCs w:val="21"/>
        </w:rPr>
        <w:tab/>
        <w:t>National Bureau of Statistics</w:t>
      </w:r>
    </w:p>
    <w:p w14:paraId="1A84761C"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PFM</w:t>
      </w:r>
      <w:r w:rsidRPr="00CB1E53">
        <w:rPr>
          <w:rFonts w:ascii="Segoe UI" w:hAnsi="Segoe UI" w:cs="Segoe UI"/>
          <w:sz w:val="21"/>
          <w:szCs w:val="21"/>
        </w:rPr>
        <w:tab/>
      </w:r>
      <w:r w:rsidRPr="00CB1E53">
        <w:rPr>
          <w:rFonts w:ascii="Segoe UI" w:hAnsi="Segoe UI" w:cs="Segoe UI"/>
          <w:sz w:val="21"/>
          <w:szCs w:val="21"/>
        </w:rPr>
        <w:tab/>
        <w:t>Public Finance Management</w:t>
      </w:r>
    </w:p>
    <w:p w14:paraId="66B3E104"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PIT</w:t>
      </w:r>
      <w:r w:rsidRPr="00CB1E53">
        <w:rPr>
          <w:rFonts w:ascii="Segoe UI" w:hAnsi="Segoe UI" w:cs="Segoe UI"/>
          <w:sz w:val="21"/>
          <w:szCs w:val="21"/>
        </w:rPr>
        <w:tab/>
      </w:r>
      <w:r w:rsidRPr="00CB1E53">
        <w:rPr>
          <w:rFonts w:ascii="Segoe UI" w:hAnsi="Segoe UI" w:cs="Segoe UI"/>
          <w:sz w:val="21"/>
          <w:szCs w:val="21"/>
        </w:rPr>
        <w:tab/>
        <w:t>Personal Income Tax</w:t>
      </w:r>
    </w:p>
    <w:p w14:paraId="1DCC5648"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R&amp;D</w:t>
      </w:r>
      <w:r w:rsidRPr="00CB1E53">
        <w:rPr>
          <w:rFonts w:ascii="Segoe UI" w:hAnsi="Segoe UI" w:cs="Segoe UI"/>
          <w:sz w:val="21"/>
          <w:szCs w:val="21"/>
        </w:rPr>
        <w:tab/>
      </w:r>
      <w:r w:rsidRPr="00CB1E53">
        <w:rPr>
          <w:rFonts w:ascii="Segoe UI" w:hAnsi="Segoe UI" w:cs="Segoe UI"/>
          <w:sz w:val="21"/>
          <w:szCs w:val="21"/>
        </w:rPr>
        <w:tab/>
        <w:t>Research and development</w:t>
      </w:r>
    </w:p>
    <w:p w14:paraId="4316DD5A"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SME</w:t>
      </w:r>
      <w:r w:rsidRPr="00CB1E53">
        <w:rPr>
          <w:rFonts w:ascii="Segoe UI" w:hAnsi="Segoe UI" w:cs="Segoe UI"/>
          <w:sz w:val="21"/>
          <w:szCs w:val="21"/>
        </w:rPr>
        <w:tab/>
      </w:r>
      <w:r w:rsidRPr="00CB1E53">
        <w:rPr>
          <w:rFonts w:ascii="Segoe UI" w:hAnsi="Segoe UI" w:cs="Segoe UI"/>
          <w:sz w:val="21"/>
          <w:szCs w:val="21"/>
        </w:rPr>
        <w:tab/>
        <w:t>Small and Medium Enterprise(s)</w:t>
      </w:r>
    </w:p>
    <w:p w14:paraId="5F368D53"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SSC</w:t>
      </w:r>
      <w:r w:rsidRPr="00CB1E53">
        <w:rPr>
          <w:rFonts w:ascii="Segoe UI" w:hAnsi="Segoe UI" w:cs="Segoe UI"/>
          <w:sz w:val="21"/>
          <w:szCs w:val="21"/>
        </w:rPr>
        <w:tab/>
      </w:r>
      <w:r w:rsidRPr="00CB1E53">
        <w:rPr>
          <w:rFonts w:ascii="Segoe UI" w:hAnsi="Segoe UI" w:cs="Segoe UI"/>
          <w:sz w:val="21"/>
          <w:szCs w:val="21"/>
        </w:rPr>
        <w:tab/>
        <w:t>Social Security Contribution</w:t>
      </w:r>
    </w:p>
    <w:p w14:paraId="4AD89BDE"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STS</w:t>
      </w:r>
      <w:r w:rsidRPr="00CB1E53">
        <w:rPr>
          <w:rFonts w:ascii="Segoe UI" w:hAnsi="Segoe UI" w:cs="Segoe UI"/>
          <w:sz w:val="21"/>
          <w:szCs w:val="21"/>
        </w:rPr>
        <w:tab/>
      </w:r>
      <w:r w:rsidRPr="00CB1E53">
        <w:rPr>
          <w:rFonts w:ascii="Segoe UI" w:hAnsi="Segoe UI" w:cs="Segoe UI"/>
          <w:sz w:val="21"/>
          <w:szCs w:val="21"/>
        </w:rPr>
        <w:tab/>
        <w:t>State Tax Service</w:t>
      </w:r>
    </w:p>
    <w:p w14:paraId="72E07102"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SUT</w:t>
      </w:r>
      <w:r w:rsidRPr="00CB1E53">
        <w:rPr>
          <w:rFonts w:ascii="Segoe UI" w:hAnsi="Segoe UI" w:cs="Segoe UI"/>
          <w:sz w:val="21"/>
          <w:szCs w:val="21"/>
        </w:rPr>
        <w:tab/>
      </w:r>
      <w:r w:rsidRPr="00CB1E53">
        <w:rPr>
          <w:rFonts w:ascii="Segoe UI" w:hAnsi="Segoe UI" w:cs="Segoe UI"/>
          <w:sz w:val="21"/>
          <w:szCs w:val="21"/>
        </w:rPr>
        <w:tab/>
        <w:t>Supply-Use Table</w:t>
      </w:r>
    </w:p>
    <w:p w14:paraId="275C4001"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TC</w:t>
      </w:r>
      <w:r w:rsidRPr="00CB1E53">
        <w:rPr>
          <w:rFonts w:ascii="Segoe UI" w:hAnsi="Segoe UI" w:cs="Segoe UI"/>
          <w:sz w:val="21"/>
          <w:szCs w:val="21"/>
        </w:rPr>
        <w:tab/>
      </w:r>
      <w:r w:rsidRPr="00CB1E53">
        <w:rPr>
          <w:rFonts w:ascii="Segoe UI" w:hAnsi="Segoe UI" w:cs="Segoe UI"/>
          <w:sz w:val="21"/>
          <w:szCs w:val="21"/>
        </w:rPr>
        <w:tab/>
        <w:t>Tax Code</w:t>
      </w:r>
    </w:p>
    <w:p w14:paraId="19103DF5"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TCPU</w:t>
      </w:r>
      <w:r w:rsidRPr="00CB1E53">
        <w:rPr>
          <w:rFonts w:ascii="Segoe UI" w:hAnsi="Segoe UI" w:cs="Segoe UI"/>
          <w:sz w:val="21"/>
          <w:szCs w:val="21"/>
        </w:rPr>
        <w:tab/>
      </w:r>
      <w:r w:rsidRPr="00CB1E53">
        <w:rPr>
          <w:rFonts w:ascii="Segoe UI" w:hAnsi="Segoe UI" w:cs="Segoe UI"/>
          <w:sz w:val="21"/>
          <w:szCs w:val="21"/>
        </w:rPr>
        <w:tab/>
        <w:t>Tax and Customs Policy Unit</w:t>
      </w:r>
    </w:p>
    <w:p w14:paraId="1F25A072"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TE</w:t>
      </w:r>
      <w:r w:rsidRPr="00CB1E53">
        <w:rPr>
          <w:rFonts w:ascii="Segoe UI" w:hAnsi="Segoe UI" w:cs="Segoe UI"/>
          <w:sz w:val="21"/>
          <w:szCs w:val="21"/>
        </w:rPr>
        <w:tab/>
      </w:r>
      <w:r w:rsidRPr="00CB1E53">
        <w:rPr>
          <w:rFonts w:ascii="Segoe UI" w:hAnsi="Segoe UI" w:cs="Segoe UI"/>
          <w:sz w:val="21"/>
          <w:szCs w:val="21"/>
        </w:rPr>
        <w:tab/>
        <w:t>Tax Expenditure</w:t>
      </w:r>
    </w:p>
    <w:p w14:paraId="382F8D73" w14:textId="2BE46078" w:rsidR="00514AA0" w:rsidRPr="00CB1E53" w:rsidRDefault="00514AA0" w:rsidP="00FD11D9">
      <w:pPr>
        <w:spacing w:after="120" w:line="264" w:lineRule="auto"/>
        <w:jc w:val="both"/>
        <w:rPr>
          <w:rFonts w:ascii="Segoe UI" w:hAnsi="Segoe UI" w:cs="Segoe UI"/>
          <w:sz w:val="21"/>
          <w:szCs w:val="21"/>
        </w:rPr>
      </w:pPr>
      <w:r w:rsidRPr="00CB1E53">
        <w:rPr>
          <w:rFonts w:ascii="Segoe UI" w:hAnsi="Segoe UI" w:cs="Segoe UI"/>
          <w:sz w:val="21"/>
          <w:szCs w:val="21"/>
        </w:rPr>
        <w:t>TEAR</w:t>
      </w:r>
      <w:r w:rsidRPr="00CB1E53">
        <w:rPr>
          <w:rFonts w:ascii="Segoe UI" w:hAnsi="Segoe UI" w:cs="Segoe UI"/>
          <w:sz w:val="21"/>
          <w:szCs w:val="21"/>
        </w:rPr>
        <w:tab/>
      </w:r>
      <w:r w:rsidRPr="00CB1E53">
        <w:rPr>
          <w:rFonts w:ascii="Segoe UI" w:hAnsi="Segoe UI" w:cs="Segoe UI"/>
          <w:sz w:val="21"/>
          <w:szCs w:val="21"/>
        </w:rPr>
        <w:tab/>
        <w:t xml:space="preserve">Tax Expenditure Assessment </w:t>
      </w:r>
      <w:r w:rsidR="00156AA4" w:rsidRPr="00CB1E53">
        <w:rPr>
          <w:rFonts w:ascii="Segoe UI" w:hAnsi="Segoe UI" w:cs="Segoe UI"/>
          <w:sz w:val="21"/>
          <w:szCs w:val="21"/>
        </w:rPr>
        <w:t>R</w:t>
      </w:r>
      <w:r w:rsidRPr="00CB1E53">
        <w:rPr>
          <w:rFonts w:ascii="Segoe UI" w:hAnsi="Segoe UI" w:cs="Segoe UI"/>
          <w:sz w:val="21"/>
          <w:szCs w:val="21"/>
        </w:rPr>
        <w:t>eport</w:t>
      </w:r>
    </w:p>
    <w:p w14:paraId="0188F0FC" w14:textId="637C7208"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VAT</w:t>
      </w:r>
      <w:r w:rsidRPr="00CB1E53">
        <w:rPr>
          <w:rFonts w:ascii="Segoe UI" w:hAnsi="Segoe UI" w:cs="Segoe UI"/>
          <w:sz w:val="21"/>
          <w:szCs w:val="21"/>
        </w:rPr>
        <w:tab/>
      </w:r>
      <w:r w:rsidRPr="00CB1E53">
        <w:rPr>
          <w:rFonts w:ascii="Segoe UI" w:hAnsi="Segoe UI" w:cs="Segoe UI"/>
          <w:sz w:val="21"/>
          <w:szCs w:val="21"/>
        </w:rPr>
        <w:tab/>
        <w:t>Value Added Tax</w:t>
      </w:r>
    </w:p>
    <w:p w14:paraId="5A146815" w14:textId="77777777"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br w:type="page"/>
      </w:r>
    </w:p>
    <w:p w14:paraId="5BE9C991" w14:textId="77777777" w:rsidR="00F77F6D" w:rsidRPr="00CB1E53" w:rsidRDefault="00F77F6D" w:rsidP="00FD11D9">
      <w:pPr>
        <w:pStyle w:val="Heading2"/>
        <w:jc w:val="both"/>
      </w:pPr>
      <w:bookmarkStart w:id="3" w:name="_Toc99298752"/>
      <w:r w:rsidRPr="00CB1E53">
        <w:lastRenderedPageBreak/>
        <w:t>Executive Summary and Key Findings</w:t>
      </w:r>
      <w:bookmarkEnd w:id="3"/>
    </w:p>
    <w:p w14:paraId="586DF47A" w14:textId="29B2447C" w:rsidR="00D25C90" w:rsidRPr="00CB1E53" w:rsidRDefault="00D25C90" w:rsidP="00FD11D9">
      <w:pPr>
        <w:spacing w:after="240"/>
        <w:jc w:val="both"/>
        <w:rPr>
          <w:rFonts w:ascii="Segoe UI" w:hAnsi="Segoe UI" w:cs="Segoe UI"/>
          <w:sz w:val="21"/>
          <w:szCs w:val="21"/>
        </w:rPr>
      </w:pPr>
      <w:r w:rsidRPr="00CB1E53">
        <w:rPr>
          <w:rFonts w:ascii="Segoe UI" w:hAnsi="Segoe UI" w:cs="Segoe UI"/>
          <w:sz w:val="21"/>
          <w:szCs w:val="21"/>
        </w:rPr>
        <w:t xml:space="preserve">The key goal of </w:t>
      </w:r>
      <w:r w:rsidR="00206C5F" w:rsidRPr="00CB1E53">
        <w:rPr>
          <w:rFonts w:ascii="Segoe UI" w:hAnsi="Segoe UI" w:cs="Segoe UI"/>
          <w:sz w:val="21"/>
          <w:szCs w:val="21"/>
        </w:rPr>
        <w:t>any</w:t>
      </w:r>
      <w:r w:rsidRPr="00CB1E53">
        <w:rPr>
          <w:rFonts w:ascii="Segoe UI" w:hAnsi="Segoe UI" w:cs="Segoe UI"/>
          <w:sz w:val="21"/>
          <w:szCs w:val="21"/>
        </w:rPr>
        <w:t xml:space="preserve"> tax system is to generate sufficient revenue for government spending. </w:t>
      </w:r>
      <w:r w:rsidR="00206C5F" w:rsidRPr="00CB1E53">
        <w:rPr>
          <w:rFonts w:ascii="Segoe UI" w:hAnsi="Segoe UI" w:cs="Segoe UI"/>
          <w:sz w:val="21"/>
          <w:szCs w:val="21"/>
        </w:rPr>
        <w:t>I</w:t>
      </w:r>
      <w:r w:rsidRPr="00CB1E53">
        <w:rPr>
          <w:rFonts w:ascii="Segoe UI" w:hAnsi="Segoe UI" w:cs="Segoe UI"/>
          <w:sz w:val="21"/>
          <w:szCs w:val="21"/>
        </w:rPr>
        <w:t xml:space="preserve">t </w:t>
      </w:r>
      <w:r w:rsidR="00206C5F" w:rsidRPr="00CB1E53">
        <w:rPr>
          <w:rFonts w:ascii="Segoe UI" w:hAnsi="Segoe UI" w:cs="Segoe UI"/>
          <w:sz w:val="21"/>
          <w:szCs w:val="21"/>
        </w:rPr>
        <w:t>can</w:t>
      </w:r>
      <w:r w:rsidRPr="00CB1E53">
        <w:rPr>
          <w:rFonts w:ascii="Segoe UI" w:hAnsi="Segoe UI" w:cs="Segoe UI"/>
          <w:sz w:val="21"/>
          <w:szCs w:val="21"/>
        </w:rPr>
        <w:t xml:space="preserve"> </w:t>
      </w:r>
      <w:r w:rsidR="00206C5F" w:rsidRPr="00CB1E53">
        <w:rPr>
          <w:rFonts w:ascii="Segoe UI" w:hAnsi="Segoe UI" w:cs="Segoe UI"/>
          <w:sz w:val="21"/>
          <w:szCs w:val="21"/>
        </w:rPr>
        <w:t xml:space="preserve">be </w:t>
      </w:r>
      <w:r w:rsidRPr="00CB1E53">
        <w:rPr>
          <w:rFonts w:ascii="Segoe UI" w:hAnsi="Segoe UI" w:cs="Segoe UI"/>
          <w:sz w:val="21"/>
          <w:szCs w:val="21"/>
        </w:rPr>
        <w:t xml:space="preserve">also used to advance certain socioeconomic objectives through targeted tax exemptions, deductions, reduced tax rates, deferrals, or tax credits. Tax expenditures </w:t>
      </w:r>
      <w:r w:rsidR="00206C5F" w:rsidRPr="00CB1E53">
        <w:rPr>
          <w:rFonts w:ascii="Segoe UI" w:hAnsi="Segoe UI" w:cs="Segoe UI"/>
          <w:sz w:val="21"/>
          <w:szCs w:val="21"/>
        </w:rPr>
        <w:t xml:space="preserve">(TEs) </w:t>
      </w:r>
      <w:r w:rsidRPr="00CB1E53">
        <w:rPr>
          <w:rFonts w:ascii="Segoe UI" w:hAnsi="Segoe UI" w:cs="Segoe UI"/>
          <w:sz w:val="21"/>
          <w:szCs w:val="21"/>
        </w:rPr>
        <w:t xml:space="preserve">are estimates of the total revenue forgone as a result of these preferential tax treatments. This first Moldovan tax expenditure assessment report (TEAR) presents the revenue forgone costs of identified tax expenditures provided for in the </w:t>
      </w:r>
      <w:r w:rsidR="002F1018" w:rsidRPr="00CB1E53">
        <w:rPr>
          <w:rFonts w:ascii="Segoe UI" w:hAnsi="Segoe UI" w:cs="Segoe UI"/>
          <w:sz w:val="21"/>
          <w:szCs w:val="21"/>
        </w:rPr>
        <w:t>Personal Income Tax (PIT)</w:t>
      </w:r>
      <w:r w:rsidR="002F1018">
        <w:rPr>
          <w:rFonts w:ascii="Segoe UI" w:hAnsi="Segoe UI" w:cs="Segoe UI"/>
          <w:sz w:val="21"/>
          <w:szCs w:val="21"/>
        </w:rPr>
        <w:t xml:space="preserve">, </w:t>
      </w:r>
      <w:r w:rsidRPr="00CB1E53">
        <w:rPr>
          <w:rFonts w:ascii="Segoe UI" w:hAnsi="Segoe UI" w:cs="Segoe UI"/>
          <w:sz w:val="21"/>
          <w:szCs w:val="21"/>
        </w:rPr>
        <w:t xml:space="preserve">Business Income Tax (BIT), and Value-added Tax (VAT). In the future, this quantitative effort would be expanded to </w:t>
      </w:r>
      <w:r w:rsidR="002F1018">
        <w:rPr>
          <w:rFonts w:ascii="Segoe UI" w:hAnsi="Segoe UI" w:cs="Segoe UI"/>
          <w:sz w:val="21"/>
          <w:szCs w:val="21"/>
        </w:rPr>
        <w:t>e</w:t>
      </w:r>
      <w:r w:rsidRPr="00CB1E53">
        <w:rPr>
          <w:rFonts w:ascii="Segoe UI" w:hAnsi="Segoe UI" w:cs="Segoe UI"/>
          <w:sz w:val="21"/>
          <w:szCs w:val="21"/>
        </w:rPr>
        <w:t xml:space="preserve">xcises, and possibly taxes on immovable property. </w:t>
      </w:r>
    </w:p>
    <w:p w14:paraId="0D48DC91" w14:textId="270C094C" w:rsidR="00D25C90" w:rsidRPr="00CB1E53" w:rsidRDefault="00D25C90" w:rsidP="00FD11D9">
      <w:pPr>
        <w:spacing w:after="240"/>
        <w:jc w:val="both"/>
        <w:rPr>
          <w:rFonts w:ascii="Segoe UI" w:hAnsi="Segoe UI" w:cs="Segoe UI"/>
          <w:sz w:val="21"/>
          <w:szCs w:val="21"/>
        </w:rPr>
      </w:pPr>
      <w:r w:rsidRPr="00CB1E53">
        <w:rPr>
          <w:rFonts w:ascii="Segoe UI" w:hAnsi="Segoe UI" w:cs="Segoe UI"/>
          <w:sz w:val="21"/>
          <w:szCs w:val="21"/>
        </w:rPr>
        <w:t xml:space="preserve">An illustrative list of tax expenditures for the income tax system could include interest </w:t>
      </w:r>
      <w:r w:rsidR="00EC68F1">
        <w:rPr>
          <w:rFonts w:ascii="Segoe UI" w:hAnsi="Segoe UI" w:cs="Segoe UI"/>
          <w:sz w:val="21"/>
          <w:szCs w:val="21"/>
        </w:rPr>
        <w:t>tax-free</w:t>
      </w:r>
      <w:r w:rsidR="00EC68F1" w:rsidRPr="00CB1E53">
        <w:rPr>
          <w:rFonts w:ascii="Segoe UI" w:hAnsi="Segoe UI" w:cs="Segoe UI"/>
          <w:sz w:val="21"/>
          <w:szCs w:val="21"/>
        </w:rPr>
        <w:t xml:space="preserve"> </w:t>
      </w:r>
      <w:r w:rsidRPr="00CB1E53">
        <w:rPr>
          <w:rFonts w:ascii="Segoe UI" w:hAnsi="Segoe UI" w:cs="Segoe UI"/>
          <w:sz w:val="21"/>
          <w:szCs w:val="21"/>
        </w:rPr>
        <w:t xml:space="preserve">for housing loans, </w:t>
      </w:r>
      <w:r w:rsidR="00EC68F1">
        <w:rPr>
          <w:rFonts w:ascii="Segoe UI" w:hAnsi="Segoe UI" w:cs="Segoe UI"/>
          <w:sz w:val="21"/>
          <w:szCs w:val="21"/>
        </w:rPr>
        <w:t xml:space="preserve">reduced </w:t>
      </w:r>
      <w:r w:rsidRPr="00CB1E53">
        <w:rPr>
          <w:rFonts w:ascii="Segoe UI" w:hAnsi="Segoe UI" w:cs="Segoe UI"/>
          <w:sz w:val="21"/>
          <w:szCs w:val="21"/>
        </w:rPr>
        <w:t>tax</w:t>
      </w:r>
      <w:r w:rsidR="00EC68F1">
        <w:rPr>
          <w:rFonts w:ascii="Segoe UI" w:hAnsi="Segoe UI" w:cs="Segoe UI"/>
          <w:sz w:val="21"/>
          <w:szCs w:val="21"/>
        </w:rPr>
        <w:t xml:space="preserve"> rate of</w:t>
      </w:r>
      <w:r w:rsidRPr="00CB1E53">
        <w:rPr>
          <w:rFonts w:ascii="Segoe UI" w:hAnsi="Segoe UI" w:cs="Segoe UI"/>
          <w:sz w:val="21"/>
          <w:szCs w:val="21"/>
        </w:rPr>
        <w:t xml:space="preserve"> savings accounts, tax deductions for childcare expenses, reduced tax rates for small and medium enterprises, tax benefits for charitable donations. Similarly, tax expenditures for VAT could include reduced rates, zero rates, and VAT exemptions. The examples of these tax preferences are not necessarily undesirable as they will yield some social benefit. Nevertheless, the cost of such provisions should be estimated and reported, so that their value can be assessed and compared against similar government spending programs.</w:t>
      </w:r>
    </w:p>
    <w:p w14:paraId="3F425DE6" w14:textId="77777777" w:rsidR="00D25C90" w:rsidRPr="00CB1E53" w:rsidRDefault="00D25C90" w:rsidP="00FD11D9">
      <w:pPr>
        <w:pStyle w:val="Heading3"/>
        <w:jc w:val="both"/>
        <w:rPr>
          <w:rStyle w:val="RegularDKB"/>
          <w:caps w:val="0"/>
        </w:rPr>
      </w:pPr>
      <w:bookmarkStart w:id="4" w:name="_Toc99298753"/>
      <w:r w:rsidRPr="00CB1E53">
        <w:rPr>
          <w:rStyle w:val="RegularDKB"/>
          <w:caps w:val="0"/>
        </w:rPr>
        <w:t>Tax expenditure assessments, future tax policy changes, and cost-benefit analysis</w:t>
      </w:r>
      <w:bookmarkEnd w:id="4"/>
    </w:p>
    <w:p w14:paraId="7019155F" w14:textId="03851AE1" w:rsidR="00D25C90" w:rsidRPr="00CB1E53" w:rsidRDefault="00D25C90" w:rsidP="00FD11D9">
      <w:pPr>
        <w:spacing w:after="240"/>
        <w:jc w:val="both"/>
        <w:rPr>
          <w:rFonts w:ascii="Segoe UI" w:hAnsi="Segoe UI" w:cs="Segoe UI"/>
          <w:sz w:val="21"/>
          <w:szCs w:val="21"/>
        </w:rPr>
      </w:pPr>
      <w:r w:rsidRPr="00CB1E53">
        <w:rPr>
          <w:rFonts w:ascii="Segoe UI" w:hAnsi="Segoe UI" w:cs="Segoe UI"/>
          <w:sz w:val="21"/>
          <w:szCs w:val="21"/>
        </w:rPr>
        <w:t xml:space="preserve">Establishing </w:t>
      </w:r>
      <w:r w:rsidR="00206C5F" w:rsidRPr="00CB1E53">
        <w:rPr>
          <w:rFonts w:ascii="Segoe UI" w:hAnsi="Segoe UI" w:cs="Segoe UI"/>
          <w:sz w:val="21"/>
          <w:szCs w:val="21"/>
        </w:rPr>
        <w:t xml:space="preserve">the </w:t>
      </w:r>
      <w:r w:rsidRPr="00CB1E53">
        <w:rPr>
          <w:rFonts w:ascii="Segoe UI" w:hAnsi="Segoe UI" w:cs="Segoe UI"/>
          <w:sz w:val="21"/>
          <w:szCs w:val="21"/>
        </w:rPr>
        <w:t xml:space="preserve">inventory </w:t>
      </w:r>
      <w:r w:rsidR="00206C5F" w:rsidRPr="00CB1E53">
        <w:rPr>
          <w:rFonts w:ascii="Segoe UI" w:hAnsi="Segoe UI" w:cs="Segoe UI"/>
          <w:sz w:val="21"/>
          <w:szCs w:val="21"/>
        </w:rPr>
        <w:t>of TEs</w:t>
      </w:r>
      <w:r w:rsidRPr="00CB1E53">
        <w:rPr>
          <w:rFonts w:ascii="Segoe UI" w:hAnsi="Segoe UI" w:cs="Segoe UI"/>
          <w:sz w:val="21"/>
          <w:szCs w:val="21"/>
        </w:rPr>
        <w:t xml:space="preserve">, estimating their forgone revenues, monitoring their implementation, and evaluating their cost-effectiveness </w:t>
      </w:r>
      <w:r w:rsidRPr="00B6686B">
        <w:rPr>
          <w:rFonts w:ascii="Segoe UI" w:hAnsi="Segoe UI" w:cs="Segoe UI"/>
          <w:i/>
          <w:iCs/>
          <w:sz w:val="21"/>
          <w:szCs w:val="21"/>
        </w:rPr>
        <w:t>ex post</w:t>
      </w:r>
      <w:r w:rsidRPr="00CB1E53">
        <w:rPr>
          <w:rFonts w:ascii="Segoe UI" w:hAnsi="Segoe UI" w:cs="Segoe UI"/>
          <w:sz w:val="21"/>
          <w:szCs w:val="21"/>
        </w:rPr>
        <w:t>, creates a powerful feedback loop if future revenue-raising options need to be identified. Alternatively, it could inform future base broadening initiatives with accompanying downward tax rate adjustment if revenue neutrality is pursued. Consequently, establishing the practice of regularly publishing a TEAR should improve tax policy design in Moldova.</w:t>
      </w:r>
    </w:p>
    <w:p w14:paraId="0D55CF08" w14:textId="13CD7C02" w:rsidR="00D25C90" w:rsidRPr="00CB1E53" w:rsidRDefault="00D25C90" w:rsidP="00FD11D9">
      <w:pPr>
        <w:spacing w:after="240"/>
        <w:jc w:val="both"/>
        <w:rPr>
          <w:rFonts w:ascii="Segoe UI" w:hAnsi="Segoe UI" w:cs="Segoe UI"/>
          <w:sz w:val="21"/>
          <w:szCs w:val="21"/>
        </w:rPr>
      </w:pPr>
      <w:r w:rsidRPr="00CB1E53">
        <w:rPr>
          <w:rFonts w:ascii="Segoe UI" w:hAnsi="Segoe UI" w:cs="Segoe UI"/>
          <w:sz w:val="21"/>
          <w:szCs w:val="21"/>
        </w:rPr>
        <w:t>It is important to flag at the outset the distinction between costing of TEs and evaluating their cost-effectiveness as a policy tool. Reporting on revenue forgone of TEs in a TEAR and TE evaluations are related, but separate exercises with different institutional requirements. Costing TEs and publishing TE revenue losses is an important step in ensuring fiscal transparency and to allow for a comparison of tax measures with direct spending policies (Heady and Mansour</w:t>
      </w:r>
      <w:r w:rsidR="00206C5F" w:rsidRPr="00CB1E53">
        <w:rPr>
          <w:rFonts w:ascii="Segoe UI" w:hAnsi="Segoe UI" w:cs="Segoe UI"/>
          <w:sz w:val="21"/>
          <w:szCs w:val="21"/>
        </w:rPr>
        <w:t>,</w:t>
      </w:r>
      <w:r w:rsidRPr="00CB1E53">
        <w:rPr>
          <w:rFonts w:ascii="Segoe UI" w:hAnsi="Segoe UI" w:cs="Segoe UI"/>
          <w:sz w:val="21"/>
          <w:szCs w:val="21"/>
        </w:rPr>
        <w:t xml:space="preserve"> 2019). This is the intended output of this first comprehensive TEAR. </w:t>
      </w:r>
      <w:r w:rsidR="009C4317" w:rsidRPr="00CB1E53">
        <w:rPr>
          <w:rFonts w:ascii="Segoe UI" w:hAnsi="Segoe UI" w:cs="Segoe UI"/>
          <w:sz w:val="21"/>
          <w:szCs w:val="21"/>
        </w:rPr>
        <w:t>C</w:t>
      </w:r>
      <w:r w:rsidRPr="00CB1E53">
        <w:rPr>
          <w:rFonts w:ascii="Segoe UI" w:hAnsi="Segoe UI" w:cs="Segoe UI"/>
          <w:sz w:val="21"/>
          <w:szCs w:val="21"/>
        </w:rPr>
        <w:t xml:space="preserve">apturing the cost-effectiveness </w:t>
      </w:r>
      <w:r w:rsidR="009C4317" w:rsidRPr="00CB1E53">
        <w:rPr>
          <w:rFonts w:ascii="Segoe UI" w:hAnsi="Segoe UI" w:cs="Segoe UI"/>
          <w:sz w:val="21"/>
          <w:szCs w:val="21"/>
        </w:rPr>
        <w:t xml:space="preserve">of TEs </w:t>
      </w:r>
      <w:r w:rsidRPr="00CB1E53">
        <w:rPr>
          <w:rFonts w:ascii="Segoe UI" w:hAnsi="Segoe UI" w:cs="Segoe UI"/>
          <w:sz w:val="21"/>
          <w:szCs w:val="21"/>
        </w:rPr>
        <w:t>in pursuing public policy objectives</w:t>
      </w:r>
      <w:r w:rsidR="009C4317" w:rsidRPr="00CB1E53">
        <w:rPr>
          <w:rFonts w:ascii="Segoe UI" w:hAnsi="Segoe UI" w:cs="Segoe UI"/>
          <w:sz w:val="21"/>
          <w:szCs w:val="21"/>
        </w:rPr>
        <w:t xml:space="preserve"> is the next, more ambitious step in policy analysis</w:t>
      </w:r>
      <w:r w:rsidRPr="00CB1E53">
        <w:rPr>
          <w:rFonts w:ascii="Segoe UI" w:hAnsi="Segoe UI" w:cs="Segoe UI"/>
          <w:sz w:val="21"/>
          <w:szCs w:val="21"/>
        </w:rPr>
        <w:t xml:space="preserve">, which requires special analytical skills. Consequently, </w:t>
      </w:r>
      <w:r w:rsidR="009C4317" w:rsidRPr="00CB1E53">
        <w:rPr>
          <w:rFonts w:ascii="Segoe UI" w:hAnsi="Segoe UI" w:cs="Segoe UI"/>
          <w:sz w:val="21"/>
          <w:szCs w:val="21"/>
        </w:rPr>
        <w:t>cost-benefit analysis—</w:t>
      </w:r>
      <w:r w:rsidRPr="00CB1E53">
        <w:rPr>
          <w:rFonts w:ascii="Segoe UI" w:hAnsi="Segoe UI" w:cs="Segoe UI"/>
          <w:sz w:val="21"/>
          <w:szCs w:val="21"/>
        </w:rPr>
        <w:t>a pragmatic approach to TE</w:t>
      </w:r>
      <w:r w:rsidR="009C4317" w:rsidRPr="00CB1E53">
        <w:rPr>
          <w:rFonts w:ascii="Segoe UI" w:hAnsi="Segoe UI" w:cs="Segoe UI"/>
          <w:sz w:val="21"/>
          <w:szCs w:val="21"/>
        </w:rPr>
        <w:t>s</w:t>
      </w:r>
      <w:r w:rsidRPr="00CB1E53">
        <w:rPr>
          <w:rFonts w:ascii="Segoe UI" w:hAnsi="Segoe UI" w:cs="Segoe UI"/>
          <w:sz w:val="21"/>
          <w:szCs w:val="21"/>
        </w:rPr>
        <w:t xml:space="preserve"> evaluation</w:t>
      </w:r>
      <w:r w:rsidR="009C4317" w:rsidRPr="00CB1E53">
        <w:rPr>
          <w:rFonts w:ascii="Segoe UI" w:hAnsi="Segoe UI" w:cs="Segoe UI"/>
          <w:sz w:val="21"/>
          <w:szCs w:val="21"/>
        </w:rPr>
        <w:t>—w</w:t>
      </w:r>
      <w:r w:rsidRPr="00CB1E53">
        <w:rPr>
          <w:rFonts w:ascii="Segoe UI" w:hAnsi="Segoe UI" w:cs="Segoe UI"/>
          <w:sz w:val="21"/>
          <w:szCs w:val="21"/>
        </w:rPr>
        <w:t>ill only be considered over the</w:t>
      </w:r>
      <w:r w:rsidR="006B19FF">
        <w:rPr>
          <w:rFonts w:ascii="Segoe UI" w:hAnsi="Segoe UI" w:cs="Segoe UI"/>
          <w:sz w:val="21"/>
          <w:szCs w:val="21"/>
        </w:rPr>
        <w:t xml:space="preserve"> </w:t>
      </w:r>
      <w:proofErr w:type="spellStart"/>
      <w:r w:rsidR="006B19FF">
        <w:rPr>
          <w:rFonts w:ascii="Segoe UI" w:hAnsi="Segoe UI" w:cs="Segoe UI"/>
          <w:sz w:val="21"/>
          <w:szCs w:val="21"/>
        </w:rPr>
        <w:t>mediu</w:t>
      </w:r>
      <w:proofErr w:type="spellEnd"/>
      <w:r w:rsidR="006B19FF">
        <w:rPr>
          <w:rFonts w:ascii="Segoe UI" w:hAnsi="Segoe UI" w:cs="Segoe UI"/>
          <w:sz w:val="21"/>
          <w:szCs w:val="21"/>
        </w:rPr>
        <w:t xml:space="preserve"> and</w:t>
      </w:r>
      <w:r w:rsidRPr="00CB1E53">
        <w:rPr>
          <w:rFonts w:ascii="Segoe UI" w:hAnsi="Segoe UI" w:cs="Segoe UI"/>
          <w:sz w:val="21"/>
          <w:szCs w:val="21"/>
        </w:rPr>
        <w:t xml:space="preserve"> long term. </w:t>
      </w:r>
    </w:p>
    <w:p w14:paraId="3A2A5DFB" w14:textId="77777777" w:rsidR="00D25C90" w:rsidRPr="00CB1E53" w:rsidRDefault="00D25C90" w:rsidP="00FD11D9">
      <w:pPr>
        <w:pStyle w:val="Heading3"/>
        <w:jc w:val="both"/>
        <w:rPr>
          <w:rStyle w:val="RegularDKB"/>
          <w:caps w:val="0"/>
        </w:rPr>
      </w:pPr>
      <w:bookmarkStart w:id="5" w:name="_Toc99298754"/>
      <w:r w:rsidRPr="00CB1E53">
        <w:rPr>
          <w:rStyle w:val="RegularDKB"/>
          <w:caps w:val="0"/>
        </w:rPr>
        <w:t>Complexities with defining a benchmark tax system</w:t>
      </w:r>
      <w:bookmarkEnd w:id="5"/>
    </w:p>
    <w:p w14:paraId="06643922" w14:textId="4D1B1292" w:rsidR="00D25C90" w:rsidRPr="00CB1E53" w:rsidRDefault="00D25C90" w:rsidP="00FD11D9">
      <w:pPr>
        <w:spacing w:after="240"/>
        <w:jc w:val="both"/>
        <w:rPr>
          <w:rFonts w:ascii="Segoe UI" w:hAnsi="Segoe UI" w:cs="Segoe UI"/>
          <w:sz w:val="21"/>
          <w:szCs w:val="21"/>
        </w:rPr>
      </w:pPr>
      <w:r w:rsidRPr="00CB1E53">
        <w:rPr>
          <w:rFonts w:ascii="Segoe UI" w:hAnsi="Segoe UI" w:cs="Segoe UI"/>
          <w:sz w:val="21"/>
          <w:szCs w:val="21"/>
        </w:rPr>
        <w:t xml:space="preserve">In the </w:t>
      </w:r>
      <w:r w:rsidR="00563328">
        <w:rPr>
          <w:rFonts w:ascii="Segoe UI" w:hAnsi="Segoe UI" w:cs="Segoe UI"/>
          <w:sz w:val="21"/>
          <w:szCs w:val="21"/>
        </w:rPr>
        <w:t xml:space="preserve">tax </w:t>
      </w:r>
      <w:r w:rsidRPr="00CB1E53">
        <w:rPr>
          <w:rFonts w:ascii="Segoe UI" w:hAnsi="Segoe UI" w:cs="Segoe UI"/>
          <w:sz w:val="21"/>
          <w:szCs w:val="21"/>
        </w:rPr>
        <w:t xml:space="preserve">literature, tax expenditures are generally defined as deviations from some </w:t>
      </w:r>
      <w:r w:rsidR="00206468">
        <w:rPr>
          <w:rFonts w:ascii="Segoe UI" w:hAnsi="Segoe UI" w:cs="Segoe UI"/>
          <w:sz w:val="21"/>
          <w:szCs w:val="21"/>
        </w:rPr>
        <w:t>“</w:t>
      </w:r>
      <w:r w:rsidR="00206468" w:rsidRPr="00CB1E53">
        <w:rPr>
          <w:rFonts w:ascii="Segoe UI" w:hAnsi="Segoe UI" w:cs="Segoe UI"/>
          <w:sz w:val="21"/>
          <w:szCs w:val="21"/>
        </w:rPr>
        <w:t>benchmark</w:t>
      </w:r>
      <w:r w:rsidR="00206468">
        <w:rPr>
          <w:rFonts w:ascii="Segoe UI" w:hAnsi="Segoe UI" w:cs="Segoe UI"/>
          <w:sz w:val="21"/>
          <w:szCs w:val="21"/>
        </w:rPr>
        <w:t xml:space="preserve">” </w:t>
      </w:r>
      <w:r w:rsidRPr="00CB1E53">
        <w:rPr>
          <w:rFonts w:ascii="Segoe UI" w:hAnsi="Segoe UI" w:cs="Segoe UI"/>
          <w:sz w:val="21"/>
          <w:szCs w:val="21"/>
        </w:rPr>
        <w:t xml:space="preserve">tax system although the benchmark is rarely well defined. Considerable effort went therefore into the Ministry of Finance’s preparation of the first TEAR to delineate for the three taxes a commonly accepted benchmark regime (or structure) against which variations (or non-structural provisions in the </w:t>
      </w:r>
      <w:r w:rsidR="00206468">
        <w:rPr>
          <w:rFonts w:ascii="Segoe UI" w:hAnsi="Segoe UI" w:cs="Segoe UI"/>
          <w:sz w:val="21"/>
          <w:szCs w:val="21"/>
        </w:rPr>
        <w:t>T</w:t>
      </w:r>
      <w:r w:rsidR="00206468" w:rsidRPr="00CB1E53">
        <w:rPr>
          <w:rFonts w:ascii="Segoe UI" w:hAnsi="Segoe UI" w:cs="Segoe UI"/>
          <w:sz w:val="21"/>
          <w:szCs w:val="21"/>
        </w:rPr>
        <w:t xml:space="preserve">ax </w:t>
      </w:r>
      <w:r w:rsidR="00206468">
        <w:rPr>
          <w:rFonts w:ascii="Segoe UI" w:hAnsi="Segoe UI" w:cs="Segoe UI"/>
          <w:sz w:val="21"/>
          <w:szCs w:val="21"/>
        </w:rPr>
        <w:t>C</w:t>
      </w:r>
      <w:r w:rsidR="00206468" w:rsidRPr="00CB1E53">
        <w:rPr>
          <w:rFonts w:ascii="Segoe UI" w:hAnsi="Segoe UI" w:cs="Segoe UI"/>
          <w:sz w:val="21"/>
          <w:szCs w:val="21"/>
        </w:rPr>
        <w:t>ode</w:t>
      </w:r>
      <w:r w:rsidRPr="00CB1E53">
        <w:rPr>
          <w:rFonts w:ascii="Segoe UI" w:hAnsi="Segoe UI" w:cs="Segoe UI"/>
          <w:sz w:val="21"/>
          <w:szCs w:val="21"/>
        </w:rPr>
        <w:t>) could be defined consistently. These carefully identified variations constitute the tax expenditures</w:t>
      </w:r>
      <w:r w:rsidR="00331756">
        <w:rPr>
          <w:rFonts w:ascii="Segoe UI" w:hAnsi="Segoe UI" w:cs="Segoe UI"/>
          <w:sz w:val="21"/>
          <w:szCs w:val="21"/>
        </w:rPr>
        <w:t xml:space="preserve">. A </w:t>
      </w:r>
      <w:r w:rsidR="00331756" w:rsidRPr="005A7A2A">
        <w:rPr>
          <w:rFonts w:ascii="Segoe UI" w:hAnsi="Segoe UI" w:cs="Segoe UI"/>
          <w:sz w:val="21"/>
          <w:szCs w:val="21"/>
        </w:rPr>
        <w:t xml:space="preserve">total of </w:t>
      </w:r>
      <w:r w:rsidRPr="005A7A2A">
        <w:rPr>
          <w:rFonts w:ascii="Segoe UI" w:hAnsi="Segoe UI" w:cs="Segoe UI"/>
          <w:sz w:val="21"/>
          <w:szCs w:val="21"/>
        </w:rPr>
        <w:t>8</w:t>
      </w:r>
      <w:r w:rsidR="005A7A2A" w:rsidRPr="005A7A2A">
        <w:rPr>
          <w:rFonts w:ascii="Segoe UI" w:hAnsi="Segoe UI" w:cs="Segoe UI"/>
          <w:sz w:val="21"/>
          <w:szCs w:val="21"/>
        </w:rPr>
        <w:t>3</w:t>
      </w:r>
      <w:r w:rsidRPr="005A7A2A">
        <w:rPr>
          <w:rFonts w:ascii="Segoe UI" w:hAnsi="Segoe UI" w:cs="Segoe UI"/>
          <w:sz w:val="21"/>
          <w:szCs w:val="21"/>
        </w:rPr>
        <w:t xml:space="preserve"> </w:t>
      </w:r>
      <w:r w:rsidR="00331756" w:rsidRPr="005A7A2A">
        <w:rPr>
          <w:rFonts w:ascii="Segoe UI" w:hAnsi="Segoe UI" w:cs="Segoe UI"/>
          <w:sz w:val="21"/>
          <w:szCs w:val="21"/>
        </w:rPr>
        <w:t>TEs are identified</w:t>
      </w:r>
      <w:r w:rsidR="00331756">
        <w:rPr>
          <w:rFonts w:ascii="Segoe UI" w:hAnsi="Segoe UI" w:cs="Segoe UI"/>
          <w:sz w:val="21"/>
          <w:szCs w:val="21"/>
        </w:rPr>
        <w:t xml:space="preserve"> </w:t>
      </w:r>
      <w:r w:rsidRPr="00CB1E53">
        <w:rPr>
          <w:rFonts w:ascii="Segoe UI" w:hAnsi="Segoe UI" w:cs="Segoe UI"/>
          <w:sz w:val="21"/>
          <w:szCs w:val="21"/>
        </w:rPr>
        <w:t>in this TEAR</w:t>
      </w:r>
      <w:r w:rsidR="00331756">
        <w:rPr>
          <w:rFonts w:ascii="Segoe UI" w:hAnsi="Segoe UI" w:cs="Segoe UI"/>
          <w:sz w:val="21"/>
          <w:szCs w:val="21"/>
        </w:rPr>
        <w:t xml:space="preserve"> (</w:t>
      </w:r>
      <w:r w:rsidR="00897CC2">
        <w:rPr>
          <w:rFonts w:ascii="Segoe UI" w:hAnsi="Segoe UI" w:cs="Segoe UI"/>
          <w:sz w:val="21"/>
          <w:szCs w:val="21"/>
        </w:rPr>
        <w:t xml:space="preserve">see </w:t>
      </w:r>
      <w:r w:rsidRPr="00CB1E53">
        <w:rPr>
          <w:rFonts w:ascii="Segoe UI" w:hAnsi="Segoe UI" w:cs="Segoe UI"/>
          <w:sz w:val="21"/>
          <w:szCs w:val="21"/>
        </w:rPr>
        <w:t xml:space="preserve">Appendices 1 to 3). As to what constitutes the benchmark design for PIT, BIT and VAT, needs an agreeable and consistent resolution with the view to properly costing TEs. For this reason, this TEAR—before discussing different and adopted approaches to the </w:t>
      </w:r>
      <w:r w:rsidRPr="00CB1E53">
        <w:rPr>
          <w:rFonts w:ascii="Segoe UI" w:hAnsi="Segoe UI" w:cs="Segoe UI"/>
          <w:sz w:val="21"/>
          <w:szCs w:val="21"/>
        </w:rPr>
        <w:lastRenderedPageBreak/>
        <w:t>costing of TEs—provide</w:t>
      </w:r>
      <w:r w:rsidR="00331756">
        <w:rPr>
          <w:rFonts w:ascii="Segoe UI" w:hAnsi="Segoe UI" w:cs="Segoe UI"/>
          <w:sz w:val="21"/>
          <w:szCs w:val="21"/>
        </w:rPr>
        <w:t>s</w:t>
      </w:r>
      <w:r w:rsidRPr="00CB1E53">
        <w:rPr>
          <w:rFonts w:ascii="Segoe UI" w:hAnsi="Segoe UI" w:cs="Segoe UI"/>
          <w:sz w:val="21"/>
          <w:szCs w:val="21"/>
        </w:rPr>
        <w:t xml:space="preserve"> in section </w:t>
      </w:r>
      <w:r w:rsidR="00711C46" w:rsidRPr="00CB1E53">
        <w:rPr>
          <w:rFonts w:ascii="Segoe UI" w:hAnsi="Segoe UI" w:cs="Segoe UI"/>
          <w:sz w:val="21"/>
          <w:szCs w:val="21"/>
        </w:rPr>
        <w:t>II</w:t>
      </w:r>
      <w:r w:rsidRPr="00CB1E53">
        <w:rPr>
          <w:rFonts w:ascii="Segoe UI" w:hAnsi="Segoe UI" w:cs="Segoe UI"/>
          <w:sz w:val="21"/>
          <w:szCs w:val="21"/>
        </w:rPr>
        <w:t xml:space="preserve"> some globally acceptable benchmark delineations for the three tax</w:t>
      </w:r>
      <w:r w:rsidR="00331756">
        <w:rPr>
          <w:rFonts w:ascii="Segoe UI" w:hAnsi="Segoe UI" w:cs="Segoe UI"/>
          <w:sz w:val="21"/>
          <w:szCs w:val="21"/>
        </w:rPr>
        <w:t>es</w:t>
      </w:r>
      <w:r w:rsidRPr="00CB1E53">
        <w:rPr>
          <w:rFonts w:ascii="Segoe UI" w:hAnsi="Segoe UI" w:cs="Segoe UI"/>
          <w:sz w:val="21"/>
          <w:szCs w:val="21"/>
        </w:rPr>
        <w:t>.</w:t>
      </w:r>
    </w:p>
    <w:p w14:paraId="4DF083C0" w14:textId="22A44D92" w:rsidR="00D25C90" w:rsidRPr="00CB1E53" w:rsidRDefault="00D25C90" w:rsidP="00FD11D9">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bCs/>
          <w:color w:val="004C97" w:themeColor="text2"/>
          <w:sz w:val="21"/>
          <w:szCs w:val="21"/>
        </w:rPr>
        <w:t>Business income tax:</w:t>
      </w:r>
      <w:r w:rsidRPr="00CB1E53">
        <w:rPr>
          <w:rFonts w:ascii="Segoe UI" w:hAnsi="Segoe UI" w:cs="Segoe UI"/>
          <w:color w:val="004C97" w:themeColor="text2"/>
          <w:sz w:val="21"/>
          <w:szCs w:val="21"/>
        </w:rPr>
        <w:t xml:space="preserve"> </w:t>
      </w:r>
      <w:r w:rsidRPr="00CB1E53">
        <w:rPr>
          <w:rFonts w:ascii="Segoe UI" w:hAnsi="Segoe UI" w:cs="Segoe UI"/>
          <w:sz w:val="21"/>
          <w:szCs w:val="21"/>
        </w:rPr>
        <w:t xml:space="preserve">Under a standard </w:t>
      </w:r>
      <w:r w:rsidR="00812483">
        <w:rPr>
          <w:rFonts w:ascii="Segoe UI" w:hAnsi="Segoe UI" w:cs="Segoe UI"/>
          <w:sz w:val="21"/>
          <w:szCs w:val="21"/>
        </w:rPr>
        <w:t>BIT/</w:t>
      </w:r>
      <w:r w:rsidRPr="00CB1E53">
        <w:rPr>
          <w:rFonts w:ascii="Segoe UI" w:hAnsi="Segoe UI" w:cs="Segoe UI"/>
          <w:sz w:val="21"/>
          <w:szCs w:val="21"/>
        </w:rPr>
        <w:t xml:space="preserve">CIT, the benchmark </w:t>
      </w:r>
      <w:r w:rsidR="00331756">
        <w:rPr>
          <w:rFonts w:ascii="Segoe UI" w:hAnsi="Segoe UI" w:cs="Segoe UI"/>
          <w:sz w:val="21"/>
          <w:szCs w:val="21"/>
        </w:rPr>
        <w:t>is</w:t>
      </w:r>
      <w:r w:rsidRPr="00CB1E53">
        <w:rPr>
          <w:rFonts w:ascii="Segoe UI" w:hAnsi="Segoe UI" w:cs="Segoe UI"/>
          <w:sz w:val="21"/>
          <w:szCs w:val="21"/>
        </w:rPr>
        <w:t xml:space="preserve"> based on the prevailing tax on profits with a single rate of tax and no tax relief, other than for usual business expenses. Certain business expenses pose challenges in defining the benchmark. For example, should depreciation allowances be based on economic depreciation or accelerated (tax) depreciation, which provides a timing advantage? Should financing costs, such as interest expenses, be allowed without limit, or should limits on interest deductibility be accounted for as a “negative tax expenditure”? There is no globally uniform approach, but it is important to be consistent, irrespective of the expenses incurred. Moldova </w:t>
      </w:r>
      <w:r w:rsidR="00563328">
        <w:rPr>
          <w:rFonts w:ascii="Segoe UI" w:hAnsi="Segoe UI" w:cs="Segoe UI"/>
          <w:sz w:val="21"/>
          <w:szCs w:val="21"/>
        </w:rPr>
        <w:t>shares</w:t>
      </w:r>
      <w:r w:rsidR="00563328" w:rsidRPr="00CB1E53">
        <w:rPr>
          <w:rFonts w:ascii="Segoe UI" w:hAnsi="Segoe UI" w:cs="Segoe UI"/>
          <w:sz w:val="21"/>
          <w:szCs w:val="21"/>
        </w:rPr>
        <w:t xml:space="preserve"> </w:t>
      </w:r>
      <w:r w:rsidRPr="00CB1E53">
        <w:rPr>
          <w:rFonts w:ascii="Segoe UI" w:hAnsi="Segoe UI" w:cs="Segoe UI"/>
          <w:sz w:val="21"/>
          <w:szCs w:val="21"/>
        </w:rPr>
        <w:t>a stance whereby all timing benefits regarding deductions are TEs, but all provisions against tax avoidance are part of the benchmark.</w:t>
      </w:r>
    </w:p>
    <w:p w14:paraId="1EFB31A5" w14:textId="2939B384" w:rsidR="00D25C90" w:rsidRPr="00CB1E53" w:rsidRDefault="00D25C90" w:rsidP="00FD11D9">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bCs/>
          <w:color w:val="004C97" w:themeColor="text2"/>
          <w:sz w:val="21"/>
          <w:szCs w:val="21"/>
        </w:rPr>
        <w:t>Personal income tax</w:t>
      </w:r>
      <w:r w:rsidR="00812483">
        <w:rPr>
          <w:rFonts w:ascii="Segoe UI" w:hAnsi="Segoe UI" w:cs="Segoe UI"/>
          <w:b/>
          <w:bCs/>
          <w:color w:val="004C97" w:themeColor="text2"/>
          <w:sz w:val="21"/>
          <w:szCs w:val="21"/>
        </w:rPr>
        <w:t xml:space="preserve"> (PIT)</w:t>
      </w:r>
      <w:r w:rsidRPr="00CB1E53">
        <w:rPr>
          <w:rFonts w:ascii="Segoe UI" w:hAnsi="Segoe UI" w:cs="Segoe UI"/>
          <w:b/>
          <w:bCs/>
          <w:color w:val="004C97" w:themeColor="text2"/>
          <w:sz w:val="21"/>
          <w:szCs w:val="21"/>
        </w:rPr>
        <w:t>:</w:t>
      </w:r>
      <w:r w:rsidRPr="00CB1E53">
        <w:rPr>
          <w:rFonts w:ascii="Segoe UI" w:hAnsi="Segoe UI" w:cs="Segoe UI"/>
          <w:color w:val="004C97" w:themeColor="text2"/>
          <w:sz w:val="21"/>
          <w:szCs w:val="21"/>
        </w:rPr>
        <w:t xml:space="preserve"> </w:t>
      </w:r>
      <w:r w:rsidRPr="00CB1E53">
        <w:rPr>
          <w:rFonts w:ascii="Segoe UI" w:hAnsi="Segoe UI" w:cs="Segoe UI"/>
          <w:sz w:val="21"/>
          <w:szCs w:val="21"/>
        </w:rPr>
        <w:t xml:space="preserve">For a comprehensive income tax at progressive rates or the 12 percent single flat rate in Moldova, the benchmark </w:t>
      </w:r>
      <w:r w:rsidR="00331756">
        <w:rPr>
          <w:rFonts w:ascii="Segoe UI" w:hAnsi="Segoe UI" w:cs="Segoe UI"/>
          <w:sz w:val="21"/>
          <w:szCs w:val="21"/>
        </w:rPr>
        <w:t>is</w:t>
      </w:r>
      <w:r w:rsidRPr="00CB1E53">
        <w:rPr>
          <w:rFonts w:ascii="Segoe UI" w:hAnsi="Segoe UI" w:cs="Segoe UI"/>
          <w:sz w:val="21"/>
          <w:szCs w:val="21"/>
        </w:rPr>
        <w:t xml:space="preserve"> based on the prevailing system of income tax with the existing statutory tax schedule. However, it exclude</w:t>
      </w:r>
      <w:r w:rsidR="00331756">
        <w:rPr>
          <w:rFonts w:ascii="Segoe UI" w:hAnsi="Segoe UI" w:cs="Segoe UI"/>
          <w:sz w:val="21"/>
          <w:szCs w:val="21"/>
        </w:rPr>
        <w:t>s</w:t>
      </w:r>
      <w:r w:rsidRPr="00CB1E53">
        <w:rPr>
          <w:rFonts w:ascii="Segoe UI" w:hAnsi="Segoe UI" w:cs="Segoe UI"/>
          <w:sz w:val="21"/>
          <w:szCs w:val="21"/>
        </w:rPr>
        <w:t xml:space="preserve"> any tax relief, other than the basic personal allowance (or tax</w:t>
      </w:r>
      <w:r w:rsidR="00B56ED0">
        <w:rPr>
          <w:rFonts w:ascii="Segoe UI" w:hAnsi="Segoe UI" w:cs="Segoe UI"/>
          <w:sz w:val="21"/>
          <w:szCs w:val="21"/>
        </w:rPr>
        <w:t xml:space="preserve"> free</w:t>
      </w:r>
      <w:r w:rsidRPr="00CB1E53">
        <w:rPr>
          <w:rFonts w:ascii="Segoe UI" w:hAnsi="Segoe UI" w:cs="Segoe UI"/>
          <w:sz w:val="21"/>
          <w:szCs w:val="21"/>
        </w:rPr>
        <w:t xml:space="preserve"> income bracket). Under such PIT, any deduction from income </w:t>
      </w:r>
      <w:r w:rsidR="00B56ED0">
        <w:rPr>
          <w:rFonts w:ascii="Segoe UI" w:hAnsi="Segoe UI" w:cs="Segoe UI"/>
          <w:sz w:val="21"/>
          <w:szCs w:val="21"/>
        </w:rPr>
        <w:t>-</w:t>
      </w:r>
      <w:r w:rsidRPr="00CB1E53">
        <w:rPr>
          <w:rFonts w:ascii="Segoe UI" w:hAnsi="Segoe UI" w:cs="Segoe UI"/>
          <w:sz w:val="21"/>
          <w:szCs w:val="21"/>
        </w:rPr>
        <w:t>, tax credits, and lower rates on certain income (e.g., on capital gains, dividends) are arguably tax expenditures.</w:t>
      </w:r>
    </w:p>
    <w:p w14:paraId="25AC5911" w14:textId="4B364882" w:rsidR="00D25C90" w:rsidRPr="00CB1E53" w:rsidRDefault="00D25C90" w:rsidP="00FD11D9">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b/>
          <w:bCs/>
          <w:color w:val="004C97" w:themeColor="text2"/>
          <w:sz w:val="21"/>
          <w:szCs w:val="21"/>
        </w:rPr>
        <w:t>Value-added tax</w:t>
      </w:r>
      <w:r w:rsidR="00812483">
        <w:rPr>
          <w:rFonts w:ascii="Segoe UI" w:hAnsi="Segoe UI" w:cs="Segoe UI"/>
          <w:b/>
          <w:bCs/>
          <w:color w:val="004C97" w:themeColor="text2"/>
          <w:sz w:val="21"/>
          <w:szCs w:val="21"/>
        </w:rPr>
        <w:t xml:space="preserve"> (VAT)</w:t>
      </w:r>
      <w:r w:rsidRPr="00CB1E53">
        <w:rPr>
          <w:rFonts w:ascii="Segoe UI" w:hAnsi="Segoe UI" w:cs="Segoe UI"/>
          <w:b/>
          <w:bCs/>
          <w:color w:val="004C97" w:themeColor="text2"/>
          <w:sz w:val="21"/>
          <w:szCs w:val="21"/>
        </w:rPr>
        <w:t>:</w:t>
      </w:r>
      <w:r w:rsidRPr="00CB1E53">
        <w:rPr>
          <w:rFonts w:ascii="Segoe UI" w:hAnsi="Segoe UI" w:cs="Segoe UI"/>
          <w:sz w:val="21"/>
          <w:szCs w:val="21"/>
        </w:rPr>
        <w:t xml:space="preserve"> The VAT ha</w:t>
      </w:r>
      <w:r w:rsidR="00331756">
        <w:rPr>
          <w:rFonts w:ascii="Segoe UI" w:hAnsi="Segoe UI" w:cs="Segoe UI"/>
          <w:sz w:val="21"/>
          <w:szCs w:val="21"/>
        </w:rPr>
        <w:t>s</w:t>
      </w:r>
      <w:r w:rsidRPr="00CB1E53">
        <w:rPr>
          <w:rFonts w:ascii="Segoe UI" w:hAnsi="Segoe UI" w:cs="Segoe UI"/>
          <w:sz w:val="21"/>
          <w:szCs w:val="21"/>
        </w:rPr>
        <w:t xml:space="preserve"> as a benchmark the broadest measure of final consumption (public and private) at a single tax rate. There </w:t>
      </w:r>
      <w:r w:rsidR="00331756">
        <w:rPr>
          <w:rFonts w:ascii="Segoe UI" w:hAnsi="Segoe UI" w:cs="Segoe UI"/>
          <w:sz w:val="21"/>
          <w:szCs w:val="21"/>
        </w:rPr>
        <w:t>are</w:t>
      </w:r>
      <w:r w:rsidRPr="00CB1E53">
        <w:rPr>
          <w:rFonts w:ascii="Segoe UI" w:hAnsi="Segoe UI" w:cs="Segoe UI"/>
          <w:sz w:val="21"/>
          <w:szCs w:val="21"/>
        </w:rPr>
        <w:t xml:space="preserve"> no exemptions in the benchmark system. Low or reduced rates </w:t>
      </w:r>
      <w:r w:rsidR="00331756">
        <w:rPr>
          <w:rFonts w:ascii="Segoe UI" w:hAnsi="Segoe UI" w:cs="Segoe UI"/>
          <w:sz w:val="21"/>
          <w:szCs w:val="21"/>
        </w:rPr>
        <w:t>are</w:t>
      </w:r>
      <w:r w:rsidRPr="00CB1E53">
        <w:rPr>
          <w:rFonts w:ascii="Segoe UI" w:hAnsi="Segoe UI" w:cs="Segoe UI"/>
          <w:sz w:val="21"/>
          <w:szCs w:val="21"/>
        </w:rPr>
        <w:t xml:space="preserve"> also excluded from the benchmark, except for the zero rate on exports, </w:t>
      </w:r>
      <w:r w:rsidR="00897CC2">
        <w:rPr>
          <w:rFonts w:ascii="Segoe UI" w:hAnsi="Segoe UI" w:cs="Segoe UI"/>
          <w:sz w:val="21"/>
          <w:szCs w:val="21"/>
        </w:rPr>
        <w:t>which</w:t>
      </w:r>
      <w:r w:rsidRPr="00CB1E53">
        <w:rPr>
          <w:rFonts w:ascii="Segoe UI" w:hAnsi="Segoe UI" w:cs="Segoe UI"/>
          <w:sz w:val="21"/>
          <w:szCs w:val="21"/>
        </w:rPr>
        <w:t xml:space="preserve"> is the mechanism by which VAT</w:t>
      </w:r>
      <w:r w:rsidR="00331756">
        <w:rPr>
          <w:rFonts w:ascii="Segoe UI" w:hAnsi="Segoe UI" w:cs="Segoe UI"/>
          <w:sz w:val="21"/>
          <w:szCs w:val="21"/>
        </w:rPr>
        <w:t xml:space="preserve"> system is </w:t>
      </w:r>
      <w:r w:rsidRPr="00CB1E53">
        <w:rPr>
          <w:rFonts w:ascii="Segoe UI" w:hAnsi="Segoe UI" w:cs="Segoe UI"/>
          <w:sz w:val="21"/>
          <w:szCs w:val="21"/>
        </w:rPr>
        <w:t xml:space="preserve">designed to be destination-based. </w:t>
      </w:r>
    </w:p>
    <w:p w14:paraId="5FE197A6" w14:textId="79DE2038" w:rsidR="00D25C90" w:rsidRPr="00CB1E53" w:rsidRDefault="008209C7" w:rsidP="00FD11D9">
      <w:pPr>
        <w:pStyle w:val="Heading3"/>
        <w:jc w:val="both"/>
        <w:rPr>
          <w:rStyle w:val="RegularDKB"/>
          <w:caps w:val="0"/>
        </w:rPr>
      </w:pPr>
      <w:bookmarkStart w:id="6" w:name="_Toc99298755"/>
      <w:r>
        <w:rPr>
          <w:rStyle w:val="RegularDKB"/>
          <w:caps w:val="0"/>
        </w:rPr>
        <w:t>Tax Expenditures and e</w:t>
      </w:r>
      <w:r w:rsidR="00D25C90" w:rsidRPr="00CB1E53">
        <w:rPr>
          <w:rStyle w:val="RegularDKB"/>
          <w:caps w:val="0"/>
        </w:rPr>
        <w:t>stimation methodologies</w:t>
      </w:r>
      <w:bookmarkEnd w:id="6"/>
    </w:p>
    <w:p w14:paraId="69386F46" w14:textId="52494674" w:rsidR="00552DCD" w:rsidRDefault="005B044E" w:rsidP="00FD11D9">
      <w:pPr>
        <w:spacing w:after="240"/>
        <w:jc w:val="both"/>
        <w:rPr>
          <w:rFonts w:ascii="Segoe UI" w:hAnsi="Segoe UI" w:cs="Segoe UI"/>
          <w:sz w:val="21"/>
          <w:szCs w:val="21"/>
        </w:rPr>
      </w:pPr>
      <w:r w:rsidRPr="00CB1E53">
        <w:rPr>
          <w:rFonts w:ascii="Segoe UI" w:hAnsi="Segoe UI" w:cs="Segoe UI"/>
          <w:sz w:val="21"/>
          <w:szCs w:val="21"/>
        </w:rPr>
        <w:t>T</w:t>
      </w:r>
      <w:r w:rsidR="00D25C90" w:rsidRPr="00CB1E53">
        <w:rPr>
          <w:rFonts w:ascii="Segoe UI" w:hAnsi="Segoe UI" w:cs="Segoe UI"/>
          <w:sz w:val="21"/>
          <w:szCs w:val="21"/>
        </w:rPr>
        <w:t xml:space="preserve">his TEAR presents the </w:t>
      </w:r>
      <w:r w:rsidR="00195454">
        <w:rPr>
          <w:rFonts w:ascii="Segoe UI" w:hAnsi="Segoe UI" w:cs="Segoe UI"/>
          <w:sz w:val="21"/>
          <w:szCs w:val="21"/>
        </w:rPr>
        <w:t>Ministry of Finance</w:t>
      </w:r>
      <w:r w:rsidR="00D25C90" w:rsidRPr="00CB1E53">
        <w:rPr>
          <w:rFonts w:ascii="Segoe UI" w:hAnsi="Segoe UI" w:cs="Segoe UI"/>
          <w:sz w:val="21"/>
          <w:szCs w:val="21"/>
        </w:rPr>
        <w:t xml:space="preserve">’s first estimates of the </w:t>
      </w:r>
      <w:r w:rsidR="00195454">
        <w:rPr>
          <w:rFonts w:ascii="Segoe UI" w:hAnsi="Segoe UI" w:cs="Segoe UI"/>
          <w:sz w:val="21"/>
          <w:szCs w:val="21"/>
        </w:rPr>
        <w:t xml:space="preserve">budget </w:t>
      </w:r>
      <w:r w:rsidR="00D25C90" w:rsidRPr="00CB1E53">
        <w:rPr>
          <w:rFonts w:ascii="Segoe UI" w:hAnsi="Segoe UI" w:cs="Segoe UI"/>
          <w:sz w:val="21"/>
          <w:szCs w:val="21"/>
        </w:rPr>
        <w:t xml:space="preserve">cost of tax expenditures, as well as a brief discussion of the methodology used to produce these estimates. The tax expenditure estimates are calculated using the “revenue forgone” method. This entails comparing actual revenue collections with the revenue that would have been collected without the tax incentives in place. The revenue forgone approach assumes that taxpayers do not change their behavior in response to a tax expenditure being withdrawn. </w:t>
      </w:r>
      <w:r w:rsidR="006D7964">
        <w:rPr>
          <w:rFonts w:ascii="Segoe UI" w:hAnsi="Segoe UI" w:cs="Segoe UI"/>
          <w:sz w:val="21"/>
          <w:szCs w:val="21"/>
        </w:rPr>
        <w:t>Hence, the</w:t>
      </w:r>
      <w:r w:rsidR="00552DCD" w:rsidRPr="00552DCD">
        <w:rPr>
          <w:rFonts w:ascii="Segoe UI" w:hAnsi="Segoe UI" w:cs="Segoe UI"/>
          <w:sz w:val="21"/>
          <w:szCs w:val="21"/>
        </w:rPr>
        <w:t xml:space="preserve"> accuracy in forecasting the additional revenues associated with policy changes depends on the extent to which behavioral responses matter for the targeted </w:t>
      </w:r>
      <w:r w:rsidR="006D7964">
        <w:rPr>
          <w:rFonts w:ascii="Segoe UI" w:hAnsi="Segoe UI" w:cs="Segoe UI"/>
          <w:sz w:val="21"/>
          <w:szCs w:val="21"/>
        </w:rPr>
        <w:t>TEs</w:t>
      </w:r>
      <w:r w:rsidR="00552DCD" w:rsidRPr="00552DCD">
        <w:rPr>
          <w:rFonts w:ascii="Segoe UI" w:hAnsi="Segoe UI" w:cs="Segoe UI"/>
          <w:sz w:val="21"/>
          <w:szCs w:val="21"/>
        </w:rPr>
        <w:t>. In most instances, behavioral responses are relatively small.</w:t>
      </w:r>
    </w:p>
    <w:p w14:paraId="2CA7495A" w14:textId="5FD6D658" w:rsidR="00FC7115" w:rsidRDefault="00C462B1" w:rsidP="00FD11D9">
      <w:pPr>
        <w:spacing w:after="240"/>
        <w:jc w:val="both"/>
        <w:rPr>
          <w:rFonts w:ascii="Segoe UI" w:hAnsi="Segoe UI" w:cs="Segoe UI"/>
          <w:sz w:val="21"/>
          <w:szCs w:val="21"/>
        </w:rPr>
      </w:pPr>
      <w:r w:rsidRPr="00CB1E53">
        <w:rPr>
          <w:rFonts w:ascii="Segoe UI" w:hAnsi="Segoe UI" w:cs="Segoe UI"/>
          <w:sz w:val="21"/>
          <w:szCs w:val="21"/>
        </w:rPr>
        <w:t xml:space="preserve">The individually </w:t>
      </w:r>
      <w:r>
        <w:rPr>
          <w:rFonts w:ascii="Segoe UI" w:hAnsi="Segoe UI" w:cs="Segoe UI"/>
          <w:sz w:val="21"/>
          <w:szCs w:val="21"/>
        </w:rPr>
        <w:t xml:space="preserve">estimated </w:t>
      </w:r>
      <w:r w:rsidRPr="00CB1E53">
        <w:rPr>
          <w:rFonts w:ascii="Segoe UI" w:hAnsi="Segoe UI" w:cs="Segoe UI"/>
          <w:sz w:val="21"/>
          <w:szCs w:val="21"/>
        </w:rPr>
        <w:t xml:space="preserve">TEs </w:t>
      </w:r>
      <w:r>
        <w:rPr>
          <w:rFonts w:ascii="Segoe UI" w:hAnsi="Segoe UI" w:cs="Segoe UI"/>
          <w:sz w:val="21"/>
          <w:szCs w:val="21"/>
        </w:rPr>
        <w:t xml:space="preserve">are </w:t>
      </w:r>
      <w:r w:rsidRPr="00CB1E53">
        <w:rPr>
          <w:rFonts w:ascii="Segoe UI" w:hAnsi="Segoe UI" w:cs="Segoe UI"/>
          <w:sz w:val="21"/>
          <w:szCs w:val="21"/>
        </w:rPr>
        <w:t xml:space="preserve">aggregated and summarized by tax instrument in Table 1. </w:t>
      </w:r>
      <w:r>
        <w:rPr>
          <w:rFonts w:ascii="Segoe UI" w:hAnsi="Segoe UI" w:cs="Segoe UI"/>
          <w:sz w:val="21"/>
          <w:szCs w:val="21"/>
        </w:rPr>
        <w:t>The total TEs</w:t>
      </w:r>
      <w:r w:rsidR="00D25C90" w:rsidRPr="00CB1E53">
        <w:rPr>
          <w:rFonts w:ascii="Segoe UI" w:hAnsi="Segoe UI" w:cs="Segoe UI"/>
          <w:sz w:val="21"/>
          <w:szCs w:val="21"/>
        </w:rPr>
        <w:t xml:space="preserve"> for PIT</w:t>
      </w:r>
      <w:r w:rsidR="001D25BF">
        <w:rPr>
          <w:rFonts w:ascii="Segoe UI" w:hAnsi="Segoe UI" w:cs="Segoe UI"/>
          <w:sz w:val="21"/>
          <w:szCs w:val="21"/>
        </w:rPr>
        <w:t>, BIT</w:t>
      </w:r>
      <w:r w:rsidR="00D25C90" w:rsidRPr="00CB1E53">
        <w:rPr>
          <w:rFonts w:ascii="Segoe UI" w:hAnsi="Segoe UI" w:cs="Segoe UI"/>
          <w:sz w:val="21"/>
          <w:szCs w:val="21"/>
        </w:rPr>
        <w:t xml:space="preserve"> </w:t>
      </w:r>
      <w:r w:rsidR="00D25C90" w:rsidRPr="005A7A2A">
        <w:rPr>
          <w:rFonts w:ascii="Segoe UI" w:hAnsi="Segoe UI" w:cs="Segoe UI"/>
          <w:sz w:val="21"/>
          <w:szCs w:val="21"/>
        </w:rPr>
        <w:t xml:space="preserve">and VAT were estimated at MDL </w:t>
      </w:r>
      <w:r w:rsidR="00296AD3" w:rsidRPr="005A7A2A">
        <w:rPr>
          <w:rFonts w:ascii="Segoe UI" w:hAnsi="Segoe UI" w:cs="Segoe UI"/>
          <w:sz w:val="21"/>
          <w:szCs w:val="21"/>
        </w:rPr>
        <w:t>8,293</w:t>
      </w:r>
      <w:r w:rsidR="00D25C90" w:rsidRPr="005A7A2A">
        <w:rPr>
          <w:rFonts w:ascii="Segoe UI" w:hAnsi="Segoe UI" w:cs="Segoe UI"/>
          <w:sz w:val="21"/>
          <w:szCs w:val="21"/>
        </w:rPr>
        <w:t xml:space="preserve"> billion or </w:t>
      </w:r>
      <w:r w:rsidR="00296AD3" w:rsidRPr="005A7A2A">
        <w:rPr>
          <w:rFonts w:ascii="Segoe UI" w:hAnsi="Segoe UI" w:cs="Segoe UI"/>
          <w:sz w:val="21"/>
          <w:szCs w:val="21"/>
        </w:rPr>
        <w:t>3.6</w:t>
      </w:r>
      <w:r w:rsidR="00D25C90" w:rsidRPr="005A7A2A">
        <w:rPr>
          <w:rFonts w:ascii="Segoe UI" w:hAnsi="Segoe UI" w:cs="Segoe UI"/>
          <w:sz w:val="21"/>
          <w:szCs w:val="21"/>
        </w:rPr>
        <w:t xml:space="preserve"> percent of GDP</w:t>
      </w:r>
      <w:r w:rsidR="00812483" w:rsidRPr="005A7A2A">
        <w:rPr>
          <w:rFonts w:ascii="Segoe UI" w:hAnsi="Segoe UI" w:cs="Segoe UI"/>
          <w:sz w:val="21"/>
          <w:szCs w:val="21"/>
        </w:rPr>
        <w:t xml:space="preserve"> for 2021</w:t>
      </w:r>
      <w:r w:rsidR="00D25C90" w:rsidRPr="005A7A2A">
        <w:rPr>
          <w:rFonts w:ascii="Segoe UI" w:hAnsi="Segoe UI" w:cs="Segoe UI"/>
          <w:sz w:val="21"/>
          <w:szCs w:val="21"/>
        </w:rPr>
        <w:t>. For that year and for those three tax instruments, 8</w:t>
      </w:r>
      <w:r w:rsidR="006E086A" w:rsidRPr="005A7A2A">
        <w:rPr>
          <w:rFonts w:ascii="Segoe UI" w:hAnsi="Segoe UI" w:cs="Segoe UI"/>
          <w:sz w:val="21"/>
          <w:szCs w:val="21"/>
        </w:rPr>
        <w:t>3</w:t>
      </w:r>
      <w:r w:rsidR="00D25C90" w:rsidRPr="005A7A2A">
        <w:rPr>
          <w:rFonts w:ascii="Segoe UI" w:hAnsi="Segoe UI" w:cs="Segoe UI"/>
          <w:sz w:val="21"/>
          <w:szCs w:val="21"/>
        </w:rPr>
        <w:t xml:space="preserve"> tax expenditures</w:t>
      </w:r>
      <w:r w:rsidR="00D25C90" w:rsidRPr="00CB1E53">
        <w:rPr>
          <w:rFonts w:ascii="Segoe UI" w:hAnsi="Segoe UI" w:cs="Segoe UI"/>
          <w:sz w:val="21"/>
          <w:szCs w:val="21"/>
        </w:rPr>
        <w:t xml:space="preserve"> were identified and the forgone revenues</w:t>
      </w:r>
      <w:r w:rsidR="006E086A">
        <w:rPr>
          <w:rFonts w:ascii="Segoe UI" w:hAnsi="Segoe UI" w:cs="Segoe UI"/>
          <w:sz w:val="21"/>
          <w:szCs w:val="21"/>
        </w:rPr>
        <w:t xml:space="preserve"> for </w:t>
      </w:r>
      <w:r w:rsidR="00FC7115">
        <w:rPr>
          <w:rFonts w:ascii="Segoe UI" w:hAnsi="Segoe UI" w:cs="Segoe UI"/>
          <w:sz w:val="21"/>
          <w:szCs w:val="21"/>
        </w:rPr>
        <w:t>48 of them were</w:t>
      </w:r>
      <w:r w:rsidR="00D25C90" w:rsidRPr="00CB1E53">
        <w:rPr>
          <w:rFonts w:ascii="Segoe UI" w:hAnsi="Segoe UI" w:cs="Segoe UI"/>
          <w:sz w:val="21"/>
          <w:szCs w:val="21"/>
        </w:rPr>
        <w:t xml:space="preserve"> </w:t>
      </w:r>
      <w:r w:rsidR="00FC7115">
        <w:rPr>
          <w:rFonts w:ascii="Segoe UI" w:hAnsi="Segoe UI" w:cs="Segoe UI"/>
          <w:sz w:val="21"/>
          <w:szCs w:val="21"/>
        </w:rPr>
        <w:t>estim</w:t>
      </w:r>
      <w:r w:rsidR="005A7A2A">
        <w:rPr>
          <w:rFonts w:ascii="Segoe UI" w:hAnsi="Segoe UI" w:cs="Segoe UI"/>
          <w:sz w:val="21"/>
          <w:szCs w:val="21"/>
        </w:rPr>
        <w:t>a</w:t>
      </w:r>
      <w:r w:rsidR="00FC7115">
        <w:rPr>
          <w:rFonts w:ascii="Segoe UI" w:hAnsi="Segoe UI" w:cs="Segoe UI"/>
          <w:sz w:val="21"/>
          <w:szCs w:val="21"/>
        </w:rPr>
        <w:t>ted</w:t>
      </w:r>
      <w:r w:rsidR="00D25C90" w:rsidRPr="00CB1E53">
        <w:rPr>
          <w:rFonts w:ascii="Segoe UI" w:hAnsi="Segoe UI" w:cs="Segoe UI"/>
          <w:sz w:val="21"/>
          <w:szCs w:val="21"/>
        </w:rPr>
        <w:t xml:space="preserve">. </w:t>
      </w:r>
      <w:r w:rsidR="00D25C90" w:rsidRPr="00B61344">
        <w:rPr>
          <w:rFonts w:ascii="Segoe UI" w:hAnsi="Segoe UI" w:cs="Segoe UI"/>
          <w:sz w:val="21"/>
          <w:szCs w:val="21"/>
        </w:rPr>
        <w:t xml:space="preserve">The largest </w:t>
      </w:r>
      <w:r w:rsidR="00FC7115" w:rsidRPr="00B61344">
        <w:rPr>
          <w:rFonts w:ascii="Segoe UI" w:hAnsi="Segoe UI" w:cs="Segoe UI"/>
          <w:sz w:val="21"/>
          <w:szCs w:val="21"/>
        </w:rPr>
        <w:t>size</w:t>
      </w:r>
      <w:r w:rsidR="00D25C90" w:rsidRPr="00B61344">
        <w:rPr>
          <w:rFonts w:ascii="Segoe UI" w:hAnsi="Segoe UI" w:cs="Segoe UI"/>
          <w:sz w:val="21"/>
          <w:szCs w:val="21"/>
        </w:rPr>
        <w:t xml:space="preserve"> TEs accounted for more than </w:t>
      </w:r>
      <w:r w:rsidR="00FC7115" w:rsidRPr="00B61344">
        <w:rPr>
          <w:rFonts w:ascii="Segoe UI" w:hAnsi="Segoe UI" w:cs="Segoe UI"/>
          <w:sz w:val="21"/>
          <w:szCs w:val="21"/>
        </w:rPr>
        <w:t>66</w:t>
      </w:r>
      <w:r w:rsidR="00D25C90" w:rsidRPr="00B61344">
        <w:rPr>
          <w:rFonts w:ascii="Segoe UI" w:hAnsi="Segoe UI" w:cs="Segoe UI"/>
          <w:sz w:val="21"/>
          <w:szCs w:val="21"/>
        </w:rPr>
        <w:t xml:space="preserve"> percent of the total</w:t>
      </w:r>
      <w:r w:rsidR="00FC7115" w:rsidRPr="00B61344">
        <w:rPr>
          <w:rFonts w:ascii="Segoe UI" w:hAnsi="Segoe UI" w:cs="Segoe UI"/>
          <w:sz w:val="21"/>
          <w:szCs w:val="21"/>
        </w:rPr>
        <w:t xml:space="preserve"> in 2021</w:t>
      </w:r>
      <w:r w:rsidR="00D25C90" w:rsidRPr="00B61344">
        <w:rPr>
          <w:rFonts w:ascii="Segoe UI" w:hAnsi="Segoe UI" w:cs="Segoe UI"/>
          <w:sz w:val="21"/>
          <w:szCs w:val="21"/>
        </w:rPr>
        <w:t>. These</w:t>
      </w:r>
      <w:r w:rsidR="00FC7115" w:rsidRPr="00B61344">
        <w:rPr>
          <w:rFonts w:ascii="Segoe UI" w:hAnsi="Segoe UI" w:cs="Segoe UI"/>
          <w:sz w:val="21"/>
          <w:szCs w:val="21"/>
        </w:rPr>
        <w:t xml:space="preserve"> include:</w:t>
      </w:r>
    </w:p>
    <w:p w14:paraId="60472FE2" w14:textId="7F6269DF" w:rsidR="00FC7115" w:rsidRDefault="00FC7115" w:rsidP="00FD11D9">
      <w:pPr>
        <w:pStyle w:val="ListParagraph"/>
        <w:numPr>
          <w:ilvl w:val="0"/>
          <w:numId w:val="18"/>
        </w:numPr>
        <w:spacing w:after="240"/>
        <w:jc w:val="both"/>
        <w:rPr>
          <w:rFonts w:ascii="Segoe UI" w:hAnsi="Segoe UI" w:cs="Segoe UI"/>
          <w:sz w:val="21"/>
          <w:szCs w:val="21"/>
        </w:rPr>
      </w:pPr>
      <w:r w:rsidRPr="00FC7115">
        <w:rPr>
          <w:rFonts w:ascii="Segoe UI" w:hAnsi="Segoe UI" w:cs="Segoe UI"/>
          <w:sz w:val="21"/>
          <w:szCs w:val="21"/>
        </w:rPr>
        <w:t>Tax exemption of state security payments and state subsidies</w:t>
      </w:r>
      <w:r>
        <w:rPr>
          <w:rFonts w:ascii="Segoe UI" w:hAnsi="Segoe UI" w:cs="Segoe UI"/>
          <w:sz w:val="21"/>
          <w:szCs w:val="21"/>
        </w:rPr>
        <w:t xml:space="preserve"> (PIT)</w:t>
      </w:r>
    </w:p>
    <w:p w14:paraId="7D848B0A" w14:textId="68AAE9D8" w:rsidR="00FC7115" w:rsidRDefault="00467703" w:rsidP="00FD11D9">
      <w:pPr>
        <w:pStyle w:val="ListParagraph"/>
        <w:numPr>
          <w:ilvl w:val="0"/>
          <w:numId w:val="18"/>
        </w:numPr>
        <w:spacing w:after="240"/>
        <w:jc w:val="both"/>
        <w:rPr>
          <w:rFonts w:ascii="Segoe UI" w:hAnsi="Segoe UI" w:cs="Segoe UI"/>
          <w:sz w:val="21"/>
          <w:szCs w:val="21"/>
        </w:rPr>
      </w:pPr>
      <w:r>
        <w:rPr>
          <w:rFonts w:ascii="Segoe UI" w:hAnsi="Segoe UI" w:cs="Segoe UI"/>
          <w:sz w:val="21"/>
          <w:szCs w:val="21"/>
        </w:rPr>
        <w:lastRenderedPageBreak/>
        <w:t>8% reduced-rate for agricultural products</w:t>
      </w:r>
      <w:r w:rsidR="00FC7115">
        <w:rPr>
          <w:rFonts w:ascii="Segoe UI" w:hAnsi="Segoe UI" w:cs="Segoe UI"/>
          <w:sz w:val="21"/>
          <w:szCs w:val="21"/>
        </w:rPr>
        <w:t xml:space="preserve"> (VAT)</w:t>
      </w:r>
    </w:p>
    <w:p w14:paraId="39F5BCE5" w14:textId="77777777" w:rsidR="00467703" w:rsidRDefault="00467703" w:rsidP="00FD11D9">
      <w:pPr>
        <w:pStyle w:val="ListParagraph"/>
        <w:numPr>
          <w:ilvl w:val="0"/>
          <w:numId w:val="18"/>
        </w:numPr>
        <w:spacing w:after="240"/>
        <w:jc w:val="both"/>
        <w:rPr>
          <w:rFonts w:ascii="Segoe UI" w:hAnsi="Segoe UI" w:cs="Segoe UI"/>
          <w:sz w:val="21"/>
          <w:szCs w:val="21"/>
        </w:rPr>
      </w:pPr>
      <w:r>
        <w:rPr>
          <w:rFonts w:ascii="Segoe UI" w:hAnsi="Segoe UI" w:cs="Segoe UI"/>
          <w:sz w:val="21"/>
          <w:szCs w:val="21"/>
        </w:rPr>
        <w:t>Zero-rating of electricity for</w:t>
      </w:r>
      <w:r w:rsidRPr="00467703">
        <w:rPr>
          <w:rFonts w:ascii="Segoe UI" w:hAnsi="Segoe UI" w:cs="Segoe UI"/>
          <w:sz w:val="21"/>
          <w:szCs w:val="21"/>
        </w:rPr>
        <w:t xml:space="preserve"> residential customers</w:t>
      </w:r>
      <w:r>
        <w:rPr>
          <w:rFonts w:ascii="Segoe UI" w:hAnsi="Segoe UI" w:cs="Segoe UI"/>
          <w:sz w:val="21"/>
          <w:szCs w:val="21"/>
        </w:rPr>
        <w:t xml:space="preserve"> (VAT)</w:t>
      </w:r>
    </w:p>
    <w:p w14:paraId="29868B2A" w14:textId="13E05829" w:rsidR="00467703" w:rsidRDefault="00467703" w:rsidP="00FD11D9">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t>Exempting the supply of educational services</w:t>
      </w:r>
      <w:r w:rsidR="00D25C90" w:rsidRPr="00467703">
        <w:rPr>
          <w:rFonts w:ascii="Segoe UI" w:hAnsi="Segoe UI" w:cs="Segoe UI"/>
          <w:sz w:val="21"/>
          <w:szCs w:val="21"/>
        </w:rPr>
        <w:t xml:space="preserve"> </w:t>
      </w:r>
      <w:r>
        <w:rPr>
          <w:rFonts w:ascii="Segoe UI" w:hAnsi="Segoe UI" w:cs="Segoe UI"/>
          <w:sz w:val="21"/>
          <w:szCs w:val="21"/>
        </w:rPr>
        <w:t>(VAT)</w:t>
      </w:r>
    </w:p>
    <w:p w14:paraId="681C3A6C" w14:textId="7F395E73" w:rsidR="00467703" w:rsidRDefault="00467703" w:rsidP="00FD11D9">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t>Exempting the supply of medical services and associated goods</w:t>
      </w:r>
      <w:r>
        <w:rPr>
          <w:rFonts w:ascii="Segoe UI" w:hAnsi="Segoe UI" w:cs="Segoe UI"/>
          <w:sz w:val="21"/>
          <w:szCs w:val="21"/>
        </w:rPr>
        <w:t xml:space="preserve"> (VAT)</w:t>
      </w:r>
    </w:p>
    <w:p w14:paraId="56E94CC6" w14:textId="1E306051" w:rsidR="00467703" w:rsidRDefault="00467703" w:rsidP="00FD11D9">
      <w:pPr>
        <w:pStyle w:val="ListParagraph"/>
        <w:numPr>
          <w:ilvl w:val="0"/>
          <w:numId w:val="18"/>
        </w:numPr>
        <w:spacing w:after="240"/>
        <w:jc w:val="both"/>
        <w:rPr>
          <w:rFonts w:ascii="Segoe UI" w:hAnsi="Segoe UI" w:cs="Segoe UI"/>
          <w:sz w:val="21"/>
          <w:szCs w:val="21"/>
        </w:rPr>
      </w:pPr>
      <w:r w:rsidRPr="00467703">
        <w:rPr>
          <w:rFonts w:ascii="Segoe UI" w:hAnsi="Segoe UI" w:cs="Segoe UI"/>
          <w:sz w:val="21"/>
          <w:szCs w:val="21"/>
        </w:rPr>
        <w:t>Tax exemption of income from international grants for research and development, and from special funds and grants approved by the government</w:t>
      </w:r>
      <w:r>
        <w:rPr>
          <w:rFonts w:ascii="Segoe UI" w:hAnsi="Segoe UI" w:cs="Segoe UI"/>
          <w:sz w:val="21"/>
          <w:szCs w:val="21"/>
        </w:rPr>
        <w:t xml:space="preserve"> (BIT)</w:t>
      </w:r>
    </w:p>
    <w:p w14:paraId="0614184B" w14:textId="129DBEBC" w:rsidR="008209C7" w:rsidRPr="00CB1E53" w:rsidRDefault="008209C7" w:rsidP="00FD11D9">
      <w:pPr>
        <w:spacing w:after="240"/>
        <w:jc w:val="both"/>
        <w:rPr>
          <w:rFonts w:ascii="Segoe UI" w:hAnsi="Segoe UI" w:cs="Segoe UI"/>
          <w:sz w:val="21"/>
          <w:szCs w:val="21"/>
        </w:rPr>
      </w:pPr>
      <w:r w:rsidRPr="00CB1E53">
        <w:rPr>
          <w:rFonts w:ascii="Segoe UI" w:hAnsi="Segoe UI" w:cs="Segoe UI"/>
          <w:sz w:val="21"/>
          <w:szCs w:val="21"/>
        </w:rPr>
        <w:t>Most of the personal and business income TEs are estimated based on microsimulation modeling using tax return or administrative data from the State Tax Service (STS).</w:t>
      </w:r>
      <w:r w:rsidRPr="00CB1E53">
        <w:rPr>
          <w:rStyle w:val="FootnoteReference"/>
          <w:rFonts w:ascii="Segoe UI" w:hAnsi="Segoe UI" w:cs="Segoe UI"/>
          <w:szCs w:val="21"/>
        </w:rPr>
        <w:footnoteReference w:id="2"/>
      </w:r>
      <w:r w:rsidRPr="00CB1E53">
        <w:rPr>
          <w:rFonts w:ascii="Segoe UI" w:hAnsi="Segoe UI" w:cs="Segoe UI"/>
          <w:sz w:val="21"/>
          <w:szCs w:val="21"/>
        </w:rPr>
        <w:t xml:space="preserve"> To evaluate VAT TEs, the M</w:t>
      </w:r>
      <w:r w:rsidR="00E34607">
        <w:rPr>
          <w:rFonts w:ascii="Segoe UI" w:hAnsi="Segoe UI" w:cs="Segoe UI"/>
          <w:sz w:val="21"/>
          <w:szCs w:val="21"/>
        </w:rPr>
        <w:t xml:space="preserve">inistry of </w:t>
      </w:r>
      <w:r>
        <w:rPr>
          <w:rFonts w:ascii="Segoe UI" w:hAnsi="Segoe UI" w:cs="Segoe UI"/>
          <w:sz w:val="21"/>
          <w:szCs w:val="21"/>
        </w:rPr>
        <w:t>F</w:t>
      </w:r>
      <w:r w:rsidR="00E34607">
        <w:rPr>
          <w:rFonts w:ascii="Segoe UI" w:hAnsi="Segoe UI" w:cs="Segoe UI"/>
          <w:sz w:val="21"/>
          <w:szCs w:val="21"/>
        </w:rPr>
        <w:t>inance (MoF)</w:t>
      </w:r>
      <w:r>
        <w:rPr>
          <w:rFonts w:ascii="Segoe UI" w:hAnsi="Segoe UI" w:cs="Segoe UI"/>
          <w:sz w:val="21"/>
          <w:szCs w:val="21"/>
        </w:rPr>
        <w:t xml:space="preserve">, together </w:t>
      </w:r>
      <w:r w:rsidRPr="00CB1E53">
        <w:rPr>
          <w:rFonts w:ascii="Segoe UI" w:hAnsi="Segoe UI" w:cs="Segoe UI"/>
          <w:sz w:val="21"/>
          <w:szCs w:val="21"/>
        </w:rPr>
        <w:t>with the IMF</w:t>
      </w:r>
      <w:r>
        <w:rPr>
          <w:rFonts w:ascii="Segoe UI" w:hAnsi="Segoe UI" w:cs="Segoe UI"/>
          <w:sz w:val="21"/>
          <w:szCs w:val="21"/>
        </w:rPr>
        <w:t>, developed</w:t>
      </w:r>
      <w:r w:rsidRPr="00CB1E53">
        <w:rPr>
          <w:rFonts w:ascii="Segoe UI" w:hAnsi="Segoe UI" w:cs="Segoe UI"/>
          <w:sz w:val="21"/>
          <w:szCs w:val="21"/>
        </w:rPr>
        <w:t xml:space="preserve"> a model </w:t>
      </w:r>
      <w:r>
        <w:rPr>
          <w:rFonts w:ascii="Segoe UI" w:hAnsi="Segoe UI" w:cs="Segoe UI"/>
          <w:sz w:val="21"/>
          <w:szCs w:val="21"/>
        </w:rPr>
        <w:t xml:space="preserve">based on </w:t>
      </w:r>
      <w:r w:rsidRPr="00552DCD">
        <w:rPr>
          <w:rFonts w:ascii="Segoe UI" w:hAnsi="Segoe UI" w:cs="Segoe UI"/>
          <w:sz w:val="21"/>
          <w:szCs w:val="21"/>
        </w:rPr>
        <w:t>the Supply-Use Tables produced by the National Bureau of Statistics</w:t>
      </w:r>
      <w:r>
        <w:rPr>
          <w:rFonts w:ascii="Segoe UI" w:hAnsi="Segoe UI" w:cs="Segoe UI"/>
          <w:sz w:val="21"/>
          <w:szCs w:val="21"/>
        </w:rPr>
        <w:t>. Section IV of this TEAR discusses the methodology of TEs estimates for PIT, BIT and VAT.</w:t>
      </w:r>
    </w:p>
    <w:p w14:paraId="0E551404" w14:textId="77777777" w:rsidR="00D25C90" w:rsidRPr="00544F1B" w:rsidRDefault="00D25C90" w:rsidP="00FD11D9">
      <w:pPr>
        <w:pStyle w:val="Heading3"/>
        <w:jc w:val="both"/>
        <w:rPr>
          <w:rStyle w:val="RegularDKB"/>
          <w:caps w:val="0"/>
        </w:rPr>
      </w:pPr>
      <w:bookmarkStart w:id="7" w:name="_Toc99298756"/>
      <w:r w:rsidRPr="00544F1B">
        <w:rPr>
          <w:rStyle w:val="RegularDKB"/>
          <w:caps w:val="0"/>
        </w:rPr>
        <w:t>Tax expenditure assessment responsibility</w:t>
      </w:r>
      <w:bookmarkEnd w:id="7"/>
    </w:p>
    <w:p w14:paraId="08619EF8" w14:textId="3C295E54" w:rsidR="00D25C90" w:rsidRPr="00CB1E53" w:rsidRDefault="00D25C90" w:rsidP="00FD11D9">
      <w:pPr>
        <w:spacing w:after="240"/>
        <w:jc w:val="both"/>
        <w:rPr>
          <w:rFonts w:ascii="Segoe UI" w:hAnsi="Segoe UI" w:cs="Segoe UI"/>
          <w:sz w:val="21"/>
          <w:szCs w:val="21"/>
          <w:highlight w:val="yellow"/>
        </w:rPr>
      </w:pPr>
      <w:r w:rsidRPr="00CB1E53">
        <w:rPr>
          <w:rFonts w:ascii="Segoe UI" w:hAnsi="Segoe UI" w:cs="Segoe UI"/>
          <w:sz w:val="21"/>
          <w:szCs w:val="21"/>
        </w:rPr>
        <w:t xml:space="preserve">The MoF, through the Tax and Customs Policy Unit (TCPU), prepared this TEAR as it ensures adequate central coordination over the different agencies involved in TE design, implementation, and administration. Except for the administration of TEs by the STS, all the other TE-related responsibilities are part of the MoF tax policy design functions. The accumulated expertise within the TCPU structure is sufficient </w:t>
      </w:r>
      <w:r w:rsidR="00B209FE">
        <w:rPr>
          <w:rFonts w:ascii="Segoe UI" w:hAnsi="Segoe UI" w:cs="Segoe UI"/>
          <w:sz w:val="21"/>
          <w:szCs w:val="21"/>
        </w:rPr>
        <w:t>to produce this first comprehensive TEAR. The</w:t>
      </w:r>
      <w:r w:rsidRPr="00CB1E53">
        <w:rPr>
          <w:rFonts w:ascii="Segoe UI" w:hAnsi="Segoe UI" w:cs="Segoe UI"/>
          <w:sz w:val="21"/>
          <w:szCs w:val="21"/>
        </w:rPr>
        <w:t xml:space="preserve"> capacity </w:t>
      </w:r>
      <w:r w:rsidR="00B209FE">
        <w:rPr>
          <w:rFonts w:ascii="Segoe UI" w:hAnsi="Segoe UI" w:cs="Segoe UI"/>
          <w:sz w:val="21"/>
          <w:szCs w:val="21"/>
        </w:rPr>
        <w:t xml:space="preserve">of </w:t>
      </w:r>
      <w:r w:rsidR="00812483">
        <w:rPr>
          <w:rFonts w:ascii="Segoe UI" w:hAnsi="Segoe UI" w:cs="Segoe UI"/>
          <w:sz w:val="21"/>
          <w:szCs w:val="21"/>
        </w:rPr>
        <w:t xml:space="preserve">the </w:t>
      </w:r>
      <w:r w:rsidR="00B209FE">
        <w:rPr>
          <w:rFonts w:ascii="Segoe UI" w:hAnsi="Segoe UI" w:cs="Segoe UI"/>
          <w:sz w:val="21"/>
          <w:szCs w:val="21"/>
        </w:rPr>
        <w:t>TCPU will be further</w:t>
      </w:r>
      <w:r w:rsidRPr="00CB1E53">
        <w:rPr>
          <w:rFonts w:ascii="Segoe UI" w:hAnsi="Segoe UI" w:cs="Segoe UI"/>
          <w:sz w:val="21"/>
          <w:szCs w:val="21"/>
        </w:rPr>
        <w:t xml:space="preserve"> enhanced</w:t>
      </w:r>
      <w:r w:rsidR="00B209FE">
        <w:rPr>
          <w:rFonts w:ascii="Segoe UI" w:hAnsi="Segoe UI" w:cs="Segoe UI"/>
          <w:sz w:val="21"/>
          <w:szCs w:val="21"/>
        </w:rPr>
        <w:t xml:space="preserve">, including through external technical assistance, </w:t>
      </w:r>
      <w:r w:rsidRPr="00CB1E53">
        <w:rPr>
          <w:rFonts w:ascii="Segoe UI" w:hAnsi="Segoe UI" w:cs="Segoe UI"/>
          <w:sz w:val="21"/>
          <w:szCs w:val="21"/>
        </w:rPr>
        <w:t>to conduct full and regular TE</w:t>
      </w:r>
      <w:r w:rsidR="00B209FE">
        <w:rPr>
          <w:rFonts w:ascii="Segoe UI" w:hAnsi="Segoe UI" w:cs="Segoe UI"/>
          <w:sz w:val="21"/>
          <w:szCs w:val="21"/>
        </w:rPr>
        <w:t>s</w:t>
      </w:r>
      <w:r w:rsidRPr="00CB1E53">
        <w:rPr>
          <w:rFonts w:ascii="Segoe UI" w:hAnsi="Segoe UI" w:cs="Segoe UI"/>
          <w:sz w:val="21"/>
          <w:szCs w:val="21"/>
        </w:rPr>
        <w:t xml:space="preserve"> analysis and reporting. The function of assessing, quantifying, and publishing </w:t>
      </w:r>
      <w:r w:rsidR="00B209FE">
        <w:rPr>
          <w:rFonts w:ascii="Segoe UI" w:hAnsi="Segoe UI" w:cs="Segoe UI"/>
          <w:sz w:val="21"/>
          <w:szCs w:val="21"/>
        </w:rPr>
        <w:t xml:space="preserve">TEARs </w:t>
      </w:r>
      <w:r w:rsidRPr="00CB1E53">
        <w:rPr>
          <w:rFonts w:ascii="Segoe UI" w:hAnsi="Segoe UI" w:cs="Segoe UI"/>
          <w:sz w:val="21"/>
          <w:szCs w:val="21"/>
        </w:rPr>
        <w:t>creates an important feedback loop to improve tax policy design</w:t>
      </w:r>
      <w:r w:rsidR="00195FF6">
        <w:rPr>
          <w:rFonts w:ascii="Segoe UI" w:hAnsi="Segoe UI" w:cs="Segoe UI"/>
          <w:sz w:val="21"/>
          <w:szCs w:val="21"/>
        </w:rPr>
        <w:t xml:space="preserve"> in Moldova</w:t>
      </w:r>
      <w:r w:rsidRPr="00CB1E53">
        <w:rPr>
          <w:rFonts w:ascii="Segoe UI" w:hAnsi="Segoe UI" w:cs="Segoe UI"/>
          <w:sz w:val="21"/>
          <w:szCs w:val="21"/>
        </w:rPr>
        <w:t>.</w:t>
      </w:r>
    </w:p>
    <w:p w14:paraId="52E15708" w14:textId="048E2DF3" w:rsidR="00F77F6D" w:rsidRPr="00CB1E53" w:rsidRDefault="00576BB9" w:rsidP="00FD11D9">
      <w:pPr>
        <w:pStyle w:val="Boxfiguretabletitle"/>
        <w:keepNext/>
        <w:keepLines/>
        <w:spacing w:after="120"/>
        <w:jc w:val="both"/>
        <w:rPr>
          <w:color w:val="auto"/>
        </w:rPr>
      </w:pPr>
      <w:r w:rsidRPr="00CB1E53">
        <w:rPr>
          <w:b w:val="0"/>
          <w:bCs w:val="0"/>
          <w:color w:val="auto"/>
        </w:rPr>
        <w:fldChar w:fldCharType="begin"/>
      </w:r>
      <w:r w:rsidRPr="00CB1E53">
        <w:rPr>
          <w:b w:val="0"/>
          <w:bCs w:val="0"/>
          <w:color w:val="auto"/>
        </w:rPr>
        <w:instrText xml:space="preserve"> TC "1. Moldova: Tax Expenditure Estimates, 2018 to 2021"\f B</w:instrText>
      </w:r>
      <w:r w:rsidRPr="00CB1E53">
        <w:rPr>
          <w:b w:val="0"/>
          <w:bCs w:val="0"/>
          <w:color w:val="auto"/>
        </w:rPr>
        <w:fldChar w:fldCharType="end"/>
      </w:r>
      <w:r w:rsidR="00F77F6D" w:rsidRPr="00CB1E53">
        <w:rPr>
          <w:color w:val="auto"/>
        </w:rPr>
        <w:t xml:space="preserve"> </w:t>
      </w:r>
      <w:r w:rsidRPr="00CB1E53">
        <w:rPr>
          <w:color w:val="auto"/>
        </w:rPr>
        <w:t xml:space="preserve">Table </w:t>
      </w:r>
      <w:r w:rsidR="00F77F6D" w:rsidRPr="00CB1E53">
        <w:rPr>
          <w:color w:val="auto"/>
        </w:rPr>
        <w:t xml:space="preserve">1. Moldova: Tax Expenditure Estimates, 2018 to </w:t>
      </w:r>
      <w:r w:rsidR="00812483" w:rsidRPr="00CB1E53">
        <w:rPr>
          <w:color w:val="auto"/>
        </w:rPr>
        <w:t>202</w:t>
      </w:r>
      <w:r w:rsidR="00812483">
        <w:rPr>
          <w:color w:val="auto"/>
        </w:rPr>
        <w:t>2</w:t>
      </w:r>
    </w:p>
    <w:tbl>
      <w:tblPr>
        <w:tblW w:w="9450" w:type="dxa"/>
        <w:tblLayout w:type="fixed"/>
        <w:tblLook w:val="04A0" w:firstRow="1" w:lastRow="0" w:firstColumn="1" w:lastColumn="0" w:noHBand="0" w:noVBand="1"/>
      </w:tblPr>
      <w:tblGrid>
        <w:gridCol w:w="650"/>
        <w:gridCol w:w="2143"/>
        <w:gridCol w:w="1331"/>
        <w:gridCol w:w="1331"/>
        <w:gridCol w:w="1332"/>
        <w:gridCol w:w="1331"/>
        <w:gridCol w:w="1332"/>
      </w:tblGrid>
      <w:tr w:rsidR="00F108D4" w:rsidRPr="00F108D4" w14:paraId="4EBE8E3D" w14:textId="77777777" w:rsidTr="008209C7">
        <w:trPr>
          <w:tblHeader/>
        </w:trPr>
        <w:tc>
          <w:tcPr>
            <w:tcW w:w="2793" w:type="dxa"/>
            <w:gridSpan w:val="2"/>
            <w:tcBorders>
              <w:top w:val="single" w:sz="4" w:space="0" w:color="auto"/>
              <w:left w:val="nil"/>
              <w:bottom w:val="double" w:sz="6" w:space="0" w:color="auto"/>
              <w:right w:val="nil"/>
            </w:tcBorders>
            <w:shd w:val="clear" w:color="auto" w:fill="auto"/>
            <w:noWrap/>
            <w:vAlign w:val="center"/>
            <w:hideMark/>
          </w:tcPr>
          <w:p w14:paraId="68DB9043" w14:textId="77777777" w:rsidR="00F108D4" w:rsidRPr="00F108D4" w:rsidRDefault="00F108D4" w:rsidP="00FD11D9">
            <w:pPr>
              <w:keepNext/>
              <w:keepLines/>
              <w:spacing w:after="0" w:line="240" w:lineRule="auto"/>
              <w:ind w:firstLineChars="100" w:firstLine="200"/>
              <w:jc w:val="both"/>
              <w:rPr>
                <w:rFonts w:ascii="Segoe UI" w:eastAsia="Times New Roman" w:hAnsi="Segoe UI" w:cs="Segoe UI"/>
                <w:b/>
                <w:bCs/>
                <w:color w:val="000000"/>
                <w:sz w:val="20"/>
                <w:szCs w:val="20"/>
              </w:rPr>
            </w:pPr>
            <w:r w:rsidRPr="00F108D4">
              <w:rPr>
                <w:rFonts w:ascii="Segoe UI" w:eastAsia="Times New Roman" w:hAnsi="Segoe UI" w:cs="Segoe UI"/>
                <w:b/>
                <w:bCs/>
                <w:color w:val="000000"/>
                <w:sz w:val="20"/>
                <w:szCs w:val="20"/>
              </w:rPr>
              <w:t> </w:t>
            </w:r>
          </w:p>
        </w:tc>
        <w:tc>
          <w:tcPr>
            <w:tcW w:w="1331" w:type="dxa"/>
            <w:tcBorders>
              <w:top w:val="single" w:sz="4" w:space="0" w:color="auto"/>
              <w:left w:val="nil"/>
              <w:bottom w:val="double" w:sz="6" w:space="0" w:color="auto"/>
              <w:right w:val="nil"/>
            </w:tcBorders>
            <w:shd w:val="clear" w:color="auto" w:fill="auto"/>
            <w:noWrap/>
            <w:vAlign w:val="bottom"/>
            <w:hideMark/>
          </w:tcPr>
          <w:p w14:paraId="4A3A3FCB"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r w:rsidRPr="00F108D4">
              <w:rPr>
                <w:rFonts w:ascii="Segoe UI" w:eastAsia="Times New Roman" w:hAnsi="Segoe UI" w:cs="Segoe UI"/>
                <w:b/>
                <w:bCs/>
                <w:color w:val="000000"/>
                <w:sz w:val="18"/>
                <w:szCs w:val="18"/>
              </w:rPr>
              <w:t>2018</w:t>
            </w:r>
          </w:p>
        </w:tc>
        <w:tc>
          <w:tcPr>
            <w:tcW w:w="1331" w:type="dxa"/>
            <w:tcBorders>
              <w:top w:val="single" w:sz="4" w:space="0" w:color="auto"/>
              <w:left w:val="nil"/>
              <w:bottom w:val="double" w:sz="6" w:space="0" w:color="auto"/>
              <w:right w:val="nil"/>
            </w:tcBorders>
            <w:shd w:val="clear" w:color="auto" w:fill="auto"/>
            <w:noWrap/>
            <w:vAlign w:val="bottom"/>
            <w:hideMark/>
          </w:tcPr>
          <w:p w14:paraId="37AE2657"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r w:rsidRPr="00F108D4">
              <w:rPr>
                <w:rFonts w:ascii="Segoe UI" w:eastAsia="Times New Roman" w:hAnsi="Segoe UI" w:cs="Segoe UI"/>
                <w:b/>
                <w:bCs/>
                <w:color w:val="000000"/>
                <w:sz w:val="18"/>
                <w:szCs w:val="18"/>
              </w:rPr>
              <w:t>2019</w:t>
            </w:r>
          </w:p>
        </w:tc>
        <w:tc>
          <w:tcPr>
            <w:tcW w:w="1332" w:type="dxa"/>
            <w:tcBorders>
              <w:top w:val="single" w:sz="4" w:space="0" w:color="auto"/>
              <w:left w:val="nil"/>
              <w:bottom w:val="double" w:sz="6" w:space="0" w:color="auto"/>
              <w:right w:val="nil"/>
            </w:tcBorders>
            <w:shd w:val="clear" w:color="auto" w:fill="auto"/>
            <w:noWrap/>
            <w:vAlign w:val="bottom"/>
            <w:hideMark/>
          </w:tcPr>
          <w:p w14:paraId="2F01980C"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r w:rsidRPr="00F108D4">
              <w:rPr>
                <w:rFonts w:ascii="Segoe UI" w:eastAsia="Times New Roman" w:hAnsi="Segoe UI" w:cs="Segoe UI"/>
                <w:b/>
                <w:bCs/>
                <w:color w:val="000000"/>
                <w:sz w:val="18"/>
                <w:szCs w:val="18"/>
              </w:rPr>
              <w:t>2020</w:t>
            </w:r>
          </w:p>
        </w:tc>
        <w:tc>
          <w:tcPr>
            <w:tcW w:w="1331" w:type="dxa"/>
            <w:tcBorders>
              <w:top w:val="single" w:sz="4" w:space="0" w:color="auto"/>
              <w:left w:val="nil"/>
              <w:bottom w:val="double" w:sz="6" w:space="0" w:color="auto"/>
              <w:right w:val="nil"/>
            </w:tcBorders>
            <w:shd w:val="clear" w:color="auto" w:fill="auto"/>
            <w:noWrap/>
            <w:vAlign w:val="bottom"/>
            <w:hideMark/>
          </w:tcPr>
          <w:p w14:paraId="6B32BFED"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r w:rsidRPr="00F108D4">
              <w:rPr>
                <w:rFonts w:ascii="Segoe UI" w:eastAsia="Times New Roman" w:hAnsi="Segoe UI" w:cs="Segoe UI"/>
                <w:b/>
                <w:bCs/>
                <w:color w:val="000000"/>
                <w:sz w:val="18"/>
                <w:szCs w:val="18"/>
              </w:rPr>
              <w:t>2021</w:t>
            </w:r>
          </w:p>
        </w:tc>
        <w:tc>
          <w:tcPr>
            <w:tcW w:w="1332" w:type="dxa"/>
            <w:tcBorders>
              <w:top w:val="single" w:sz="4" w:space="0" w:color="auto"/>
              <w:left w:val="nil"/>
              <w:bottom w:val="double" w:sz="6" w:space="0" w:color="auto"/>
              <w:right w:val="nil"/>
            </w:tcBorders>
            <w:shd w:val="clear" w:color="auto" w:fill="auto"/>
            <w:noWrap/>
            <w:vAlign w:val="bottom"/>
            <w:hideMark/>
          </w:tcPr>
          <w:p w14:paraId="14F9D073"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r w:rsidRPr="00F108D4">
              <w:rPr>
                <w:rFonts w:ascii="Segoe UI" w:eastAsia="Times New Roman" w:hAnsi="Segoe UI" w:cs="Segoe UI"/>
                <w:b/>
                <w:bCs/>
                <w:color w:val="000000"/>
                <w:sz w:val="18"/>
                <w:szCs w:val="18"/>
              </w:rPr>
              <w:t>2022</w:t>
            </w:r>
          </w:p>
        </w:tc>
      </w:tr>
      <w:tr w:rsidR="00F108D4" w:rsidRPr="00F108D4" w14:paraId="5D587B6F" w14:textId="77777777" w:rsidTr="008209C7">
        <w:trPr>
          <w:tblHeader/>
        </w:trPr>
        <w:tc>
          <w:tcPr>
            <w:tcW w:w="650" w:type="dxa"/>
            <w:tcBorders>
              <w:top w:val="nil"/>
              <w:left w:val="nil"/>
              <w:bottom w:val="nil"/>
              <w:right w:val="nil"/>
            </w:tcBorders>
            <w:shd w:val="clear" w:color="auto" w:fill="auto"/>
            <w:noWrap/>
            <w:vAlign w:val="center"/>
            <w:hideMark/>
          </w:tcPr>
          <w:p w14:paraId="7F63986B"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18"/>
                <w:szCs w:val="18"/>
              </w:rPr>
            </w:pPr>
          </w:p>
        </w:tc>
        <w:tc>
          <w:tcPr>
            <w:tcW w:w="2143" w:type="dxa"/>
            <w:tcBorders>
              <w:top w:val="nil"/>
              <w:left w:val="nil"/>
              <w:bottom w:val="nil"/>
              <w:right w:val="nil"/>
            </w:tcBorders>
            <w:shd w:val="clear" w:color="auto" w:fill="auto"/>
            <w:noWrap/>
            <w:vAlign w:val="center"/>
            <w:hideMark/>
          </w:tcPr>
          <w:p w14:paraId="2ADB2E0B" w14:textId="77777777" w:rsidR="00F108D4" w:rsidRPr="00F108D4" w:rsidRDefault="00F108D4" w:rsidP="00FD11D9">
            <w:pPr>
              <w:keepNext/>
              <w:keepLines/>
              <w:spacing w:after="0" w:line="240" w:lineRule="auto"/>
              <w:jc w:val="both"/>
              <w:rPr>
                <w:rFonts w:ascii="Times New Roman" w:eastAsia="Times New Roman" w:hAnsi="Times New Roman" w:cs="Times New Roman"/>
                <w:sz w:val="20"/>
                <w:szCs w:val="20"/>
              </w:rPr>
            </w:pPr>
          </w:p>
        </w:tc>
        <w:tc>
          <w:tcPr>
            <w:tcW w:w="6657" w:type="dxa"/>
            <w:gridSpan w:val="5"/>
            <w:tcBorders>
              <w:top w:val="nil"/>
              <w:left w:val="nil"/>
              <w:bottom w:val="nil"/>
              <w:right w:val="nil"/>
            </w:tcBorders>
            <w:shd w:val="clear" w:color="auto" w:fill="auto"/>
            <w:noWrap/>
            <w:vAlign w:val="center"/>
            <w:hideMark/>
          </w:tcPr>
          <w:p w14:paraId="35822880" w14:textId="276B1FE0" w:rsidR="00F108D4" w:rsidRPr="00F108D4" w:rsidRDefault="00F108D4" w:rsidP="00FD11D9">
            <w:pPr>
              <w:keepNext/>
              <w:keepLines/>
              <w:spacing w:after="0" w:line="240" w:lineRule="auto"/>
              <w:jc w:val="both"/>
              <w:rPr>
                <w:rFonts w:ascii="Segoe UI" w:eastAsia="Times New Roman" w:hAnsi="Segoe UI" w:cs="Segoe UI"/>
                <w:i/>
                <w:iCs/>
                <w:color w:val="000000"/>
                <w:sz w:val="16"/>
                <w:szCs w:val="16"/>
              </w:rPr>
            </w:pPr>
            <w:r w:rsidRPr="00F108D4">
              <w:rPr>
                <w:rFonts w:ascii="Segoe UI" w:eastAsia="Times New Roman" w:hAnsi="Segoe UI" w:cs="Segoe UI"/>
                <w:i/>
                <w:iCs/>
                <w:color w:val="000000"/>
                <w:sz w:val="16"/>
                <w:szCs w:val="16"/>
              </w:rPr>
              <w:t xml:space="preserve">in million </w:t>
            </w:r>
            <w:r w:rsidR="00D51E9B">
              <w:rPr>
                <w:rFonts w:ascii="Segoe UI" w:eastAsia="Times New Roman" w:hAnsi="Segoe UI" w:cs="Segoe UI"/>
                <w:i/>
                <w:iCs/>
                <w:color w:val="000000"/>
                <w:sz w:val="16"/>
                <w:szCs w:val="16"/>
              </w:rPr>
              <w:t>M</w:t>
            </w:r>
            <w:r w:rsidR="00676FBE">
              <w:rPr>
                <w:rFonts w:ascii="Segoe UI" w:eastAsia="Times New Roman" w:hAnsi="Segoe UI" w:cs="Segoe UI"/>
                <w:i/>
                <w:iCs/>
                <w:color w:val="000000"/>
                <w:sz w:val="16"/>
                <w:szCs w:val="16"/>
              </w:rPr>
              <w:t>DL</w:t>
            </w:r>
          </w:p>
        </w:tc>
      </w:tr>
      <w:tr w:rsidR="00F108D4" w:rsidRPr="00F108D4" w14:paraId="3819B4B0" w14:textId="77777777" w:rsidTr="00F108D4">
        <w:tc>
          <w:tcPr>
            <w:tcW w:w="9450" w:type="dxa"/>
            <w:gridSpan w:val="7"/>
            <w:tcBorders>
              <w:top w:val="single" w:sz="4" w:space="0" w:color="auto"/>
              <w:left w:val="nil"/>
              <w:bottom w:val="nil"/>
              <w:right w:val="nil"/>
            </w:tcBorders>
            <w:shd w:val="clear" w:color="auto" w:fill="auto"/>
            <w:noWrap/>
            <w:vAlign w:val="center"/>
            <w:hideMark/>
          </w:tcPr>
          <w:p w14:paraId="26842F5C"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20"/>
                <w:szCs w:val="20"/>
              </w:rPr>
            </w:pPr>
            <w:r w:rsidRPr="00F108D4">
              <w:rPr>
                <w:rFonts w:ascii="Segoe UI" w:eastAsia="Times New Roman" w:hAnsi="Segoe UI" w:cs="Segoe UI"/>
                <w:b/>
                <w:bCs/>
                <w:color w:val="000000"/>
                <w:sz w:val="20"/>
                <w:szCs w:val="20"/>
              </w:rPr>
              <w:t>Personal Income Tax</w:t>
            </w:r>
          </w:p>
        </w:tc>
      </w:tr>
      <w:tr w:rsidR="00F108D4" w:rsidRPr="00F108D4" w14:paraId="50F17CB2" w14:textId="77777777" w:rsidTr="00F108D4">
        <w:tc>
          <w:tcPr>
            <w:tcW w:w="650" w:type="dxa"/>
            <w:tcBorders>
              <w:top w:val="single" w:sz="4" w:space="0" w:color="auto"/>
              <w:left w:val="nil"/>
              <w:bottom w:val="nil"/>
              <w:right w:val="nil"/>
            </w:tcBorders>
            <w:shd w:val="clear" w:color="auto" w:fill="auto"/>
            <w:noWrap/>
            <w:vAlign w:val="center"/>
            <w:hideMark/>
          </w:tcPr>
          <w:p w14:paraId="4D359CBA" w14:textId="77777777" w:rsidR="00F108D4" w:rsidRPr="00F108D4" w:rsidRDefault="00F108D4" w:rsidP="00FD11D9">
            <w:pPr>
              <w:spacing w:after="0" w:line="240" w:lineRule="auto"/>
              <w:ind w:firstLineChars="100" w:firstLine="200"/>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w:t>
            </w:r>
          </w:p>
        </w:tc>
        <w:tc>
          <w:tcPr>
            <w:tcW w:w="2143" w:type="dxa"/>
            <w:tcBorders>
              <w:top w:val="single" w:sz="4" w:space="0" w:color="auto"/>
              <w:left w:val="nil"/>
              <w:bottom w:val="nil"/>
              <w:right w:val="nil"/>
            </w:tcBorders>
            <w:shd w:val="clear" w:color="auto" w:fill="auto"/>
            <w:noWrap/>
            <w:vAlign w:val="center"/>
            <w:hideMark/>
          </w:tcPr>
          <w:p w14:paraId="1CCA6EC7"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Exemption</w:t>
            </w:r>
          </w:p>
        </w:tc>
        <w:tc>
          <w:tcPr>
            <w:tcW w:w="1331" w:type="dxa"/>
            <w:tcBorders>
              <w:top w:val="single" w:sz="4" w:space="0" w:color="auto"/>
              <w:left w:val="nil"/>
              <w:bottom w:val="nil"/>
              <w:right w:val="nil"/>
            </w:tcBorders>
            <w:shd w:val="clear" w:color="auto" w:fill="auto"/>
            <w:noWrap/>
            <w:vAlign w:val="center"/>
            <w:hideMark/>
          </w:tcPr>
          <w:p w14:paraId="1D088EA7"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764.5 </w:t>
            </w:r>
          </w:p>
        </w:tc>
        <w:tc>
          <w:tcPr>
            <w:tcW w:w="1331" w:type="dxa"/>
            <w:tcBorders>
              <w:top w:val="single" w:sz="4" w:space="0" w:color="auto"/>
              <w:left w:val="nil"/>
              <w:bottom w:val="nil"/>
              <w:right w:val="nil"/>
            </w:tcBorders>
            <w:shd w:val="clear" w:color="auto" w:fill="auto"/>
            <w:noWrap/>
            <w:vAlign w:val="center"/>
            <w:hideMark/>
          </w:tcPr>
          <w:p w14:paraId="6C5565A5"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1,390.4 </w:t>
            </w:r>
          </w:p>
        </w:tc>
        <w:tc>
          <w:tcPr>
            <w:tcW w:w="1332" w:type="dxa"/>
            <w:tcBorders>
              <w:top w:val="single" w:sz="4" w:space="0" w:color="auto"/>
              <w:left w:val="nil"/>
              <w:bottom w:val="nil"/>
              <w:right w:val="nil"/>
            </w:tcBorders>
            <w:shd w:val="clear" w:color="auto" w:fill="auto"/>
            <w:noWrap/>
            <w:vAlign w:val="center"/>
            <w:hideMark/>
          </w:tcPr>
          <w:p w14:paraId="23296800"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1,370.8 </w:t>
            </w:r>
          </w:p>
        </w:tc>
        <w:tc>
          <w:tcPr>
            <w:tcW w:w="1331" w:type="dxa"/>
            <w:tcBorders>
              <w:top w:val="single" w:sz="4" w:space="0" w:color="auto"/>
              <w:left w:val="nil"/>
              <w:bottom w:val="nil"/>
              <w:right w:val="nil"/>
            </w:tcBorders>
            <w:shd w:val="clear" w:color="auto" w:fill="auto"/>
            <w:noWrap/>
            <w:vAlign w:val="center"/>
            <w:hideMark/>
          </w:tcPr>
          <w:p w14:paraId="068781A0"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1,553.9 </w:t>
            </w:r>
          </w:p>
        </w:tc>
        <w:tc>
          <w:tcPr>
            <w:tcW w:w="1332" w:type="dxa"/>
            <w:tcBorders>
              <w:top w:val="single" w:sz="4" w:space="0" w:color="auto"/>
              <w:left w:val="nil"/>
              <w:bottom w:val="nil"/>
              <w:right w:val="nil"/>
            </w:tcBorders>
            <w:shd w:val="clear" w:color="auto" w:fill="auto"/>
            <w:noWrap/>
            <w:vAlign w:val="center"/>
            <w:hideMark/>
          </w:tcPr>
          <w:p w14:paraId="17847E6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1,708.3 </w:t>
            </w:r>
          </w:p>
        </w:tc>
      </w:tr>
      <w:tr w:rsidR="00F108D4" w:rsidRPr="00F108D4" w14:paraId="3C989095" w14:textId="77777777" w:rsidTr="00F108D4">
        <w:tc>
          <w:tcPr>
            <w:tcW w:w="650" w:type="dxa"/>
            <w:tcBorders>
              <w:top w:val="nil"/>
              <w:left w:val="nil"/>
              <w:bottom w:val="nil"/>
              <w:right w:val="nil"/>
            </w:tcBorders>
            <w:shd w:val="clear" w:color="auto" w:fill="auto"/>
            <w:noWrap/>
            <w:vAlign w:val="center"/>
            <w:hideMark/>
          </w:tcPr>
          <w:p w14:paraId="5B49A59C"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33632F8F"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Deduction</w:t>
            </w:r>
          </w:p>
        </w:tc>
        <w:tc>
          <w:tcPr>
            <w:tcW w:w="1331" w:type="dxa"/>
            <w:tcBorders>
              <w:top w:val="nil"/>
              <w:left w:val="nil"/>
              <w:bottom w:val="nil"/>
              <w:right w:val="nil"/>
            </w:tcBorders>
            <w:shd w:val="clear" w:color="auto" w:fill="auto"/>
            <w:noWrap/>
            <w:vAlign w:val="center"/>
            <w:hideMark/>
          </w:tcPr>
          <w:p w14:paraId="7F244B46"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2E68C3D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0.7 </w:t>
            </w:r>
          </w:p>
        </w:tc>
        <w:tc>
          <w:tcPr>
            <w:tcW w:w="1332" w:type="dxa"/>
            <w:tcBorders>
              <w:top w:val="nil"/>
              <w:left w:val="nil"/>
              <w:bottom w:val="nil"/>
              <w:right w:val="nil"/>
            </w:tcBorders>
            <w:shd w:val="clear" w:color="auto" w:fill="auto"/>
            <w:noWrap/>
            <w:vAlign w:val="center"/>
            <w:hideMark/>
          </w:tcPr>
          <w:p w14:paraId="042D5830"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5.6 </w:t>
            </w:r>
          </w:p>
        </w:tc>
        <w:tc>
          <w:tcPr>
            <w:tcW w:w="1331" w:type="dxa"/>
            <w:tcBorders>
              <w:top w:val="nil"/>
              <w:left w:val="nil"/>
              <w:bottom w:val="nil"/>
              <w:right w:val="nil"/>
            </w:tcBorders>
            <w:shd w:val="clear" w:color="auto" w:fill="auto"/>
            <w:noWrap/>
            <w:vAlign w:val="center"/>
            <w:hideMark/>
          </w:tcPr>
          <w:p w14:paraId="5A9CD771"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8.9 </w:t>
            </w:r>
          </w:p>
        </w:tc>
        <w:tc>
          <w:tcPr>
            <w:tcW w:w="1332" w:type="dxa"/>
            <w:tcBorders>
              <w:top w:val="nil"/>
              <w:left w:val="nil"/>
              <w:bottom w:val="nil"/>
              <w:right w:val="nil"/>
            </w:tcBorders>
            <w:shd w:val="clear" w:color="auto" w:fill="auto"/>
            <w:noWrap/>
            <w:vAlign w:val="center"/>
            <w:hideMark/>
          </w:tcPr>
          <w:p w14:paraId="4E01F81F"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9.8 </w:t>
            </w:r>
          </w:p>
        </w:tc>
      </w:tr>
      <w:tr w:rsidR="00F108D4" w:rsidRPr="00F108D4" w14:paraId="2FF7A371" w14:textId="77777777" w:rsidTr="00F108D4">
        <w:tc>
          <w:tcPr>
            <w:tcW w:w="650" w:type="dxa"/>
            <w:tcBorders>
              <w:top w:val="nil"/>
              <w:left w:val="nil"/>
              <w:bottom w:val="nil"/>
              <w:right w:val="nil"/>
            </w:tcBorders>
            <w:shd w:val="clear" w:color="auto" w:fill="auto"/>
            <w:noWrap/>
            <w:vAlign w:val="center"/>
            <w:hideMark/>
          </w:tcPr>
          <w:p w14:paraId="43EF7D5E"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55A965CD"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Allowance</w:t>
            </w:r>
          </w:p>
        </w:tc>
        <w:tc>
          <w:tcPr>
            <w:tcW w:w="1331" w:type="dxa"/>
            <w:tcBorders>
              <w:top w:val="nil"/>
              <w:left w:val="nil"/>
              <w:bottom w:val="nil"/>
              <w:right w:val="nil"/>
            </w:tcBorders>
            <w:shd w:val="clear" w:color="auto" w:fill="auto"/>
            <w:noWrap/>
            <w:vAlign w:val="center"/>
            <w:hideMark/>
          </w:tcPr>
          <w:p w14:paraId="5EB33D77"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1D49EFD3"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38823337" w14:textId="3C732316"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E56E30">
              <w:rPr>
                <w:rFonts w:ascii="Segoe UI" w:eastAsia="Times New Roman" w:hAnsi="Segoe UI" w:cs="Segoe UI"/>
                <w:color w:val="000000"/>
                <w:sz w:val="20"/>
                <w:szCs w:val="20"/>
              </w:rPr>
              <w:t xml:space="preserve">    </w:t>
            </w:r>
            <w:r w:rsidR="003B094E">
              <w:rPr>
                <w:rFonts w:ascii="Segoe UI" w:eastAsia="Times New Roman" w:hAnsi="Segoe UI" w:cs="Segoe UI"/>
                <w:color w:val="000000"/>
                <w:sz w:val="20"/>
                <w:szCs w:val="20"/>
              </w:rPr>
              <w:t>19</w:t>
            </w:r>
            <w:r w:rsidR="00566C58">
              <w:rPr>
                <w:rFonts w:ascii="Segoe UI" w:eastAsia="Times New Roman" w:hAnsi="Segoe UI" w:cs="Segoe UI"/>
                <w:color w:val="000000"/>
                <w:sz w:val="20"/>
                <w:szCs w:val="20"/>
              </w:rPr>
              <w:t>1</w:t>
            </w:r>
            <w:r w:rsidR="003B094E">
              <w:rPr>
                <w:rFonts w:ascii="Segoe UI" w:eastAsia="Times New Roman" w:hAnsi="Segoe UI" w:cs="Segoe UI"/>
                <w:color w:val="000000"/>
                <w:sz w:val="20"/>
                <w:szCs w:val="20"/>
              </w:rPr>
              <w:t>.</w:t>
            </w:r>
            <w:r w:rsidR="00566C58">
              <w:rPr>
                <w:rFonts w:ascii="Segoe UI" w:eastAsia="Times New Roman" w:hAnsi="Segoe UI" w:cs="Segoe UI"/>
                <w:color w:val="000000"/>
                <w:sz w:val="20"/>
                <w:szCs w:val="20"/>
              </w:rPr>
              <w:t>5</w:t>
            </w:r>
          </w:p>
        </w:tc>
        <w:tc>
          <w:tcPr>
            <w:tcW w:w="1331" w:type="dxa"/>
            <w:tcBorders>
              <w:top w:val="nil"/>
              <w:left w:val="nil"/>
              <w:bottom w:val="nil"/>
              <w:right w:val="nil"/>
            </w:tcBorders>
            <w:shd w:val="clear" w:color="auto" w:fill="auto"/>
            <w:noWrap/>
            <w:vAlign w:val="center"/>
            <w:hideMark/>
          </w:tcPr>
          <w:p w14:paraId="75F39C58" w14:textId="080D2236"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31265F">
              <w:rPr>
                <w:rFonts w:ascii="Segoe UI" w:eastAsia="Times New Roman" w:hAnsi="Segoe UI" w:cs="Segoe UI"/>
                <w:color w:val="000000"/>
                <w:sz w:val="20"/>
                <w:szCs w:val="20"/>
              </w:rPr>
              <w:t>216.8</w:t>
            </w:r>
          </w:p>
        </w:tc>
        <w:tc>
          <w:tcPr>
            <w:tcW w:w="1332" w:type="dxa"/>
            <w:tcBorders>
              <w:top w:val="nil"/>
              <w:left w:val="nil"/>
              <w:bottom w:val="nil"/>
              <w:right w:val="nil"/>
            </w:tcBorders>
            <w:shd w:val="clear" w:color="auto" w:fill="auto"/>
            <w:noWrap/>
            <w:vAlign w:val="center"/>
            <w:hideMark/>
          </w:tcPr>
          <w:p w14:paraId="1DC1D43B" w14:textId="38BE0D25"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2B30CF">
              <w:rPr>
                <w:rFonts w:ascii="Segoe UI" w:eastAsia="Times New Roman" w:hAnsi="Segoe UI" w:cs="Segoe UI"/>
                <w:color w:val="000000"/>
                <w:sz w:val="20"/>
                <w:szCs w:val="20"/>
              </w:rPr>
              <w:t>238.2</w:t>
            </w:r>
          </w:p>
        </w:tc>
      </w:tr>
      <w:tr w:rsidR="00F108D4" w:rsidRPr="00F108D4" w14:paraId="034D3083" w14:textId="77777777" w:rsidTr="00F108D4">
        <w:tc>
          <w:tcPr>
            <w:tcW w:w="650" w:type="dxa"/>
            <w:tcBorders>
              <w:top w:val="nil"/>
              <w:left w:val="nil"/>
              <w:bottom w:val="nil"/>
              <w:right w:val="nil"/>
            </w:tcBorders>
            <w:shd w:val="clear" w:color="auto" w:fill="auto"/>
            <w:noWrap/>
            <w:vAlign w:val="center"/>
            <w:hideMark/>
          </w:tcPr>
          <w:p w14:paraId="4A45EEE1"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77EA1CDB"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Deferral </w:t>
            </w:r>
          </w:p>
        </w:tc>
        <w:tc>
          <w:tcPr>
            <w:tcW w:w="1331" w:type="dxa"/>
            <w:tcBorders>
              <w:top w:val="nil"/>
              <w:left w:val="nil"/>
              <w:bottom w:val="nil"/>
              <w:right w:val="nil"/>
            </w:tcBorders>
            <w:shd w:val="clear" w:color="auto" w:fill="auto"/>
            <w:noWrap/>
            <w:vAlign w:val="center"/>
            <w:hideMark/>
          </w:tcPr>
          <w:p w14:paraId="6B61E5B5"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25B63D2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5B55BAE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02EFAAFA"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3F7EECBF"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r>
      <w:tr w:rsidR="00F108D4" w:rsidRPr="00F108D4" w14:paraId="7384A632" w14:textId="77777777" w:rsidTr="00F108D4">
        <w:tc>
          <w:tcPr>
            <w:tcW w:w="650" w:type="dxa"/>
            <w:tcBorders>
              <w:top w:val="nil"/>
              <w:left w:val="nil"/>
              <w:bottom w:val="nil"/>
              <w:right w:val="nil"/>
            </w:tcBorders>
            <w:shd w:val="clear" w:color="auto" w:fill="auto"/>
            <w:noWrap/>
            <w:vAlign w:val="center"/>
            <w:hideMark/>
          </w:tcPr>
          <w:p w14:paraId="434AC2E5"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2623929A"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Rate reduction</w:t>
            </w:r>
          </w:p>
        </w:tc>
        <w:tc>
          <w:tcPr>
            <w:tcW w:w="1331" w:type="dxa"/>
            <w:tcBorders>
              <w:top w:val="nil"/>
              <w:left w:val="nil"/>
              <w:bottom w:val="nil"/>
              <w:right w:val="nil"/>
            </w:tcBorders>
            <w:shd w:val="clear" w:color="auto" w:fill="auto"/>
            <w:noWrap/>
            <w:vAlign w:val="center"/>
            <w:hideMark/>
          </w:tcPr>
          <w:p w14:paraId="3DBBEC65"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6D68BF59"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66819F4F"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15C97BC9"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6D9E789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r>
      <w:tr w:rsidR="00F108D4" w:rsidRPr="00F108D4" w14:paraId="7058E6CC" w14:textId="77777777" w:rsidTr="00F108D4">
        <w:tc>
          <w:tcPr>
            <w:tcW w:w="650" w:type="dxa"/>
            <w:tcBorders>
              <w:top w:val="nil"/>
              <w:left w:val="nil"/>
              <w:bottom w:val="nil"/>
              <w:right w:val="nil"/>
            </w:tcBorders>
            <w:shd w:val="clear" w:color="auto" w:fill="auto"/>
            <w:noWrap/>
            <w:vAlign w:val="center"/>
            <w:hideMark/>
          </w:tcPr>
          <w:p w14:paraId="42E8C3A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76A792E5" w14:textId="77777777" w:rsidR="00F108D4" w:rsidRPr="00F108D4" w:rsidRDefault="00F108D4" w:rsidP="00FD11D9">
            <w:pPr>
              <w:spacing w:after="0" w:line="240" w:lineRule="auto"/>
              <w:ind w:leftChars="-25" w:left="-1" w:hangingChars="27" w:hanging="54"/>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Credit</w:t>
            </w:r>
          </w:p>
        </w:tc>
        <w:tc>
          <w:tcPr>
            <w:tcW w:w="1331" w:type="dxa"/>
            <w:tcBorders>
              <w:top w:val="nil"/>
              <w:left w:val="nil"/>
              <w:bottom w:val="nil"/>
              <w:right w:val="nil"/>
            </w:tcBorders>
            <w:shd w:val="clear" w:color="auto" w:fill="auto"/>
            <w:noWrap/>
            <w:vAlign w:val="center"/>
            <w:hideMark/>
          </w:tcPr>
          <w:p w14:paraId="15BB4D3C"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4D8EBBF5"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77CD729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1" w:type="dxa"/>
            <w:tcBorders>
              <w:top w:val="nil"/>
              <w:left w:val="nil"/>
              <w:bottom w:val="nil"/>
              <w:right w:val="nil"/>
            </w:tcBorders>
            <w:shd w:val="clear" w:color="auto" w:fill="auto"/>
            <w:noWrap/>
            <w:vAlign w:val="center"/>
            <w:hideMark/>
          </w:tcPr>
          <w:p w14:paraId="1FB18A09"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c>
          <w:tcPr>
            <w:tcW w:w="1332" w:type="dxa"/>
            <w:tcBorders>
              <w:top w:val="nil"/>
              <w:left w:val="nil"/>
              <w:bottom w:val="nil"/>
              <w:right w:val="nil"/>
            </w:tcBorders>
            <w:shd w:val="clear" w:color="auto" w:fill="auto"/>
            <w:noWrap/>
            <w:vAlign w:val="center"/>
            <w:hideMark/>
          </w:tcPr>
          <w:p w14:paraId="79092EE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 </w:t>
            </w:r>
          </w:p>
        </w:tc>
      </w:tr>
      <w:tr w:rsidR="00F108D4" w:rsidRPr="00F108D4" w14:paraId="26C9610D" w14:textId="77777777" w:rsidTr="00F108D4">
        <w:tc>
          <w:tcPr>
            <w:tcW w:w="2793" w:type="dxa"/>
            <w:gridSpan w:val="2"/>
            <w:tcBorders>
              <w:top w:val="nil"/>
              <w:left w:val="nil"/>
              <w:bottom w:val="nil"/>
              <w:right w:val="nil"/>
            </w:tcBorders>
            <w:shd w:val="clear" w:color="auto" w:fill="auto"/>
            <w:noWrap/>
            <w:vAlign w:val="center"/>
            <w:hideMark/>
          </w:tcPr>
          <w:p w14:paraId="1D9B179F" w14:textId="49FD9C83" w:rsidR="00F108D4" w:rsidRPr="00F108D4" w:rsidRDefault="00F108D4" w:rsidP="00FD11D9">
            <w:pPr>
              <w:spacing w:after="0" w:line="240" w:lineRule="auto"/>
              <w:jc w:val="both"/>
              <w:rPr>
                <w:rFonts w:ascii="Segoe UI" w:eastAsia="Times New Roman" w:hAnsi="Segoe UI" w:cs="Segoe UI"/>
                <w:color w:val="000000"/>
                <w:sz w:val="20"/>
                <w:szCs w:val="20"/>
              </w:rPr>
            </w:pPr>
            <w:r w:rsidRPr="00CB1E53">
              <w:rPr>
                <w:rFonts w:ascii="Segoe UI" w:eastAsia="Times New Roman" w:hAnsi="Segoe UI" w:cs="Segoe UI"/>
                <w:color w:val="000000"/>
                <w:sz w:val="20"/>
                <w:szCs w:val="20"/>
              </w:rPr>
              <w:t xml:space="preserve">  </w:t>
            </w:r>
            <w:r w:rsidRPr="00F108D4">
              <w:rPr>
                <w:rFonts w:ascii="Segoe UI" w:eastAsia="Times New Roman" w:hAnsi="Segoe UI" w:cs="Segoe UI"/>
                <w:color w:val="000000"/>
                <w:sz w:val="20"/>
                <w:szCs w:val="20"/>
              </w:rPr>
              <w:t>Total Personal Income Tax</w:t>
            </w:r>
          </w:p>
        </w:tc>
        <w:tc>
          <w:tcPr>
            <w:tcW w:w="1331" w:type="dxa"/>
            <w:tcBorders>
              <w:top w:val="nil"/>
              <w:left w:val="nil"/>
              <w:bottom w:val="nil"/>
              <w:right w:val="nil"/>
            </w:tcBorders>
            <w:shd w:val="clear" w:color="auto" w:fill="auto"/>
            <w:noWrap/>
            <w:vAlign w:val="center"/>
            <w:hideMark/>
          </w:tcPr>
          <w:p w14:paraId="61E5FDCF"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764.5 </w:t>
            </w:r>
          </w:p>
        </w:tc>
        <w:tc>
          <w:tcPr>
            <w:tcW w:w="1331" w:type="dxa"/>
            <w:tcBorders>
              <w:top w:val="nil"/>
              <w:left w:val="nil"/>
              <w:bottom w:val="nil"/>
              <w:right w:val="nil"/>
            </w:tcBorders>
            <w:shd w:val="clear" w:color="auto" w:fill="auto"/>
            <w:noWrap/>
            <w:vAlign w:val="center"/>
            <w:hideMark/>
          </w:tcPr>
          <w:p w14:paraId="4F46E03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1,391.1 </w:t>
            </w:r>
          </w:p>
        </w:tc>
        <w:tc>
          <w:tcPr>
            <w:tcW w:w="1332" w:type="dxa"/>
            <w:tcBorders>
              <w:top w:val="nil"/>
              <w:left w:val="nil"/>
              <w:bottom w:val="nil"/>
              <w:right w:val="nil"/>
            </w:tcBorders>
            <w:shd w:val="clear" w:color="auto" w:fill="auto"/>
            <w:noWrap/>
            <w:vAlign w:val="center"/>
            <w:hideMark/>
          </w:tcPr>
          <w:p w14:paraId="6D156F88" w14:textId="088B2D9F"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312BF3">
              <w:rPr>
                <w:rFonts w:ascii="Segoe UI" w:eastAsia="Times New Roman" w:hAnsi="Segoe UI" w:cs="Segoe UI"/>
                <w:color w:val="000000"/>
                <w:sz w:val="20"/>
                <w:szCs w:val="20"/>
              </w:rPr>
              <w:t>1,567.9</w:t>
            </w:r>
            <w:r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6A649968" w14:textId="0ADEDDF1"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1,7</w:t>
            </w:r>
            <w:r w:rsidR="00F50A4E">
              <w:rPr>
                <w:rFonts w:ascii="Segoe UI" w:eastAsia="Times New Roman" w:hAnsi="Segoe UI" w:cs="Segoe UI"/>
                <w:color w:val="000000"/>
                <w:sz w:val="20"/>
                <w:szCs w:val="20"/>
              </w:rPr>
              <w:t>79.6</w:t>
            </w:r>
            <w:r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305E254A" w14:textId="641270DB"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E06071">
              <w:rPr>
                <w:rFonts w:ascii="Segoe UI" w:eastAsia="Times New Roman" w:hAnsi="Segoe UI" w:cs="Segoe UI"/>
                <w:color w:val="000000"/>
                <w:sz w:val="20"/>
                <w:szCs w:val="20"/>
              </w:rPr>
              <w:t>1,956.3</w:t>
            </w:r>
          </w:p>
        </w:tc>
      </w:tr>
      <w:tr w:rsidR="00F108D4" w:rsidRPr="00F108D4" w14:paraId="1CA5231D" w14:textId="77777777" w:rsidTr="00676FBE">
        <w:trPr>
          <w:trHeight w:val="232"/>
        </w:trPr>
        <w:tc>
          <w:tcPr>
            <w:tcW w:w="9450" w:type="dxa"/>
            <w:gridSpan w:val="7"/>
            <w:tcBorders>
              <w:top w:val="single" w:sz="4" w:space="0" w:color="auto"/>
              <w:left w:val="nil"/>
              <w:bottom w:val="nil"/>
              <w:right w:val="nil"/>
            </w:tcBorders>
            <w:shd w:val="clear" w:color="auto" w:fill="auto"/>
            <w:noWrap/>
            <w:vAlign w:val="center"/>
            <w:hideMark/>
          </w:tcPr>
          <w:p w14:paraId="169CE90C" w14:textId="4A4DE012" w:rsidR="00F108D4" w:rsidRPr="00F108D4" w:rsidRDefault="00E06B69" w:rsidP="00FD11D9">
            <w:pPr>
              <w:spacing w:after="0" w:line="240" w:lineRule="auto"/>
              <w:jc w:val="both"/>
              <w:rPr>
                <w:rFonts w:ascii="Segoe UI" w:eastAsia="Times New Roman" w:hAnsi="Segoe UI" w:cs="Segoe UI"/>
                <w:b/>
                <w:bCs/>
                <w:color w:val="000000"/>
                <w:sz w:val="20"/>
                <w:szCs w:val="20"/>
              </w:rPr>
            </w:pPr>
            <w:r w:rsidRPr="00676FBE">
              <w:rPr>
                <w:rFonts w:ascii="Segoe UI" w:eastAsia="Times New Roman" w:hAnsi="Segoe UI" w:cs="Segoe UI"/>
                <w:b/>
                <w:bCs/>
                <w:color w:val="000000"/>
                <w:sz w:val="20"/>
                <w:szCs w:val="20"/>
              </w:rPr>
              <w:t xml:space="preserve">Business </w:t>
            </w:r>
            <w:r w:rsidR="00F108D4" w:rsidRPr="00676FBE">
              <w:rPr>
                <w:rFonts w:ascii="Segoe UI" w:eastAsia="Times New Roman" w:hAnsi="Segoe UI" w:cs="Segoe UI"/>
                <w:b/>
                <w:bCs/>
                <w:color w:val="000000"/>
                <w:sz w:val="20"/>
                <w:szCs w:val="20"/>
              </w:rPr>
              <w:t>Income Tax</w:t>
            </w:r>
          </w:p>
        </w:tc>
      </w:tr>
      <w:tr w:rsidR="00F108D4" w:rsidRPr="00F108D4" w14:paraId="03FD294D" w14:textId="77777777" w:rsidTr="00F108D4">
        <w:tc>
          <w:tcPr>
            <w:tcW w:w="650" w:type="dxa"/>
            <w:tcBorders>
              <w:top w:val="single" w:sz="4" w:space="0" w:color="auto"/>
              <w:left w:val="nil"/>
              <w:bottom w:val="nil"/>
              <w:right w:val="nil"/>
            </w:tcBorders>
            <w:shd w:val="clear" w:color="auto" w:fill="auto"/>
            <w:noWrap/>
            <w:vAlign w:val="center"/>
            <w:hideMark/>
          </w:tcPr>
          <w:p w14:paraId="0640DA6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w:t>
            </w:r>
          </w:p>
        </w:tc>
        <w:tc>
          <w:tcPr>
            <w:tcW w:w="2143" w:type="dxa"/>
            <w:tcBorders>
              <w:top w:val="single" w:sz="4" w:space="0" w:color="auto"/>
              <w:left w:val="nil"/>
              <w:bottom w:val="nil"/>
              <w:right w:val="nil"/>
            </w:tcBorders>
            <w:shd w:val="clear" w:color="auto" w:fill="auto"/>
            <w:noWrap/>
            <w:vAlign w:val="center"/>
            <w:hideMark/>
          </w:tcPr>
          <w:p w14:paraId="0106F36B"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Exemption</w:t>
            </w:r>
          </w:p>
        </w:tc>
        <w:tc>
          <w:tcPr>
            <w:tcW w:w="1331" w:type="dxa"/>
            <w:tcBorders>
              <w:top w:val="single" w:sz="4" w:space="0" w:color="auto"/>
              <w:left w:val="nil"/>
              <w:bottom w:val="nil"/>
              <w:right w:val="nil"/>
            </w:tcBorders>
            <w:shd w:val="clear" w:color="auto" w:fill="auto"/>
            <w:noWrap/>
            <w:vAlign w:val="center"/>
            <w:hideMark/>
          </w:tcPr>
          <w:p w14:paraId="02B4EF1F" w14:textId="38843CFD"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525.3</w:t>
            </w:r>
            <w:r w:rsidR="00F108D4" w:rsidRPr="00F108D4">
              <w:rPr>
                <w:rFonts w:ascii="Segoe UI" w:eastAsia="Times New Roman" w:hAnsi="Segoe UI" w:cs="Segoe UI"/>
                <w:color w:val="000000"/>
                <w:sz w:val="20"/>
                <w:szCs w:val="20"/>
              </w:rPr>
              <w:t xml:space="preserve"> </w:t>
            </w:r>
          </w:p>
        </w:tc>
        <w:tc>
          <w:tcPr>
            <w:tcW w:w="1331" w:type="dxa"/>
            <w:tcBorders>
              <w:top w:val="single" w:sz="4" w:space="0" w:color="auto"/>
              <w:left w:val="nil"/>
              <w:bottom w:val="nil"/>
              <w:right w:val="nil"/>
            </w:tcBorders>
            <w:shd w:val="clear" w:color="auto" w:fill="auto"/>
            <w:noWrap/>
            <w:vAlign w:val="center"/>
            <w:hideMark/>
          </w:tcPr>
          <w:p w14:paraId="724621EC" w14:textId="5B927B21"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526.2</w:t>
            </w:r>
            <w:r w:rsidR="00F108D4" w:rsidRPr="00F108D4">
              <w:rPr>
                <w:rFonts w:ascii="Segoe UI" w:eastAsia="Times New Roman" w:hAnsi="Segoe UI" w:cs="Segoe UI"/>
                <w:color w:val="000000"/>
                <w:sz w:val="20"/>
                <w:szCs w:val="20"/>
              </w:rPr>
              <w:t xml:space="preserve"> </w:t>
            </w:r>
          </w:p>
        </w:tc>
        <w:tc>
          <w:tcPr>
            <w:tcW w:w="1332" w:type="dxa"/>
            <w:tcBorders>
              <w:top w:val="single" w:sz="4" w:space="0" w:color="auto"/>
              <w:left w:val="nil"/>
              <w:bottom w:val="nil"/>
              <w:right w:val="nil"/>
            </w:tcBorders>
            <w:shd w:val="clear" w:color="auto" w:fill="auto"/>
            <w:noWrap/>
            <w:vAlign w:val="center"/>
            <w:hideMark/>
          </w:tcPr>
          <w:p w14:paraId="07903FC7" w14:textId="6E6100A2"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502.4</w:t>
            </w:r>
            <w:r w:rsidR="00F108D4" w:rsidRPr="00F108D4">
              <w:rPr>
                <w:rFonts w:ascii="Segoe UI" w:eastAsia="Times New Roman" w:hAnsi="Segoe UI" w:cs="Segoe UI"/>
                <w:color w:val="000000"/>
                <w:sz w:val="20"/>
                <w:szCs w:val="20"/>
              </w:rPr>
              <w:t xml:space="preserve"> </w:t>
            </w:r>
          </w:p>
        </w:tc>
        <w:tc>
          <w:tcPr>
            <w:tcW w:w="1331" w:type="dxa"/>
            <w:tcBorders>
              <w:top w:val="single" w:sz="4" w:space="0" w:color="auto"/>
              <w:left w:val="nil"/>
              <w:bottom w:val="nil"/>
              <w:right w:val="nil"/>
            </w:tcBorders>
            <w:shd w:val="clear" w:color="auto" w:fill="auto"/>
            <w:noWrap/>
            <w:vAlign w:val="center"/>
            <w:hideMark/>
          </w:tcPr>
          <w:p w14:paraId="43EB62C6" w14:textId="7E99C2F7"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580.3</w:t>
            </w:r>
            <w:r w:rsidR="00F108D4" w:rsidRPr="00F108D4">
              <w:rPr>
                <w:rFonts w:ascii="Segoe UI" w:eastAsia="Times New Roman" w:hAnsi="Segoe UI" w:cs="Segoe UI"/>
                <w:color w:val="000000"/>
                <w:sz w:val="20"/>
                <w:szCs w:val="20"/>
              </w:rPr>
              <w:t xml:space="preserve"> </w:t>
            </w:r>
          </w:p>
        </w:tc>
        <w:tc>
          <w:tcPr>
            <w:tcW w:w="1332" w:type="dxa"/>
            <w:tcBorders>
              <w:top w:val="single" w:sz="4" w:space="0" w:color="auto"/>
              <w:left w:val="nil"/>
              <w:bottom w:val="nil"/>
              <w:right w:val="nil"/>
            </w:tcBorders>
            <w:shd w:val="clear" w:color="auto" w:fill="auto"/>
            <w:noWrap/>
            <w:vAlign w:val="center"/>
            <w:hideMark/>
          </w:tcPr>
          <w:p w14:paraId="38392996" w14:textId="067DC229"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645.5</w:t>
            </w:r>
          </w:p>
        </w:tc>
      </w:tr>
      <w:tr w:rsidR="00F108D4" w:rsidRPr="00F108D4" w14:paraId="7490724B" w14:textId="77777777" w:rsidTr="00F108D4">
        <w:tc>
          <w:tcPr>
            <w:tcW w:w="650" w:type="dxa"/>
            <w:tcBorders>
              <w:top w:val="nil"/>
              <w:left w:val="nil"/>
              <w:bottom w:val="nil"/>
              <w:right w:val="nil"/>
            </w:tcBorders>
            <w:shd w:val="clear" w:color="auto" w:fill="auto"/>
            <w:noWrap/>
            <w:vAlign w:val="center"/>
            <w:hideMark/>
          </w:tcPr>
          <w:p w14:paraId="22261F3B"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2B88CD03"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Deduction</w:t>
            </w:r>
          </w:p>
        </w:tc>
        <w:tc>
          <w:tcPr>
            <w:tcW w:w="1331" w:type="dxa"/>
            <w:tcBorders>
              <w:top w:val="nil"/>
              <w:left w:val="nil"/>
              <w:bottom w:val="nil"/>
              <w:right w:val="nil"/>
            </w:tcBorders>
            <w:shd w:val="clear" w:color="auto" w:fill="auto"/>
            <w:noWrap/>
            <w:vAlign w:val="center"/>
            <w:hideMark/>
          </w:tcPr>
          <w:p w14:paraId="3A2DB6DE" w14:textId="442475E6"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2.0</w:t>
            </w:r>
          </w:p>
        </w:tc>
        <w:tc>
          <w:tcPr>
            <w:tcW w:w="1331" w:type="dxa"/>
            <w:tcBorders>
              <w:top w:val="nil"/>
              <w:left w:val="nil"/>
              <w:bottom w:val="nil"/>
              <w:right w:val="nil"/>
            </w:tcBorders>
            <w:shd w:val="clear" w:color="auto" w:fill="auto"/>
            <w:noWrap/>
            <w:vAlign w:val="center"/>
            <w:hideMark/>
          </w:tcPr>
          <w:p w14:paraId="06CD4722" w14:textId="55B514CD"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2.0</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0C2E86B9" w14:textId="3BC6F33B"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1.9</w:t>
            </w:r>
            <w:r w:rsidR="00F108D4"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6FF3107D" w14:textId="05EB9B2E"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2.2</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5ACC8ED5" w14:textId="1DB2467A"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2.4</w:t>
            </w:r>
          </w:p>
        </w:tc>
      </w:tr>
      <w:tr w:rsidR="00F108D4" w:rsidRPr="00F108D4" w14:paraId="4E315CD5" w14:textId="77777777" w:rsidTr="00F108D4">
        <w:tc>
          <w:tcPr>
            <w:tcW w:w="650" w:type="dxa"/>
            <w:tcBorders>
              <w:top w:val="nil"/>
              <w:left w:val="nil"/>
              <w:bottom w:val="nil"/>
              <w:right w:val="nil"/>
            </w:tcBorders>
            <w:shd w:val="clear" w:color="auto" w:fill="auto"/>
            <w:noWrap/>
            <w:vAlign w:val="center"/>
            <w:hideMark/>
          </w:tcPr>
          <w:p w14:paraId="647D9D2E"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4203EA51"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Allowance</w:t>
            </w:r>
          </w:p>
        </w:tc>
        <w:tc>
          <w:tcPr>
            <w:tcW w:w="1331" w:type="dxa"/>
            <w:tcBorders>
              <w:top w:val="nil"/>
              <w:left w:val="nil"/>
              <w:bottom w:val="nil"/>
              <w:right w:val="nil"/>
            </w:tcBorders>
            <w:shd w:val="clear" w:color="auto" w:fill="auto"/>
            <w:noWrap/>
            <w:vAlign w:val="center"/>
            <w:hideMark/>
          </w:tcPr>
          <w:p w14:paraId="2B4101E4" w14:textId="45CBD70A"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3F1281">
              <w:rPr>
                <w:rFonts w:ascii="Segoe UI" w:eastAsia="Times New Roman" w:hAnsi="Segoe UI" w:cs="Segoe UI"/>
                <w:color w:val="000000"/>
                <w:sz w:val="20"/>
                <w:szCs w:val="20"/>
              </w:rPr>
              <w:t>13.3</w:t>
            </w:r>
            <w:r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77F240D8" w14:textId="2D8C758C"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3F1281">
              <w:rPr>
                <w:rFonts w:ascii="Segoe UI" w:eastAsia="Times New Roman" w:hAnsi="Segoe UI" w:cs="Segoe UI"/>
                <w:color w:val="000000"/>
                <w:sz w:val="20"/>
                <w:szCs w:val="20"/>
              </w:rPr>
              <w:t>13.3</w:t>
            </w:r>
            <w:r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23AEA771" w14:textId="594C4391"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3F1281">
              <w:rPr>
                <w:rFonts w:ascii="Segoe UI" w:eastAsia="Times New Roman" w:hAnsi="Segoe UI" w:cs="Segoe UI"/>
                <w:color w:val="000000"/>
                <w:sz w:val="20"/>
                <w:szCs w:val="20"/>
              </w:rPr>
              <w:t>12.7</w:t>
            </w:r>
            <w:r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7E5A4F06" w14:textId="79CDFE0E"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3F1281">
              <w:rPr>
                <w:rFonts w:ascii="Segoe UI" w:eastAsia="Times New Roman" w:hAnsi="Segoe UI" w:cs="Segoe UI"/>
                <w:color w:val="000000"/>
                <w:sz w:val="20"/>
                <w:szCs w:val="20"/>
              </w:rPr>
              <w:t>14.7</w:t>
            </w:r>
          </w:p>
        </w:tc>
        <w:tc>
          <w:tcPr>
            <w:tcW w:w="1332" w:type="dxa"/>
            <w:tcBorders>
              <w:top w:val="nil"/>
              <w:left w:val="nil"/>
              <w:bottom w:val="nil"/>
              <w:right w:val="nil"/>
            </w:tcBorders>
            <w:shd w:val="clear" w:color="auto" w:fill="auto"/>
            <w:noWrap/>
            <w:vAlign w:val="center"/>
            <w:hideMark/>
          </w:tcPr>
          <w:p w14:paraId="69968320" w14:textId="2B3B91F6"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3F1281">
              <w:rPr>
                <w:rFonts w:ascii="Segoe UI" w:eastAsia="Times New Roman" w:hAnsi="Segoe UI" w:cs="Segoe UI"/>
                <w:color w:val="000000"/>
                <w:sz w:val="20"/>
                <w:szCs w:val="20"/>
              </w:rPr>
              <w:t>16.4</w:t>
            </w:r>
          </w:p>
        </w:tc>
      </w:tr>
      <w:tr w:rsidR="00F108D4" w:rsidRPr="00F108D4" w14:paraId="3128FBED" w14:textId="77777777" w:rsidTr="00F108D4">
        <w:tc>
          <w:tcPr>
            <w:tcW w:w="650" w:type="dxa"/>
            <w:tcBorders>
              <w:top w:val="nil"/>
              <w:left w:val="nil"/>
              <w:bottom w:val="nil"/>
              <w:right w:val="nil"/>
            </w:tcBorders>
            <w:shd w:val="clear" w:color="auto" w:fill="auto"/>
            <w:noWrap/>
            <w:vAlign w:val="center"/>
            <w:hideMark/>
          </w:tcPr>
          <w:p w14:paraId="56C33B08"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1ABC921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Deferral </w:t>
            </w:r>
          </w:p>
        </w:tc>
        <w:tc>
          <w:tcPr>
            <w:tcW w:w="1331" w:type="dxa"/>
            <w:tcBorders>
              <w:top w:val="nil"/>
              <w:left w:val="nil"/>
              <w:bottom w:val="nil"/>
              <w:right w:val="nil"/>
            </w:tcBorders>
            <w:shd w:val="clear" w:color="auto" w:fill="auto"/>
            <w:noWrap/>
            <w:vAlign w:val="center"/>
            <w:hideMark/>
          </w:tcPr>
          <w:p w14:paraId="4F3CB985" w14:textId="093052DD"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1" w:type="dxa"/>
            <w:tcBorders>
              <w:top w:val="nil"/>
              <w:left w:val="nil"/>
              <w:bottom w:val="nil"/>
              <w:right w:val="nil"/>
            </w:tcBorders>
            <w:shd w:val="clear" w:color="auto" w:fill="auto"/>
            <w:noWrap/>
            <w:vAlign w:val="center"/>
            <w:hideMark/>
          </w:tcPr>
          <w:p w14:paraId="67A5FC41" w14:textId="5A520DDF"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2" w:type="dxa"/>
            <w:tcBorders>
              <w:top w:val="nil"/>
              <w:left w:val="nil"/>
              <w:bottom w:val="nil"/>
              <w:right w:val="nil"/>
            </w:tcBorders>
            <w:shd w:val="clear" w:color="auto" w:fill="auto"/>
            <w:noWrap/>
            <w:vAlign w:val="center"/>
            <w:hideMark/>
          </w:tcPr>
          <w:p w14:paraId="65CB3AC1" w14:textId="0BF0D0A9"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1" w:type="dxa"/>
            <w:tcBorders>
              <w:top w:val="nil"/>
              <w:left w:val="nil"/>
              <w:bottom w:val="nil"/>
              <w:right w:val="nil"/>
            </w:tcBorders>
            <w:shd w:val="clear" w:color="auto" w:fill="auto"/>
            <w:noWrap/>
            <w:vAlign w:val="center"/>
            <w:hideMark/>
          </w:tcPr>
          <w:p w14:paraId="4099E298" w14:textId="78A7E21C"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2" w:type="dxa"/>
            <w:tcBorders>
              <w:top w:val="nil"/>
              <w:left w:val="nil"/>
              <w:bottom w:val="nil"/>
              <w:right w:val="nil"/>
            </w:tcBorders>
            <w:shd w:val="clear" w:color="auto" w:fill="auto"/>
            <w:noWrap/>
            <w:vAlign w:val="center"/>
            <w:hideMark/>
          </w:tcPr>
          <w:p w14:paraId="6A96AAF2" w14:textId="4703EC8E"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r>
      <w:tr w:rsidR="00F108D4" w:rsidRPr="00F108D4" w14:paraId="4714D8CA" w14:textId="77777777" w:rsidTr="00F108D4">
        <w:tc>
          <w:tcPr>
            <w:tcW w:w="650" w:type="dxa"/>
            <w:tcBorders>
              <w:top w:val="nil"/>
              <w:left w:val="nil"/>
              <w:bottom w:val="nil"/>
              <w:right w:val="nil"/>
            </w:tcBorders>
            <w:shd w:val="clear" w:color="auto" w:fill="auto"/>
            <w:noWrap/>
            <w:vAlign w:val="center"/>
            <w:hideMark/>
          </w:tcPr>
          <w:p w14:paraId="0C559029"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49883F4C"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Rate reduction</w:t>
            </w:r>
          </w:p>
        </w:tc>
        <w:tc>
          <w:tcPr>
            <w:tcW w:w="1331" w:type="dxa"/>
            <w:tcBorders>
              <w:top w:val="nil"/>
              <w:left w:val="nil"/>
              <w:bottom w:val="nil"/>
              <w:right w:val="nil"/>
            </w:tcBorders>
            <w:shd w:val="clear" w:color="auto" w:fill="auto"/>
            <w:noWrap/>
            <w:vAlign w:val="center"/>
            <w:hideMark/>
          </w:tcPr>
          <w:p w14:paraId="0AF12E9D" w14:textId="73702640"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220.7</w:t>
            </w:r>
            <w:r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6195F501" w14:textId="5EA133E9"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221.0</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50E51B80" w14:textId="248840E7"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211.1</w:t>
            </w:r>
          </w:p>
        </w:tc>
        <w:tc>
          <w:tcPr>
            <w:tcW w:w="1331" w:type="dxa"/>
            <w:tcBorders>
              <w:top w:val="nil"/>
              <w:left w:val="nil"/>
              <w:bottom w:val="nil"/>
              <w:right w:val="nil"/>
            </w:tcBorders>
            <w:shd w:val="clear" w:color="auto" w:fill="auto"/>
            <w:noWrap/>
            <w:vAlign w:val="center"/>
            <w:hideMark/>
          </w:tcPr>
          <w:p w14:paraId="005CEC2C" w14:textId="7AFEB310"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243.6</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07DD1254" w14:textId="6E7853EA"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271.3</w:t>
            </w:r>
            <w:r w:rsidR="00F108D4" w:rsidRPr="00F108D4">
              <w:rPr>
                <w:rFonts w:ascii="Segoe UI" w:eastAsia="Times New Roman" w:hAnsi="Segoe UI" w:cs="Segoe UI"/>
                <w:color w:val="000000"/>
                <w:sz w:val="20"/>
                <w:szCs w:val="20"/>
              </w:rPr>
              <w:t xml:space="preserve"> </w:t>
            </w:r>
          </w:p>
        </w:tc>
      </w:tr>
      <w:tr w:rsidR="00F108D4" w:rsidRPr="00F108D4" w14:paraId="27CCF641" w14:textId="77777777" w:rsidTr="00F108D4">
        <w:tc>
          <w:tcPr>
            <w:tcW w:w="650" w:type="dxa"/>
            <w:tcBorders>
              <w:top w:val="nil"/>
              <w:left w:val="nil"/>
              <w:bottom w:val="nil"/>
              <w:right w:val="nil"/>
            </w:tcBorders>
            <w:shd w:val="clear" w:color="auto" w:fill="auto"/>
            <w:noWrap/>
            <w:vAlign w:val="center"/>
            <w:hideMark/>
          </w:tcPr>
          <w:p w14:paraId="05CD8F0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39F58977"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Credit</w:t>
            </w:r>
          </w:p>
        </w:tc>
        <w:tc>
          <w:tcPr>
            <w:tcW w:w="1331" w:type="dxa"/>
            <w:tcBorders>
              <w:top w:val="nil"/>
              <w:left w:val="nil"/>
              <w:bottom w:val="nil"/>
              <w:right w:val="nil"/>
            </w:tcBorders>
            <w:shd w:val="clear" w:color="auto" w:fill="auto"/>
            <w:noWrap/>
            <w:vAlign w:val="center"/>
            <w:hideMark/>
          </w:tcPr>
          <w:p w14:paraId="1BA7665C" w14:textId="153D4192"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1" w:type="dxa"/>
            <w:tcBorders>
              <w:top w:val="nil"/>
              <w:left w:val="nil"/>
              <w:bottom w:val="nil"/>
              <w:right w:val="nil"/>
            </w:tcBorders>
            <w:shd w:val="clear" w:color="auto" w:fill="auto"/>
            <w:noWrap/>
            <w:vAlign w:val="center"/>
            <w:hideMark/>
          </w:tcPr>
          <w:p w14:paraId="000E9FE2" w14:textId="7DBD669F"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2" w:type="dxa"/>
            <w:tcBorders>
              <w:top w:val="nil"/>
              <w:left w:val="nil"/>
              <w:bottom w:val="nil"/>
              <w:right w:val="nil"/>
            </w:tcBorders>
            <w:shd w:val="clear" w:color="auto" w:fill="auto"/>
            <w:noWrap/>
            <w:vAlign w:val="center"/>
            <w:hideMark/>
          </w:tcPr>
          <w:p w14:paraId="4C184704" w14:textId="16D65342"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1" w:type="dxa"/>
            <w:tcBorders>
              <w:top w:val="nil"/>
              <w:left w:val="nil"/>
              <w:bottom w:val="nil"/>
              <w:right w:val="nil"/>
            </w:tcBorders>
            <w:shd w:val="clear" w:color="auto" w:fill="auto"/>
            <w:noWrap/>
            <w:vAlign w:val="center"/>
            <w:hideMark/>
          </w:tcPr>
          <w:p w14:paraId="5A693AD8" w14:textId="623A2619"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c>
          <w:tcPr>
            <w:tcW w:w="1332" w:type="dxa"/>
            <w:tcBorders>
              <w:top w:val="nil"/>
              <w:left w:val="nil"/>
              <w:bottom w:val="nil"/>
              <w:right w:val="nil"/>
            </w:tcBorders>
            <w:shd w:val="clear" w:color="auto" w:fill="auto"/>
            <w:noWrap/>
            <w:vAlign w:val="center"/>
            <w:hideMark/>
          </w:tcPr>
          <w:p w14:paraId="12036882" w14:textId="4F99D09A"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w:t>
            </w:r>
          </w:p>
        </w:tc>
      </w:tr>
      <w:tr w:rsidR="00F108D4" w:rsidRPr="00F108D4" w14:paraId="2CB473A8" w14:textId="77777777" w:rsidTr="00F108D4">
        <w:tc>
          <w:tcPr>
            <w:tcW w:w="2793" w:type="dxa"/>
            <w:gridSpan w:val="2"/>
            <w:tcBorders>
              <w:top w:val="nil"/>
              <w:left w:val="nil"/>
              <w:bottom w:val="nil"/>
              <w:right w:val="nil"/>
            </w:tcBorders>
            <w:shd w:val="clear" w:color="auto" w:fill="auto"/>
            <w:noWrap/>
            <w:vAlign w:val="center"/>
            <w:hideMark/>
          </w:tcPr>
          <w:p w14:paraId="7D0FE9D6" w14:textId="65D8C862" w:rsidR="00F108D4" w:rsidRPr="00F108D4" w:rsidRDefault="00F108D4" w:rsidP="00FD11D9">
            <w:pPr>
              <w:spacing w:after="0" w:line="240" w:lineRule="auto"/>
              <w:jc w:val="both"/>
              <w:rPr>
                <w:rFonts w:ascii="Segoe UI" w:eastAsia="Times New Roman" w:hAnsi="Segoe UI" w:cs="Segoe UI"/>
                <w:color w:val="000000"/>
                <w:sz w:val="20"/>
                <w:szCs w:val="20"/>
              </w:rPr>
            </w:pPr>
            <w:r w:rsidRPr="00CB1E53">
              <w:rPr>
                <w:rFonts w:ascii="Segoe UI" w:eastAsia="Times New Roman" w:hAnsi="Segoe UI" w:cs="Segoe UI"/>
                <w:color w:val="000000"/>
                <w:sz w:val="20"/>
                <w:szCs w:val="20"/>
              </w:rPr>
              <w:t xml:space="preserve">  </w:t>
            </w:r>
            <w:r w:rsidRPr="00F108D4">
              <w:rPr>
                <w:rFonts w:ascii="Segoe UI" w:eastAsia="Times New Roman" w:hAnsi="Segoe UI" w:cs="Segoe UI"/>
                <w:color w:val="000000"/>
                <w:sz w:val="20"/>
                <w:szCs w:val="20"/>
              </w:rPr>
              <w:t xml:space="preserve">Total </w:t>
            </w:r>
            <w:r w:rsidR="00E06B69">
              <w:rPr>
                <w:rFonts w:ascii="Segoe UI" w:eastAsia="Times New Roman" w:hAnsi="Segoe UI" w:cs="Segoe UI"/>
                <w:color w:val="000000"/>
                <w:sz w:val="20"/>
                <w:szCs w:val="20"/>
              </w:rPr>
              <w:t>Business</w:t>
            </w:r>
            <w:r w:rsidR="00E06B69" w:rsidRPr="00F108D4">
              <w:rPr>
                <w:rFonts w:ascii="Segoe UI" w:eastAsia="Times New Roman" w:hAnsi="Segoe UI" w:cs="Segoe UI"/>
                <w:color w:val="000000"/>
                <w:sz w:val="20"/>
                <w:szCs w:val="20"/>
              </w:rPr>
              <w:t xml:space="preserve"> </w:t>
            </w:r>
            <w:r w:rsidRPr="00F108D4">
              <w:rPr>
                <w:rFonts w:ascii="Segoe UI" w:eastAsia="Times New Roman" w:hAnsi="Segoe UI" w:cs="Segoe UI"/>
                <w:color w:val="000000"/>
                <w:sz w:val="20"/>
                <w:szCs w:val="20"/>
              </w:rPr>
              <w:t>Income Tax</w:t>
            </w:r>
          </w:p>
        </w:tc>
        <w:tc>
          <w:tcPr>
            <w:tcW w:w="1331" w:type="dxa"/>
            <w:tcBorders>
              <w:top w:val="nil"/>
              <w:left w:val="nil"/>
              <w:bottom w:val="nil"/>
              <w:right w:val="nil"/>
            </w:tcBorders>
            <w:shd w:val="clear" w:color="auto" w:fill="auto"/>
            <w:noWrap/>
            <w:vAlign w:val="center"/>
            <w:hideMark/>
          </w:tcPr>
          <w:p w14:paraId="668AA8DB" w14:textId="4499F465"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761.3</w:t>
            </w:r>
          </w:p>
        </w:tc>
        <w:tc>
          <w:tcPr>
            <w:tcW w:w="1331" w:type="dxa"/>
            <w:tcBorders>
              <w:top w:val="nil"/>
              <w:left w:val="nil"/>
              <w:bottom w:val="nil"/>
              <w:right w:val="nil"/>
            </w:tcBorders>
            <w:shd w:val="clear" w:color="auto" w:fill="auto"/>
            <w:noWrap/>
            <w:vAlign w:val="center"/>
            <w:hideMark/>
          </w:tcPr>
          <w:p w14:paraId="707CCBF9" w14:textId="71B461E1"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762.5</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7EA9F74E" w14:textId="6312B1A1"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728.1</w:t>
            </w:r>
            <w:r w:rsidR="00F108D4" w:rsidRPr="00F108D4">
              <w:rPr>
                <w:rFonts w:ascii="Segoe UI" w:eastAsia="Times New Roman" w:hAnsi="Segoe UI" w:cs="Segoe UI"/>
                <w:color w:val="000000"/>
                <w:sz w:val="20"/>
                <w:szCs w:val="20"/>
              </w:rPr>
              <w:t xml:space="preserve"> </w:t>
            </w:r>
          </w:p>
        </w:tc>
        <w:tc>
          <w:tcPr>
            <w:tcW w:w="1331" w:type="dxa"/>
            <w:tcBorders>
              <w:top w:val="nil"/>
              <w:left w:val="nil"/>
              <w:bottom w:val="nil"/>
              <w:right w:val="nil"/>
            </w:tcBorders>
            <w:shd w:val="clear" w:color="auto" w:fill="auto"/>
            <w:noWrap/>
            <w:vAlign w:val="center"/>
            <w:hideMark/>
          </w:tcPr>
          <w:p w14:paraId="5981623F" w14:textId="2296A9A8" w:rsidR="00F108D4" w:rsidRPr="00F108D4" w:rsidRDefault="0064294D" w:rsidP="00FD11D9">
            <w:pPr>
              <w:spacing w:after="0"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840.8</w:t>
            </w:r>
            <w:r w:rsidR="00F108D4" w:rsidRPr="00F108D4">
              <w:rPr>
                <w:rFonts w:ascii="Segoe UI" w:eastAsia="Times New Roman" w:hAnsi="Segoe UI" w:cs="Segoe UI"/>
                <w:color w:val="000000"/>
                <w:sz w:val="20"/>
                <w:szCs w:val="20"/>
              </w:rPr>
              <w:t xml:space="preserve"> </w:t>
            </w:r>
          </w:p>
        </w:tc>
        <w:tc>
          <w:tcPr>
            <w:tcW w:w="1332" w:type="dxa"/>
            <w:tcBorders>
              <w:top w:val="nil"/>
              <w:left w:val="nil"/>
              <w:bottom w:val="nil"/>
              <w:right w:val="nil"/>
            </w:tcBorders>
            <w:shd w:val="clear" w:color="auto" w:fill="auto"/>
            <w:noWrap/>
            <w:vAlign w:val="center"/>
            <w:hideMark/>
          </w:tcPr>
          <w:p w14:paraId="53A2EEEA" w14:textId="5E43EEAF"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w:t>
            </w:r>
            <w:r w:rsidR="0064294D">
              <w:rPr>
                <w:rFonts w:ascii="Segoe UI" w:eastAsia="Times New Roman" w:hAnsi="Segoe UI" w:cs="Segoe UI"/>
                <w:color w:val="000000"/>
                <w:sz w:val="20"/>
                <w:szCs w:val="20"/>
              </w:rPr>
              <w:t xml:space="preserve">       </w:t>
            </w:r>
            <w:r w:rsidR="00676FBE">
              <w:rPr>
                <w:rFonts w:ascii="Segoe UI" w:eastAsia="Times New Roman" w:hAnsi="Segoe UI" w:cs="Segoe UI"/>
                <w:color w:val="000000"/>
                <w:sz w:val="20"/>
                <w:szCs w:val="20"/>
              </w:rPr>
              <w:t>935.6</w:t>
            </w:r>
          </w:p>
        </w:tc>
      </w:tr>
      <w:tr w:rsidR="00F108D4" w:rsidRPr="00F108D4" w14:paraId="38E59ECF" w14:textId="77777777" w:rsidTr="00F108D4">
        <w:tc>
          <w:tcPr>
            <w:tcW w:w="9450" w:type="dxa"/>
            <w:gridSpan w:val="7"/>
            <w:tcBorders>
              <w:top w:val="single" w:sz="4" w:space="0" w:color="auto"/>
              <w:left w:val="nil"/>
              <w:bottom w:val="nil"/>
              <w:right w:val="nil"/>
            </w:tcBorders>
            <w:shd w:val="clear" w:color="auto" w:fill="auto"/>
            <w:noWrap/>
            <w:vAlign w:val="center"/>
            <w:hideMark/>
          </w:tcPr>
          <w:p w14:paraId="21C5B60C" w14:textId="77777777" w:rsidR="00F108D4" w:rsidRPr="00F108D4" w:rsidRDefault="00F108D4" w:rsidP="00FD11D9">
            <w:pPr>
              <w:keepNext/>
              <w:keepLines/>
              <w:spacing w:after="0" w:line="240" w:lineRule="auto"/>
              <w:jc w:val="both"/>
              <w:rPr>
                <w:rFonts w:ascii="Segoe UI" w:eastAsia="Times New Roman" w:hAnsi="Segoe UI" w:cs="Segoe UI"/>
                <w:b/>
                <w:bCs/>
                <w:color w:val="000000"/>
                <w:sz w:val="20"/>
                <w:szCs w:val="20"/>
              </w:rPr>
            </w:pPr>
            <w:r w:rsidRPr="00F108D4">
              <w:rPr>
                <w:rFonts w:ascii="Segoe UI" w:eastAsia="Times New Roman" w:hAnsi="Segoe UI" w:cs="Segoe UI"/>
                <w:b/>
                <w:bCs/>
                <w:color w:val="000000"/>
                <w:sz w:val="20"/>
                <w:szCs w:val="20"/>
              </w:rPr>
              <w:lastRenderedPageBreak/>
              <w:t>Value Added Tax</w:t>
            </w:r>
          </w:p>
        </w:tc>
      </w:tr>
      <w:tr w:rsidR="00F108D4" w:rsidRPr="00F108D4" w14:paraId="7D329B8C" w14:textId="77777777" w:rsidTr="00F108D4">
        <w:tc>
          <w:tcPr>
            <w:tcW w:w="650" w:type="dxa"/>
            <w:tcBorders>
              <w:top w:val="single" w:sz="4" w:space="0" w:color="auto"/>
              <w:left w:val="nil"/>
              <w:bottom w:val="nil"/>
              <w:right w:val="nil"/>
            </w:tcBorders>
            <w:shd w:val="clear" w:color="auto" w:fill="auto"/>
            <w:noWrap/>
            <w:vAlign w:val="center"/>
            <w:hideMark/>
          </w:tcPr>
          <w:p w14:paraId="5C0A4ABB"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w:t>
            </w:r>
          </w:p>
        </w:tc>
        <w:tc>
          <w:tcPr>
            <w:tcW w:w="2143" w:type="dxa"/>
            <w:tcBorders>
              <w:top w:val="single" w:sz="4" w:space="0" w:color="auto"/>
              <w:left w:val="nil"/>
              <w:bottom w:val="nil"/>
              <w:right w:val="nil"/>
            </w:tcBorders>
            <w:shd w:val="clear" w:color="auto" w:fill="auto"/>
            <w:noWrap/>
            <w:vAlign w:val="center"/>
            <w:hideMark/>
          </w:tcPr>
          <w:p w14:paraId="11E1D87B" w14:textId="77777777" w:rsidR="00F108D4" w:rsidRPr="00E56E30" w:rsidRDefault="00F108D4" w:rsidP="00FD11D9">
            <w:pPr>
              <w:keepNext/>
              <w:keepLines/>
              <w:spacing w:after="0" w:line="240" w:lineRule="auto"/>
              <w:jc w:val="both"/>
              <w:rPr>
                <w:rFonts w:ascii="Segoe UI" w:eastAsia="Times New Roman" w:hAnsi="Segoe UI" w:cs="Segoe UI"/>
                <w:color w:val="000000"/>
                <w:sz w:val="20"/>
                <w:szCs w:val="20"/>
              </w:rPr>
            </w:pPr>
            <w:r w:rsidRPr="00E56E30">
              <w:rPr>
                <w:rFonts w:ascii="Segoe UI" w:eastAsia="Times New Roman" w:hAnsi="Segoe UI" w:cs="Segoe UI"/>
                <w:color w:val="000000"/>
                <w:sz w:val="20"/>
                <w:szCs w:val="20"/>
              </w:rPr>
              <w:t>Zero rated items</w:t>
            </w:r>
          </w:p>
        </w:tc>
        <w:tc>
          <w:tcPr>
            <w:tcW w:w="1331" w:type="dxa"/>
            <w:tcBorders>
              <w:top w:val="single" w:sz="4" w:space="0" w:color="auto"/>
              <w:left w:val="nil"/>
              <w:bottom w:val="nil"/>
              <w:right w:val="nil"/>
            </w:tcBorders>
            <w:shd w:val="clear" w:color="auto" w:fill="auto"/>
            <w:noWrap/>
            <w:vAlign w:val="center"/>
            <w:hideMark/>
          </w:tcPr>
          <w:p w14:paraId="203A936B"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499.4 </w:t>
            </w:r>
          </w:p>
        </w:tc>
        <w:tc>
          <w:tcPr>
            <w:tcW w:w="1331" w:type="dxa"/>
            <w:tcBorders>
              <w:top w:val="single" w:sz="4" w:space="0" w:color="auto"/>
              <w:left w:val="nil"/>
              <w:bottom w:val="nil"/>
              <w:right w:val="nil"/>
            </w:tcBorders>
            <w:shd w:val="clear" w:color="auto" w:fill="auto"/>
            <w:noWrap/>
            <w:vAlign w:val="center"/>
            <w:hideMark/>
          </w:tcPr>
          <w:p w14:paraId="02363436"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547.3 </w:t>
            </w:r>
          </w:p>
        </w:tc>
        <w:tc>
          <w:tcPr>
            <w:tcW w:w="1332" w:type="dxa"/>
            <w:tcBorders>
              <w:top w:val="single" w:sz="4" w:space="0" w:color="auto"/>
              <w:left w:val="nil"/>
              <w:bottom w:val="nil"/>
              <w:right w:val="nil"/>
            </w:tcBorders>
            <w:shd w:val="clear" w:color="auto" w:fill="auto"/>
            <w:noWrap/>
            <w:vAlign w:val="center"/>
            <w:hideMark/>
          </w:tcPr>
          <w:p w14:paraId="747DA1E7"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532.2 </w:t>
            </w:r>
          </w:p>
        </w:tc>
        <w:tc>
          <w:tcPr>
            <w:tcW w:w="1331" w:type="dxa"/>
            <w:tcBorders>
              <w:top w:val="single" w:sz="4" w:space="0" w:color="auto"/>
              <w:left w:val="nil"/>
              <w:bottom w:val="nil"/>
              <w:right w:val="nil"/>
            </w:tcBorders>
            <w:shd w:val="clear" w:color="auto" w:fill="auto"/>
            <w:noWrap/>
            <w:vAlign w:val="center"/>
            <w:hideMark/>
          </w:tcPr>
          <w:p w14:paraId="12B91428"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648.3 </w:t>
            </w:r>
          </w:p>
        </w:tc>
        <w:tc>
          <w:tcPr>
            <w:tcW w:w="1332" w:type="dxa"/>
            <w:tcBorders>
              <w:top w:val="single" w:sz="4" w:space="0" w:color="auto"/>
              <w:left w:val="nil"/>
              <w:bottom w:val="nil"/>
              <w:right w:val="nil"/>
            </w:tcBorders>
            <w:shd w:val="clear" w:color="auto" w:fill="auto"/>
            <w:noWrap/>
            <w:vAlign w:val="center"/>
            <w:hideMark/>
          </w:tcPr>
          <w:p w14:paraId="61470909"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714.3 </w:t>
            </w:r>
          </w:p>
        </w:tc>
      </w:tr>
      <w:tr w:rsidR="00F108D4" w:rsidRPr="00F108D4" w14:paraId="6495448F" w14:textId="77777777" w:rsidTr="00F108D4">
        <w:tc>
          <w:tcPr>
            <w:tcW w:w="650" w:type="dxa"/>
            <w:tcBorders>
              <w:top w:val="nil"/>
              <w:left w:val="nil"/>
              <w:bottom w:val="nil"/>
              <w:right w:val="nil"/>
            </w:tcBorders>
            <w:shd w:val="clear" w:color="auto" w:fill="auto"/>
            <w:noWrap/>
            <w:vAlign w:val="center"/>
            <w:hideMark/>
          </w:tcPr>
          <w:p w14:paraId="19863EA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4E1F2D37" w14:textId="77777777" w:rsidR="00F108D4" w:rsidRPr="00E56E30" w:rsidRDefault="00F108D4" w:rsidP="00FD11D9">
            <w:pPr>
              <w:keepNext/>
              <w:keepLines/>
              <w:spacing w:after="0" w:line="240" w:lineRule="auto"/>
              <w:jc w:val="both"/>
              <w:rPr>
                <w:rFonts w:ascii="Segoe UI" w:eastAsia="Times New Roman" w:hAnsi="Segoe UI" w:cs="Segoe UI"/>
                <w:color w:val="000000"/>
                <w:sz w:val="20"/>
                <w:szCs w:val="20"/>
              </w:rPr>
            </w:pPr>
            <w:r w:rsidRPr="00E56E30">
              <w:rPr>
                <w:rFonts w:ascii="Segoe UI" w:eastAsia="Times New Roman" w:hAnsi="Segoe UI" w:cs="Segoe UI"/>
                <w:color w:val="000000"/>
                <w:sz w:val="20"/>
                <w:szCs w:val="20"/>
              </w:rPr>
              <w:t>Exempt items</w:t>
            </w:r>
          </w:p>
        </w:tc>
        <w:tc>
          <w:tcPr>
            <w:tcW w:w="1331" w:type="dxa"/>
            <w:tcBorders>
              <w:top w:val="nil"/>
              <w:left w:val="nil"/>
              <w:bottom w:val="nil"/>
              <w:right w:val="nil"/>
            </w:tcBorders>
            <w:shd w:val="clear" w:color="auto" w:fill="auto"/>
            <w:noWrap/>
            <w:vAlign w:val="center"/>
            <w:hideMark/>
          </w:tcPr>
          <w:p w14:paraId="1D1683EE"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2,233.1 </w:t>
            </w:r>
          </w:p>
        </w:tc>
        <w:tc>
          <w:tcPr>
            <w:tcW w:w="1331" w:type="dxa"/>
            <w:tcBorders>
              <w:top w:val="nil"/>
              <w:left w:val="nil"/>
              <w:bottom w:val="nil"/>
              <w:right w:val="nil"/>
            </w:tcBorders>
            <w:shd w:val="clear" w:color="auto" w:fill="auto"/>
            <w:noWrap/>
            <w:vAlign w:val="center"/>
            <w:hideMark/>
          </w:tcPr>
          <w:p w14:paraId="03CFF8FD"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2,456.7 </w:t>
            </w:r>
          </w:p>
        </w:tc>
        <w:tc>
          <w:tcPr>
            <w:tcW w:w="1332" w:type="dxa"/>
            <w:tcBorders>
              <w:top w:val="nil"/>
              <w:left w:val="nil"/>
              <w:bottom w:val="nil"/>
              <w:right w:val="nil"/>
            </w:tcBorders>
            <w:shd w:val="clear" w:color="auto" w:fill="auto"/>
            <w:noWrap/>
            <w:vAlign w:val="center"/>
            <w:hideMark/>
          </w:tcPr>
          <w:p w14:paraId="5C8FA5E0"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2,384.4 </w:t>
            </w:r>
          </w:p>
        </w:tc>
        <w:tc>
          <w:tcPr>
            <w:tcW w:w="1331" w:type="dxa"/>
            <w:tcBorders>
              <w:top w:val="nil"/>
              <w:left w:val="nil"/>
              <w:bottom w:val="nil"/>
              <w:right w:val="nil"/>
            </w:tcBorders>
            <w:shd w:val="clear" w:color="auto" w:fill="auto"/>
            <w:noWrap/>
            <w:vAlign w:val="center"/>
            <w:hideMark/>
          </w:tcPr>
          <w:p w14:paraId="0DDB6369"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2,906.0 </w:t>
            </w:r>
          </w:p>
        </w:tc>
        <w:tc>
          <w:tcPr>
            <w:tcW w:w="1332" w:type="dxa"/>
            <w:tcBorders>
              <w:top w:val="nil"/>
              <w:left w:val="nil"/>
              <w:bottom w:val="nil"/>
              <w:right w:val="nil"/>
            </w:tcBorders>
            <w:shd w:val="clear" w:color="auto" w:fill="auto"/>
            <w:noWrap/>
            <w:vAlign w:val="center"/>
            <w:hideMark/>
          </w:tcPr>
          <w:p w14:paraId="34816F3D" w14:textId="77777777" w:rsidR="00F108D4" w:rsidRPr="00F108D4" w:rsidRDefault="00F108D4" w:rsidP="00FD11D9">
            <w:pPr>
              <w:keepNext/>
              <w:keepLines/>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3,209.5 </w:t>
            </w:r>
          </w:p>
        </w:tc>
      </w:tr>
      <w:tr w:rsidR="00F108D4" w:rsidRPr="00F108D4" w14:paraId="164F61BA" w14:textId="77777777" w:rsidTr="00F108D4">
        <w:tc>
          <w:tcPr>
            <w:tcW w:w="650" w:type="dxa"/>
            <w:tcBorders>
              <w:top w:val="nil"/>
              <w:left w:val="nil"/>
              <w:bottom w:val="nil"/>
              <w:right w:val="nil"/>
            </w:tcBorders>
            <w:shd w:val="clear" w:color="auto" w:fill="auto"/>
            <w:noWrap/>
            <w:vAlign w:val="bottom"/>
            <w:hideMark/>
          </w:tcPr>
          <w:p w14:paraId="4D74142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bottom"/>
            <w:hideMark/>
          </w:tcPr>
          <w:p w14:paraId="79357C05" w14:textId="77777777" w:rsidR="00F108D4" w:rsidRPr="00E56E30" w:rsidRDefault="00F108D4" w:rsidP="00FD11D9">
            <w:pPr>
              <w:spacing w:after="0" w:line="240" w:lineRule="auto"/>
              <w:jc w:val="both"/>
              <w:rPr>
                <w:rFonts w:ascii="Segoe UI" w:eastAsia="Times New Roman" w:hAnsi="Segoe UI" w:cs="Segoe UI"/>
                <w:color w:val="000000"/>
                <w:sz w:val="20"/>
                <w:szCs w:val="20"/>
              </w:rPr>
            </w:pPr>
            <w:r w:rsidRPr="00E56E30">
              <w:rPr>
                <w:rFonts w:ascii="Segoe UI" w:eastAsia="Times New Roman" w:hAnsi="Segoe UI" w:cs="Segoe UI"/>
                <w:color w:val="000000"/>
                <w:sz w:val="20"/>
                <w:szCs w:val="20"/>
              </w:rPr>
              <w:t>Reduced rate items</w:t>
            </w:r>
          </w:p>
        </w:tc>
        <w:tc>
          <w:tcPr>
            <w:tcW w:w="1331" w:type="dxa"/>
            <w:tcBorders>
              <w:top w:val="nil"/>
              <w:left w:val="nil"/>
              <w:bottom w:val="nil"/>
              <w:right w:val="nil"/>
            </w:tcBorders>
            <w:shd w:val="clear" w:color="auto" w:fill="auto"/>
            <w:noWrap/>
            <w:vAlign w:val="center"/>
            <w:hideMark/>
          </w:tcPr>
          <w:p w14:paraId="13E3CEF2"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1,558.2 </w:t>
            </w:r>
          </w:p>
        </w:tc>
        <w:tc>
          <w:tcPr>
            <w:tcW w:w="1331" w:type="dxa"/>
            <w:tcBorders>
              <w:top w:val="nil"/>
              <w:left w:val="nil"/>
              <w:bottom w:val="nil"/>
              <w:right w:val="nil"/>
            </w:tcBorders>
            <w:shd w:val="clear" w:color="auto" w:fill="auto"/>
            <w:noWrap/>
            <w:vAlign w:val="center"/>
            <w:hideMark/>
          </w:tcPr>
          <w:p w14:paraId="2586C899"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1,757.0 </w:t>
            </w:r>
          </w:p>
        </w:tc>
        <w:tc>
          <w:tcPr>
            <w:tcW w:w="1332" w:type="dxa"/>
            <w:tcBorders>
              <w:top w:val="nil"/>
              <w:left w:val="nil"/>
              <w:bottom w:val="nil"/>
              <w:right w:val="nil"/>
            </w:tcBorders>
            <w:shd w:val="clear" w:color="auto" w:fill="auto"/>
            <w:noWrap/>
            <w:vAlign w:val="center"/>
            <w:hideMark/>
          </w:tcPr>
          <w:p w14:paraId="3ECA4F47"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1,669.6 </w:t>
            </w:r>
          </w:p>
        </w:tc>
        <w:tc>
          <w:tcPr>
            <w:tcW w:w="1331" w:type="dxa"/>
            <w:tcBorders>
              <w:top w:val="nil"/>
              <w:left w:val="nil"/>
              <w:bottom w:val="nil"/>
              <w:right w:val="nil"/>
            </w:tcBorders>
            <w:shd w:val="clear" w:color="auto" w:fill="auto"/>
            <w:noWrap/>
            <w:vAlign w:val="center"/>
            <w:hideMark/>
          </w:tcPr>
          <w:p w14:paraId="72502B62"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2,118.3 </w:t>
            </w:r>
          </w:p>
        </w:tc>
        <w:tc>
          <w:tcPr>
            <w:tcW w:w="1332" w:type="dxa"/>
            <w:tcBorders>
              <w:top w:val="nil"/>
              <w:left w:val="nil"/>
              <w:bottom w:val="nil"/>
              <w:right w:val="nil"/>
            </w:tcBorders>
            <w:shd w:val="clear" w:color="auto" w:fill="auto"/>
            <w:noWrap/>
            <w:vAlign w:val="center"/>
            <w:hideMark/>
          </w:tcPr>
          <w:p w14:paraId="089D519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2,397.2 </w:t>
            </w:r>
          </w:p>
        </w:tc>
      </w:tr>
      <w:tr w:rsidR="00F108D4" w:rsidRPr="00F108D4" w14:paraId="262A1755" w14:textId="77777777" w:rsidTr="00F108D4">
        <w:tc>
          <w:tcPr>
            <w:tcW w:w="650" w:type="dxa"/>
            <w:tcBorders>
              <w:top w:val="nil"/>
              <w:left w:val="nil"/>
              <w:bottom w:val="nil"/>
              <w:right w:val="nil"/>
            </w:tcBorders>
            <w:shd w:val="clear" w:color="auto" w:fill="auto"/>
            <w:noWrap/>
            <w:vAlign w:val="center"/>
            <w:hideMark/>
          </w:tcPr>
          <w:p w14:paraId="7E64D091"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7CA24D1F"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7975A79A"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31ABBD33"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center"/>
            <w:hideMark/>
          </w:tcPr>
          <w:p w14:paraId="248629EA"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4A02CE6C"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center"/>
            <w:hideMark/>
          </w:tcPr>
          <w:p w14:paraId="68B5EBF5"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r>
      <w:tr w:rsidR="00F108D4" w:rsidRPr="00F108D4" w14:paraId="673F1690" w14:textId="77777777" w:rsidTr="00F108D4">
        <w:tc>
          <w:tcPr>
            <w:tcW w:w="2793" w:type="dxa"/>
            <w:gridSpan w:val="2"/>
            <w:tcBorders>
              <w:top w:val="nil"/>
              <w:left w:val="nil"/>
              <w:bottom w:val="nil"/>
              <w:right w:val="nil"/>
            </w:tcBorders>
            <w:shd w:val="clear" w:color="auto" w:fill="auto"/>
            <w:noWrap/>
            <w:vAlign w:val="center"/>
            <w:hideMark/>
          </w:tcPr>
          <w:p w14:paraId="37CDDEFD" w14:textId="4671139B" w:rsidR="00F108D4" w:rsidRPr="00F108D4" w:rsidRDefault="00F108D4" w:rsidP="00FD11D9">
            <w:pPr>
              <w:spacing w:after="0" w:line="240" w:lineRule="auto"/>
              <w:jc w:val="both"/>
              <w:rPr>
                <w:rFonts w:ascii="Segoe UI" w:eastAsia="Times New Roman" w:hAnsi="Segoe UI" w:cs="Segoe UI"/>
                <w:color w:val="000000"/>
                <w:sz w:val="20"/>
                <w:szCs w:val="20"/>
              </w:rPr>
            </w:pPr>
            <w:r w:rsidRPr="00CB1E53">
              <w:rPr>
                <w:rFonts w:ascii="Segoe UI" w:eastAsia="Times New Roman" w:hAnsi="Segoe UI" w:cs="Segoe UI"/>
                <w:color w:val="000000"/>
                <w:sz w:val="20"/>
                <w:szCs w:val="20"/>
              </w:rPr>
              <w:t xml:space="preserve">  </w:t>
            </w:r>
            <w:r w:rsidRPr="00F108D4">
              <w:rPr>
                <w:rFonts w:ascii="Segoe UI" w:eastAsia="Times New Roman" w:hAnsi="Segoe UI" w:cs="Segoe UI"/>
                <w:color w:val="000000"/>
                <w:sz w:val="20"/>
                <w:szCs w:val="20"/>
              </w:rPr>
              <w:t>Total Value Added Tax</w:t>
            </w:r>
          </w:p>
        </w:tc>
        <w:tc>
          <w:tcPr>
            <w:tcW w:w="1331" w:type="dxa"/>
            <w:tcBorders>
              <w:top w:val="nil"/>
              <w:left w:val="nil"/>
              <w:bottom w:val="nil"/>
              <w:right w:val="nil"/>
            </w:tcBorders>
            <w:shd w:val="clear" w:color="auto" w:fill="auto"/>
            <w:noWrap/>
            <w:vAlign w:val="center"/>
            <w:hideMark/>
          </w:tcPr>
          <w:p w14:paraId="6FF051D8"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4,290.7 </w:t>
            </w:r>
          </w:p>
        </w:tc>
        <w:tc>
          <w:tcPr>
            <w:tcW w:w="1331" w:type="dxa"/>
            <w:tcBorders>
              <w:top w:val="nil"/>
              <w:left w:val="nil"/>
              <w:bottom w:val="nil"/>
              <w:right w:val="nil"/>
            </w:tcBorders>
            <w:shd w:val="clear" w:color="auto" w:fill="auto"/>
            <w:noWrap/>
            <w:vAlign w:val="center"/>
            <w:hideMark/>
          </w:tcPr>
          <w:p w14:paraId="7180C5AD"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4,761.0 </w:t>
            </w:r>
          </w:p>
        </w:tc>
        <w:tc>
          <w:tcPr>
            <w:tcW w:w="1332" w:type="dxa"/>
            <w:tcBorders>
              <w:top w:val="nil"/>
              <w:left w:val="nil"/>
              <w:bottom w:val="nil"/>
              <w:right w:val="nil"/>
            </w:tcBorders>
            <w:shd w:val="clear" w:color="auto" w:fill="auto"/>
            <w:noWrap/>
            <w:vAlign w:val="center"/>
            <w:hideMark/>
          </w:tcPr>
          <w:p w14:paraId="742C6193"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4,586.2 </w:t>
            </w:r>
          </w:p>
        </w:tc>
        <w:tc>
          <w:tcPr>
            <w:tcW w:w="1331" w:type="dxa"/>
            <w:tcBorders>
              <w:top w:val="nil"/>
              <w:left w:val="nil"/>
              <w:bottom w:val="nil"/>
              <w:right w:val="nil"/>
            </w:tcBorders>
            <w:shd w:val="clear" w:color="auto" w:fill="auto"/>
            <w:noWrap/>
            <w:vAlign w:val="center"/>
            <w:hideMark/>
          </w:tcPr>
          <w:p w14:paraId="65A83B9C"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5,672.6 </w:t>
            </w:r>
          </w:p>
        </w:tc>
        <w:tc>
          <w:tcPr>
            <w:tcW w:w="1332" w:type="dxa"/>
            <w:tcBorders>
              <w:top w:val="nil"/>
              <w:left w:val="nil"/>
              <w:bottom w:val="nil"/>
              <w:right w:val="nil"/>
            </w:tcBorders>
            <w:shd w:val="clear" w:color="auto" w:fill="auto"/>
            <w:noWrap/>
            <w:vAlign w:val="center"/>
            <w:hideMark/>
          </w:tcPr>
          <w:p w14:paraId="0203CF94" w14:textId="77777777" w:rsidR="00F108D4" w:rsidRPr="00F108D4" w:rsidRDefault="00F108D4" w:rsidP="00FD11D9">
            <w:pPr>
              <w:spacing w:after="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xml:space="preserve">     6,321.0 </w:t>
            </w:r>
          </w:p>
        </w:tc>
      </w:tr>
      <w:tr w:rsidR="00F108D4" w:rsidRPr="00F108D4" w14:paraId="76E15579" w14:textId="77777777" w:rsidTr="00F108D4">
        <w:tc>
          <w:tcPr>
            <w:tcW w:w="650" w:type="dxa"/>
            <w:tcBorders>
              <w:top w:val="nil"/>
              <w:left w:val="nil"/>
              <w:bottom w:val="nil"/>
              <w:right w:val="nil"/>
            </w:tcBorders>
            <w:shd w:val="clear" w:color="auto" w:fill="auto"/>
            <w:noWrap/>
            <w:vAlign w:val="center"/>
            <w:hideMark/>
          </w:tcPr>
          <w:p w14:paraId="7A517C2F" w14:textId="77777777" w:rsidR="00F108D4" w:rsidRPr="00F108D4" w:rsidRDefault="00F108D4" w:rsidP="00FD11D9">
            <w:pPr>
              <w:spacing w:after="0" w:line="240" w:lineRule="auto"/>
              <w:jc w:val="both"/>
              <w:rPr>
                <w:rFonts w:ascii="Segoe UI" w:eastAsia="Times New Roman" w:hAnsi="Segoe UI" w:cs="Segoe UI"/>
                <w:color w:val="000000"/>
                <w:sz w:val="20"/>
                <w:szCs w:val="20"/>
              </w:rPr>
            </w:pPr>
          </w:p>
        </w:tc>
        <w:tc>
          <w:tcPr>
            <w:tcW w:w="2143" w:type="dxa"/>
            <w:tcBorders>
              <w:top w:val="nil"/>
              <w:left w:val="nil"/>
              <w:bottom w:val="nil"/>
              <w:right w:val="nil"/>
            </w:tcBorders>
            <w:shd w:val="clear" w:color="auto" w:fill="auto"/>
            <w:noWrap/>
            <w:vAlign w:val="center"/>
            <w:hideMark/>
          </w:tcPr>
          <w:p w14:paraId="2316212B"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23033F79"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4EA6B80F"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center"/>
            <w:hideMark/>
          </w:tcPr>
          <w:p w14:paraId="6CEFECA4"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center"/>
            <w:hideMark/>
          </w:tcPr>
          <w:p w14:paraId="4B563D93"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center"/>
            <w:hideMark/>
          </w:tcPr>
          <w:p w14:paraId="4684FCC1" w14:textId="77777777" w:rsidR="00F108D4" w:rsidRPr="00F108D4" w:rsidRDefault="00F108D4" w:rsidP="00FD11D9">
            <w:pPr>
              <w:spacing w:after="0" w:line="240" w:lineRule="auto"/>
              <w:jc w:val="both"/>
              <w:rPr>
                <w:rFonts w:ascii="Times New Roman" w:eastAsia="Times New Roman" w:hAnsi="Times New Roman" w:cs="Times New Roman"/>
                <w:sz w:val="20"/>
                <w:szCs w:val="20"/>
              </w:rPr>
            </w:pPr>
          </w:p>
        </w:tc>
      </w:tr>
      <w:tr w:rsidR="00F108D4" w:rsidRPr="00F108D4" w14:paraId="40FD34B7" w14:textId="77777777" w:rsidTr="00F108D4">
        <w:tc>
          <w:tcPr>
            <w:tcW w:w="2793" w:type="dxa"/>
            <w:gridSpan w:val="2"/>
            <w:tcBorders>
              <w:top w:val="single" w:sz="4" w:space="0" w:color="auto"/>
              <w:left w:val="nil"/>
              <w:bottom w:val="nil"/>
              <w:right w:val="nil"/>
            </w:tcBorders>
            <w:shd w:val="clear" w:color="auto" w:fill="auto"/>
            <w:noWrap/>
            <w:vAlign w:val="center"/>
            <w:hideMark/>
          </w:tcPr>
          <w:p w14:paraId="3D98E93C" w14:textId="7B0A0A51" w:rsidR="00F108D4" w:rsidRPr="00F108D4" w:rsidRDefault="00F108D4" w:rsidP="00FD11D9">
            <w:pPr>
              <w:spacing w:before="40" w:after="40" w:line="240" w:lineRule="auto"/>
              <w:jc w:val="both"/>
              <w:rPr>
                <w:rFonts w:ascii="Segoe UI" w:eastAsia="Times New Roman" w:hAnsi="Segoe UI" w:cs="Segoe UI"/>
                <w:b/>
                <w:bCs/>
                <w:color w:val="000000"/>
                <w:sz w:val="20"/>
                <w:szCs w:val="20"/>
              </w:rPr>
            </w:pPr>
            <w:r w:rsidRPr="00F108D4">
              <w:rPr>
                <w:rFonts w:ascii="Segoe UI" w:eastAsia="Times New Roman" w:hAnsi="Segoe UI" w:cs="Segoe UI"/>
                <w:b/>
                <w:bCs/>
                <w:color w:val="000000"/>
                <w:sz w:val="20"/>
                <w:szCs w:val="20"/>
              </w:rPr>
              <w:t>Total Tax Expenditures</w:t>
            </w:r>
          </w:p>
        </w:tc>
        <w:tc>
          <w:tcPr>
            <w:tcW w:w="1331" w:type="dxa"/>
            <w:tcBorders>
              <w:top w:val="single" w:sz="4" w:space="0" w:color="auto"/>
              <w:left w:val="nil"/>
              <w:bottom w:val="double" w:sz="6" w:space="0" w:color="auto"/>
              <w:right w:val="nil"/>
            </w:tcBorders>
            <w:shd w:val="clear" w:color="auto" w:fill="auto"/>
            <w:noWrap/>
            <w:vAlign w:val="center"/>
            <w:hideMark/>
          </w:tcPr>
          <w:p w14:paraId="2E387A64" w14:textId="6F28A822" w:rsidR="00F108D4" w:rsidRPr="00676FBE" w:rsidRDefault="00F108D4" w:rsidP="00FD11D9">
            <w:pPr>
              <w:spacing w:before="40" w:after="40" w:line="240" w:lineRule="auto"/>
              <w:jc w:val="both"/>
              <w:rPr>
                <w:rFonts w:ascii="Segoe UI" w:eastAsia="Times New Roman" w:hAnsi="Segoe UI" w:cs="Segoe UI"/>
                <w:b/>
                <w:bCs/>
                <w:color w:val="000000"/>
                <w:sz w:val="20"/>
                <w:szCs w:val="20"/>
              </w:rPr>
            </w:pPr>
            <w:r w:rsidRPr="00676FBE">
              <w:rPr>
                <w:rFonts w:ascii="Segoe UI" w:eastAsia="Times New Roman" w:hAnsi="Segoe UI" w:cs="Segoe UI"/>
                <w:b/>
                <w:bCs/>
                <w:color w:val="000000"/>
                <w:sz w:val="20"/>
                <w:szCs w:val="20"/>
              </w:rPr>
              <w:t xml:space="preserve">  </w:t>
            </w:r>
            <w:r w:rsidR="0064294D">
              <w:rPr>
                <w:rFonts w:ascii="Segoe UI" w:eastAsia="Times New Roman" w:hAnsi="Segoe UI" w:cs="Segoe UI"/>
                <w:b/>
                <w:bCs/>
                <w:color w:val="000000"/>
                <w:sz w:val="20"/>
                <w:szCs w:val="20"/>
              </w:rPr>
              <w:t xml:space="preserve"> </w:t>
            </w:r>
            <w:r w:rsidRPr="00676FBE">
              <w:rPr>
                <w:rFonts w:ascii="Segoe UI" w:eastAsia="Times New Roman" w:hAnsi="Segoe UI" w:cs="Segoe UI"/>
                <w:b/>
                <w:bCs/>
                <w:color w:val="000000"/>
                <w:sz w:val="20"/>
                <w:szCs w:val="20"/>
              </w:rPr>
              <w:t xml:space="preserve"> 5,</w:t>
            </w:r>
            <w:r w:rsidR="00296AD3" w:rsidRPr="00676FBE">
              <w:rPr>
                <w:rFonts w:ascii="Segoe UI" w:eastAsia="Times New Roman" w:hAnsi="Segoe UI" w:cs="Segoe UI"/>
                <w:b/>
                <w:bCs/>
                <w:color w:val="000000"/>
                <w:sz w:val="20"/>
                <w:szCs w:val="20"/>
              </w:rPr>
              <w:t>816.5</w:t>
            </w:r>
            <w:r w:rsidRPr="00676FBE">
              <w:rPr>
                <w:rFonts w:ascii="Segoe UI" w:eastAsia="Times New Roman" w:hAnsi="Segoe UI" w:cs="Segoe UI"/>
                <w:b/>
                <w:bCs/>
                <w:color w:val="000000"/>
                <w:sz w:val="20"/>
                <w:szCs w:val="20"/>
              </w:rPr>
              <w:t xml:space="preserve"> </w:t>
            </w:r>
          </w:p>
        </w:tc>
        <w:tc>
          <w:tcPr>
            <w:tcW w:w="1331" w:type="dxa"/>
            <w:tcBorders>
              <w:top w:val="single" w:sz="4" w:space="0" w:color="auto"/>
              <w:left w:val="nil"/>
              <w:bottom w:val="double" w:sz="6" w:space="0" w:color="auto"/>
              <w:right w:val="nil"/>
            </w:tcBorders>
            <w:shd w:val="clear" w:color="auto" w:fill="auto"/>
            <w:noWrap/>
            <w:vAlign w:val="center"/>
            <w:hideMark/>
          </w:tcPr>
          <w:p w14:paraId="47BC0EC4" w14:textId="05C70429" w:rsidR="00F108D4" w:rsidRPr="00676FBE" w:rsidRDefault="00F108D4" w:rsidP="00FD11D9">
            <w:pPr>
              <w:spacing w:before="40" w:after="40" w:line="240" w:lineRule="auto"/>
              <w:jc w:val="both"/>
              <w:rPr>
                <w:rFonts w:ascii="Segoe UI" w:eastAsia="Times New Roman" w:hAnsi="Segoe UI" w:cs="Segoe UI"/>
                <w:b/>
                <w:bCs/>
                <w:color w:val="000000"/>
                <w:sz w:val="20"/>
                <w:szCs w:val="20"/>
              </w:rPr>
            </w:pPr>
            <w:r w:rsidRPr="00676FBE">
              <w:rPr>
                <w:rFonts w:ascii="Segoe UI" w:eastAsia="Times New Roman" w:hAnsi="Segoe UI" w:cs="Segoe UI"/>
                <w:b/>
                <w:bCs/>
                <w:color w:val="000000"/>
                <w:sz w:val="20"/>
                <w:szCs w:val="20"/>
              </w:rPr>
              <w:t xml:space="preserve">   </w:t>
            </w:r>
            <w:r w:rsidR="0064294D">
              <w:rPr>
                <w:rFonts w:ascii="Segoe UI" w:eastAsia="Times New Roman" w:hAnsi="Segoe UI" w:cs="Segoe UI"/>
                <w:b/>
                <w:bCs/>
                <w:color w:val="000000"/>
                <w:sz w:val="20"/>
                <w:szCs w:val="20"/>
              </w:rPr>
              <w:t xml:space="preserve"> </w:t>
            </w:r>
            <w:r w:rsidRPr="00676FBE">
              <w:rPr>
                <w:rFonts w:ascii="Segoe UI" w:eastAsia="Times New Roman" w:hAnsi="Segoe UI" w:cs="Segoe UI"/>
                <w:b/>
                <w:bCs/>
                <w:color w:val="000000"/>
                <w:sz w:val="20"/>
                <w:szCs w:val="20"/>
              </w:rPr>
              <w:t>6,</w:t>
            </w:r>
            <w:r w:rsidR="00296AD3" w:rsidRPr="00676FBE">
              <w:rPr>
                <w:rFonts w:ascii="Segoe UI" w:eastAsia="Times New Roman" w:hAnsi="Segoe UI" w:cs="Segoe UI"/>
                <w:b/>
                <w:bCs/>
                <w:color w:val="000000"/>
                <w:sz w:val="20"/>
                <w:szCs w:val="20"/>
              </w:rPr>
              <w:t>914.6</w:t>
            </w:r>
            <w:r w:rsidRPr="00676FBE">
              <w:rPr>
                <w:rFonts w:ascii="Segoe UI" w:eastAsia="Times New Roman" w:hAnsi="Segoe UI" w:cs="Segoe UI"/>
                <w:b/>
                <w:bCs/>
                <w:color w:val="000000"/>
                <w:sz w:val="20"/>
                <w:szCs w:val="20"/>
              </w:rPr>
              <w:t xml:space="preserve"> </w:t>
            </w:r>
          </w:p>
        </w:tc>
        <w:tc>
          <w:tcPr>
            <w:tcW w:w="1332" w:type="dxa"/>
            <w:tcBorders>
              <w:top w:val="single" w:sz="4" w:space="0" w:color="auto"/>
              <w:left w:val="nil"/>
              <w:bottom w:val="double" w:sz="6" w:space="0" w:color="auto"/>
              <w:right w:val="nil"/>
            </w:tcBorders>
            <w:shd w:val="clear" w:color="auto" w:fill="auto"/>
            <w:noWrap/>
            <w:vAlign w:val="center"/>
            <w:hideMark/>
          </w:tcPr>
          <w:p w14:paraId="148F5723" w14:textId="4EA02BC7" w:rsidR="00F108D4" w:rsidRPr="00676FBE" w:rsidRDefault="0064294D" w:rsidP="00FD11D9">
            <w:pPr>
              <w:spacing w:before="40" w:after="40" w:line="240" w:lineRule="auto"/>
              <w:jc w:val="both"/>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    </w:t>
            </w:r>
            <w:r w:rsidR="00296AD3" w:rsidRPr="00676FBE">
              <w:rPr>
                <w:rFonts w:ascii="Segoe UI" w:eastAsia="Times New Roman" w:hAnsi="Segoe UI" w:cs="Segoe UI"/>
                <w:b/>
                <w:bCs/>
                <w:color w:val="000000"/>
                <w:sz w:val="20"/>
                <w:szCs w:val="20"/>
              </w:rPr>
              <w:t>6,882.2</w:t>
            </w:r>
          </w:p>
        </w:tc>
        <w:tc>
          <w:tcPr>
            <w:tcW w:w="1331" w:type="dxa"/>
            <w:tcBorders>
              <w:top w:val="single" w:sz="4" w:space="0" w:color="auto"/>
              <w:left w:val="nil"/>
              <w:bottom w:val="double" w:sz="6" w:space="0" w:color="auto"/>
              <w:right w:val="nil"/>
            </w:tcBorders>
            <w:shd w:val="clear" w:color="auto" w:fill="auto"/>
            <w:noWrap/>
            <w:vAlign w:val="center"/>
            <w:hideMark/>
          </w:tcPr>
          <w:p w14:paraId="5A0E9CB3" w14:textId="71BC52EC" w:rsidR="00F108D4" w:rsidRPr="00676FBE" w:rsidRDefault="00F108D4" w:rsidP="00FD11D9">
            <w:pPr>
              <w:spacing w:before="40" w:after="40" w:line="240" w:lineRule="auto"/>
              <w:jc w:val="both"/>
              <w:rPr>
                <w:rFonts w:ascii="Segoe UI" w:eastAsia="Times New Roman" w:hAnsi="Segoe UI" w:cs="Segoe UI"/>
                <w:b/>
                <w:bCs/>
                <w:color w:val="000000"/>
                <w:sz w:val="20"/>
                <w:szCs w:val="20"/>
              </w:rPr>
            </w:pPr>
            <w:r w:rsidRPr="00676FBE">
              <w:rPr>
                <w:rFonts w:ascii="Segoe UI" w:eastAsia="Times New Roman" w:hAnsi="Segoe UI" w:cs="Segoe UI"/>
                <w:b/>
                <w:bCs/>
                <w:color w:val="000000"/>
                <w:sz w:val="20"/>
                <w:szCs w:val="20"/>
              </w:rPr>
              <w:t xml:space="preserve">   </w:t>
            </w:r>
            <w:r w:rsidR="0064294D">
              <w:rPr>
                <w:rFonts w:ascii="Segoe UI" w:eastAsia="Times New Roman" w:hAnsi="Segoe UI" w:cs="Segoe UI"/>
                <w:b/>
                <w:bCs/>
                <w:color w:val="000000"/>
                <w:sz w:val="20"/>
                <w:szCs w:val="20"/>
              </w:rPr>
              <w:t xml:space="preserve"> </w:t>
            </w:r>
            <w:r w:rsidR="00296AD3" w:rsidRPr="00676FBE">
              <w:rPr>
                <w:rFonts w:ascii="Segoe UI" w:eastAsia="Times New Roman" w:hAnsi="Segoe UI" w:cs="Segoe UI"/>
                <w:b/>
                <w:bCs/>
                <w:color w:val="000000"/>
                <w:sz w:val="20"/>
                <w:szCs w:val="20"/>
              </w:rPr>
              <w:t>8,293.0</w:t>
            </w:r>
          </w:p>
        </w:tc>
        <w:tc>
          <w:tcPr>
            <w:tcW w:w="1332" w:type="dxa"/>
            <w:tcBorders>
              <w:top w:val="single" w:sz="4" w:space="0" w:color="auto"/>
              <w:left w:val="nil"/>
              <w:bottom w:val="double" w:sz="6" w:space="0" w:color="auto"/>
              <w:right w:val="nil"/>
            </w:tcBorders>
            <w:shd w:val="clear" w:color="auto" w:fill="auto"/>
            <w:noWrap/>
            <w:vAlign w:val="center"/>
            <w:hideMark/>
          </w:tcPr>
          <w:p w14:paraId="7D9E67B3" w14:textId="60C61B92" w:rsidR="00F108D4" w:rsidRPr="00676FBE" w:rsidRDefault="00F108D4" w:rsidP="00FD11D9">
            <w:pPr>
              <w:spacing w:before="40" w:after="40" w:line="240" w:lineRule="auto"/>
              <w:jc w:val="both"/>
              <w:rPr>
                <w:rFonts w:ascii="Segoe UI" w:eastAsia="Times New Roman" w:hAnsi="Segoe UI" w:cs="Segoe UI"/>
                <w:b/>
                <w:bCs/>
                <w:color w:val="000000"/>
                <w:sz w:val="20"/>
                <w:szCs w:val="20"/>
              </w:rPr>
            </w:pPr>
            <w:r w:rsidRPr="00676FBE">
              <w:rPr>
                <w:rFonts w:ascii="Segoe UI" w:eastAsia="Times New Roman" w:hAnsi="Segoe UI" w:cs="Segoe UI"/>
                <w:b/>
                <w:bCs/>
                <w:color w:val="000000"/>
                <w:sz w:val="20"/>
                <w:szCs w:val="20"/>
              </w:rPr>
              <w:t xml:space="preserve">   </w:t>
            </w:r>
            <w:r w:rsidR="0064294D">
              <w:rPr>
                <w:rFonts w:ascii="Segoe UI" w:eastAsia="Times New Roman" w:hAnsi="Segoe UI" w:cs="Segoe UI"/>
                <w:b/>
                <w:bCs/>
                <w:color w:val="000000"/>
                <w:sz w:val="20"/>
                <w:szCs w:val="20"/>
              </w:rPr>
              <w:t xml:space="preserve"> </w:t>
            </w:r>
            <w:r w:rsidR="00296AD3" w:rsidRPr="00676FBE">
              <w:rPr>
                <w:rFonts w:ascii="Segoe UI" w:eastAsia="Times New Roman" w:hAnsi="Segoe UI" w:cs="Segoe UI"/>
                <w:b/>
                <w:bCs/>
                <w:color w:val="000000"/>
                <w:sz w:val="20"/>
                <w:szCs w:val="20"/>
              </w:rPr>
              <w:t>9,212.9</w:t>
            </w:r>
          </w:p>
        </w:tc>
      </w:tr>
      <w:tr w:rsidR="00F108D4" w:rsidRPr="00F108D4" w14:paraId="2B3DAF35" w14:textId="77777777" w:rsidTr="00F108D4">
        <w:tc>
          <w:tcPr>
            <w:tcW w:w="650" w:type="dxa"/>
            <w:tcBorders>
              <w:top w:val="double" w:sz="6" w:space="0" w:color="auto"/>
              <w:left w:val="nil"/>
              <w:bottom w:val="double" w:sz="6" w:space="0" w:color="auto"/>
              <w:right w:val="nil"/>
            </w:tcBorders>
            <w:shd w:val="clear" w:color="auto" w:fill="auto"/>
            <w:noWrap/>
            <w:vAlign w:val="center"/>
            <w:hideMark/>
          </w:tcPr>
          <w:p w14:paraId="4CDC1F88" w14:textId="77777777" w:rsidR="00F108D4" w:rsidRPr="00F108D4" w:rsidRDefault="00F108D4" w:rsidP="00FD11D9">
            <w:pPr>
              <w:spacing w:before="40" w:after="40" w:line="240" w:lineRule="auto"/>
              <w:jc w:val="both"/>
              <w:rPr>
                <w:rFonts w:ascii="Segoe UI" w:eastAsia="Times New Roman" w:hAnsi="Segoe UI" w:cs="Segoe UI"/>
                <w:color w:val="000000"/>
                <w:sz w:val="20"/>
                <w:szCs w:val="20"/>
              </w:rPr>
            </w:pPr>
            <w:r w:rsidRPr="00F108D4">
              <w:rPr>
                <w:rFonts w:ascii="Segoe UI" w:eastAsia="Times New Roman" w:hAnsi="Segoe UI" w:cs="Segoe UI"/>
                <w:color w:val="000000"/>
                <w:sz w:val="20"/>
                <w:szCs w:val="20"/>
              </w:rPr>
              <w:t> </w:t>
            </w:r>
          </w:p>
        </w:tc>
        <w:tc>
          <w:tcPr>
            <w:tcW w:w="2143" w:type="dxa"/>
            <w:tcBorders>
              <w:top w:val="double" w:sz="6" w:space="0" w:color="auto"/>
              <w:left w:val="nil"/>
              <w:bottom w:val="double" w:sz="6" w:space="0" w:color="auto"/>
              <w:right w:val="nil"/>
            </w:tcBorders>
            <w:shd w:val="clear" w:color="auto" w:fill="auto"/>
            <w:noWrap/>
            <w:vAlign w:val="center"/>
            <w:hideMark/>
          </w:tcPr>
          <w:p w14:paraId="33B27016" w14:textId="77777777" w:rsidR="00F108D4" w:rsidRPr="00F108D4" w:rsidRDefault="00F108D4" w:rsidP="00FD11D9">
            <w:pPr>
              <w:spacing w:before="40" w:after="40" w:line="240" w:lineRule="auto"/>
              <w:jc w:val="both"/>
              <w:rPr>
                <w:rFonts w:ascii="Segoe UI" w:eastAsia="Times New Roman" w:hAnsi="Segoe UI" w:cs="Segoe UI"/>
                <w:b/>
                <w:bCs/>
                <w:i/>
                <w:iCs/>
                <w:color w:val="000000"/>
                <w:sz w:val="20"/>
                <w:szCs w:val="20"/>
              </w:rPr>
            </w:pPr>
            <w:r w:rsidRPr="00F108D4">
              <w:rPr>
                <w:rFonts w:ascii="Segoe UI" w:eastAsia="Times New Roman" w:hAnsi="Segoe UI" w:cs="Segoe UI"/>
                <w:b/>
                <w:bCs/>
                <w:i/>
                <w:iCs/>
                <w:color w:val="000000"/>
                <w:sz w:val="20"/>
                <w:szCs w:val="20"/>
              </w:rPr>
              <w:t>as % of GDP</w:t>
            </w:r>
          </w:p>
        </w:tc>
        <w:tc>
          <w:tcPr>
            <w:tcW w:w="1331" w:type="dxa"/>
            <w:tcBorders>
              <w:top w:val="nil"/>
              <w:left w:val="nil"/>
              <w:bottom w:val="double" w:sz="6" w:space="0" w:color="auto"/>
              <w:right w:val="nil"/>
            </w:tcBorders>
            <w:shd w:val="clear" w:color="auto" w:fill="auto"/>
            <w:noWrap/>
            <w:vAlign w:val="center"/>
            <w:hideMark/>
          </w:tcPr>
          <w:p w14:paraId="5F82C100" w14:textId="403C25B6" w:rsidR="00F108D4" w:rsidRPr="00676FBE" w:rsidRDefault="00296AD3" w:rsidP="00FD11D9">
            <w:pPr>
              <w:spacing w:before="40" w:after="40" w:line="240" w:lineRule="auto"/>
              <w:jc w:val="both"/>
              <w:rPr>
                <w:rFonts w:ascii="Segoe UI" w:eastAsia="Times New Roman" w:hAnsi="Segoe UI" w:cs="Segoe UI"/>
                <w:b/>
                <w:bCs/>
                <w:i/>
                <w:iCs/>
                <w:color w:val="000000"/>
                <w:sz w:val="20"/>
                <w:szCs w:val="20"/>
              </w:rPr>
            </w:pPr>
            <w:r w:rsidRPr="00676FBE">
              <w:rPr>
                <w:rFonts w:ascii="Segoe UI" w:eastAsia="Times New Roman" w:hAnsi="Segoe UI" w:cs="Segoe UI"/>
                <w:b/>
                <w:bCs/>
                <w:i/>
                <w:iCs/>
                <w:color w:val="000000"/>
                <w:sz w:val="20"/>
                <w:szCs w:val="20"/>
              </w:rPr>
              <w:t>3.0</w:t>
            </w:r>
            <w:r w:rsidR="00F108D4" w:rsidRPr="00676FBE">
              <w:rPr>
                <w:rFonts w:ascii="Segoe UI" w:eastAsia="Times New Roman" w:hAnsi="Segoe UI" w:cs="Segoe UI"/>
                <w:b/>
                <w:bCs/>
                <w:i/>
                <w:iCs/>
                <w:color w:val="000000"/>
                <w:sz w:val="20"/>
                <w:szCs w:val="20"/>
              </w:rPr>
              <w:t>%</w:t>
            </w:r>
          </w:p>
        </w:tc>
        <w:tc>
          <w:tcPr>
            <w:tcW w:w="1331" w:type="dxa"/>
            <w:tcBorders>
              <w:top w:val="nil"/>
              <w:left w:val="nil"/>
              <w:bottom w:val="double" w:sz="6" w:space="0" w:color="auto"/>
              <w:right w:val="nil"/>
            </w:tcBorders>
            <w:shd w:val="clear" w:color="auto" w:fill="auto"/>
            <w:noWrap/>
            <w:vAlign w:val="center"/>
            <w:hideMark/>
          </w:tcPr>
          <w:p w14:paraId="36330201" w14:textId="5E7F9E97" w:rsidR="00F108D4" w:rsidRPr="00676FBE" w:rsidRDefault="00296AD3" w:rsidP="00FD11D9">
            <w:pPr>
              <w:spacing w:before="40" w:after="40" w:line="240" w:lineRule="auto"/>
              <w:jc w:val="both"/>
              <w:rPr>
                <w:rFonts w:ascii="Segoe UI" w:eastAsia="Times New Roman" w:hAnsi="Segoe UI" w:cs="Segoe UI"/>
                <w:b/>
                <w:bCs/>
                <w:i/>
                <w:iCs/>
                <w:color w:val="000000"/>
                <w:sz w:val="20"/>
                <w:szCs w:val="20"/>
              </w:rPr>
            </w:pPr>
            <w:r w:rsidRPr="00676FBE">
              <w:rPr>
                <w:rFonts w:ascii="Segoe UI" w:eastAsia="Times New Roman" w:hAnsi="Segoe UI" w:cs="Segoe UI"/>
                <w:b/>
                <w:bCs/>
                <w:i/>
                <w:iCs/>
                <w:color w:val="000000"/>
                <w:sz w:val="20"/>
                <w:szCs w:val="20"/>
              </w:rPr>
              <w:t>3.3</w:t>
            </w:r>
            <w:r w:rsidR="00F108D4" w:rsidRPr="00676FBE">
              <w:rPr>
                <w:rFonts w:ascii="Segoe UI" w:eastAsia="Times New Roman" w:hAnsi="Segoe UI" w:cs="Segoe UI"/>
                <w:b/>
                <w:bCs/>
                <w:i/>
                <w:iCs/>
                <w:color w:val="000000"/>
                <w:sz w:val="20"/>
                <w:szCs w:val="20"/>
              </w:rPr>
              <w:t>%</w:t>
            </w:r>
          </w:p>
        </w:tc>
        <w:tc>
          <w:tcPr>
            <w:tcW w:w="1332" w:type="dxa"/>
            <w:tcBorders>
              <w:top w:val="nil"/>
              <w:left w:val="nil"/>
              <w:bottom w:val="double" w:sz="6" w:space="0" w:color="auto"/>
              <w:right w:val="nil"/>
            </w:tcBorders>
            <w:shd w:val="clear" w:color="auto" w:fill="auto"/>
            <w:noWrap/>
            <w:vAlign w:val="center"/>
            <w:hideMark/>
          </w:tcPr>
          <w:p w14:paraId="5DE0B482" w14:textId="60F40123" w:rsidR="00F108D4" w:rsidRPr="00676FBE" w:rsidRDefault="00296AD3" w:rsidP="00FD11D9">
            <w:pPr>
              <w:spacing w:before="40" w:after="40" w:line="240" w:lineRule="auto"/>
              <w:jc w:val="both"/>
              <w:rPr>
                <w:rFonts w:ascii="Segoe UI" w:eastAsia="Times New Roman" w:hAnsi="Segoe UI" w:cs="Segoe UI"/>
                <w:b/>
                <w:bCs/>
                <w:i/>
                <w:iCs/>
                <w:color w:val="000000"/>
                <w:sz w:val="20"/>
                <w:szCs w:val="20"/>
              </w:rPr>
            </w:pPr>
            <w:r w:rsidRPr="00676FBE">
              <w:rPr>
                <w:rFonts w:ascii="Segoe UI" w:eastAsia="Times New Roman" w:hAnsi="Segoe UI" w:cs="Segoe UI"/>
                <w:b/>
                <w:bCs/>
                <w:i/>
                <w:iCs/>
                <w:color w:val="000000"/>
                <w:sz w:val="20"/>
                <w:szCs w:val="20"/>
              </w:rPr>
              <w:t>3.4</w:t>
            </w:r>
            <w:r w:rsidR="00F108D4" w:rsidRPr="00676FBE">
              <w:rPr>
                <w:rFonts w:ascii="Segoe UI" w:eastAsia="Times New Roman" w:hAnsi="Segoe UI" w:cs="Segoe UI"/>
                <w:b/>
                <w:bCs/>
                <w:i/>
                <w:iCs/>
                <w:color w:val="000000"/>
                <w:sz w:val="20"/>
                <w:szCs w:val="20"/>
              </w:rPr>
              <w:t>%</w:t>
            </w:r>
          </w:p>
        </w:tc>
        <w:tc>
          <w:tcPr>
            <w:tcW w:w="1331" w:type="dxa"/>
            <w:tcBorders>
              <w:top w:val="nil"/>
              <w:left w:val="nil"/>
              <w:bottom w:val="double" w:sz="6" w:space="0" w:color="auto"/>
              <w:right w:val="nil"/>
            </w:tcBorders>
            <w:shd w:val="clear" w:color="auto" w:fill="auto"/>
            <w:noWrap/>
            <w:vAlign w:val="center"/>
            <w:hideMark/>
          </w:tcPr>
          <w:p w14:paraId="1079B865" w14:textId="0BDC8657" w:rsidR="00F108D4" w:rsidRPr="00676FBE" w:rsidRDefault="00F108D4" w:rsidP="00FD11D9">
            <w:pPr>
              <w:spacing w:before="40" w:after="40" w:line="240" w:lineRule="auto"/>
              <w:jc w:val="both"/>
              <w:rPr>
                <w:rFonts w:ascii="Segoe UI" w:eastAsia="Times New Roman" w:hAnsi="Segoe UI" w:cs="Segoe UI"/>
                <w:b/>
                <w:bCs/>
                <w:i/>
                <w:iCs/>
                <w:color w:val="000000"/>
                <w:sz w:val="20"/>
                <w:szCs w:val="20"/>
              </w:rPr>
            </w:pPr>
            <w:r w:rsidRPr="00676FBE">
              <w:rPr>
                <w:rFonts w:ascii="Segoe UI" w:eastAsia="Times New Roman" w:hAnsi="Segoe UI" w:cs="Segoe UI"/>
                <w:b/>
                <w:bCs/>
                <w:i/>
                <w:iCs/>
                <w:color w:val="000000"/>
                <w:sz w:val="20"/>
                <w:szCs w:val="20"/>
              </w:rPr>
              <w:t>3.</w:t>
            </w:r>
            <w:r w:rsidR="00296AD3" w:rsidRPr="00676FBE">
              <w:rPr>
                <w:rFonts w:ascii="Segoe UI" w:eastAsia="Times New Roman" w:hAnsi="Segoe UI" w:cs="Segoe UI"/>
                <w:b/>
                <w:bCs/>
                <w:i/>
                <w:iCs/>
                <w:color w:val="000000"/>
                <w:sz w:val="20"/>
                <w:szCs w:val="20"/>
              </w:rPr>
              <w:t>6</w:t>
            </w:r>
            <w:r w:rsidRPr="00676FBE">
              <w:rPr>
                <w:rFonts w:ascii="Segoe UI" w:eastAsia="Times New Roman" w:hAnsi="Segoe UI" w:cs="Segoe UI"/>
                <w:b/>
                <w:bCs/>
                <w:i/>
                <w:iCs/>
                <w:color w:val="000000"/>
                <w:sz w:val="20"/>
                <w:szCs w:val="20"/>
              </w:rPr>
              <w:t>%</w:t>
            </w:r>
          </w:p>
        </w:tc>
        <w:tc>
          <w:tcPr>
            <w:tcW w:w="1332" w:type="dxa"/>
            <w:tcBorders>
              <w:top w:val="nil"/>
              <w:left w:val="nil"/>
              <w:bottom w:val="double" w:sz="6" w:space="0" w:color="auto"/>
              <w:right w:val="nil"/>
            </w:tcBorders>
            <w:shd w:val="clear" w:color="auto" w:fill="auto"/>
            <w:noWrap/>
            <w:vAlign w:val="center"/>
            <w:hideMark/>
          </w:tcPr>
          <w:p w14:paraId="28A3B403" w14:textId="261A7D4A" w:rsidR="00F108D4" w:rsidRPr="00676FBE" w:rsidRDefault="00F108D4" w:rsidP="00FD11D9">
            <w:pPr>
              <w:spacing w:before="40" w:after="40" w:line="240" w:lineRule="auto"/>
              <w:jc w:val="both"/>
              <w:rPr>
                <w:rFonts w:ascii="Segoe UI" w:eastAsia="Times New Roman" w:hAnsi="Segoe UI" w:cs="Segoe UI"/>
                <w:b/>
                <w:bCs/>
                <w:i/>
                <w:iCs/>
                <w:color w:val="000000"/>
                <w:sz w:val="20"/>
                <w:szCs w:val="20"/>
              </w:rPr>
            </w:pPr>
            <w:r w:rsidRPr="00676FBE">
              <w:rPr>
                <w:rFonts w:ascii="Segoe UI" w:eastAsia="Times New Roman" w:hAnsi="Segoe UI" w:cs="Segoe UI"/>
                <w:b/>
                <w:bCs/>
                <w:i/>
                <w:iCs/>
                <w:color w:val="000000"/>
                <w:sz w:val="20"/>
                <w:szCs w:val="20"/>
              </w:rPr>
              <w:t>3.</w:t>
            </w:r>
            <w:r w:rsidR="00296AD3" w:rsidRPr="00676FBE">
              <w:rPr>
                <w:rFonts w:ascii="Segoe UI" w:eastAsia="Times New Roman" w:hAnsi="Segoe UI" w:cs="Segoe UI"/>
                <w:b/>
                <w:bCs/>
                <w:i/>
                <w:iCs/>
                <w:color w:val="000000"/>
                <w:sz w:val="20"/>
                <w:szCs w:val="20"/>
              </w:rPr>
              <w:t>6</w:t>
            </w:r>
            <w:r w:rsidRPr="00676FBE">
              <w:rPr>
                <w:rFonts w:ascii="Segoe UI" w:eastAsia="Times New Roman" w:hAnsi="Segoe UI" w:cs="Segoe UI"/>
                <w:b/>
                <w:bCs/>
                <w:i/>
                <w:iCs/>
                <w:color w:val="000000"/>
                <w:sz w:val="20"/>
                <w:szCs w:val="20"/>
              </w:rPr>
              <w:t>%</w:t>
            </w:r>
          </w:p>
        </w:tc>
      </w:tr>
    </w:tbl>
    <w:p w14:paraId="29D4A69F" w14:textId="56BCA924" w:rsidR="00F77F6D" w:rsidRPr="00CB1E53" w:rsidRDefault="00F77F6D" w:rsidP="00FD11D9">
      <w:pPr>
        <w:spacing w:after="120"/>
        <w:jc w:val="both"/>
        <w:rPr>
          <w:rFonts w:ascii="Segoe UI" w:hAnsi="Segoe UI" w:cs="Segoe UI"/>
          <w:sz w:val="21"/>
          <w:szCs w:val="21"/>
        </w:rPr>
      </w:pPr>
    </w:p>
    <w:p w14:paraId="1A05107B" w14:textId="439F93C2" w:rsidR="00F77F6D" w:rsidRPr="00CB1E53" w:rsidRDefault="00F77F6D" w:rsidP="00FD11D9">
      <w:pPr>
        <w:keepNext/>
        <w:keepLines/>
        <w:jc w:val="both"/>
        <w:rPr>
          <w:rFonts w:ascii="Segoe UI" w:hAnsi="Segoe UI" w:cs="Segoe UI"/>
          <w:sz w:val="20"/>
          <w:szCs w:val="20"/>
        </w:rPr>
      </w:pPr>
      <w:r w:rsidRPr="00CB1E53">
        <w:rPr>
          <w:rFonts w:ascii="Segoe UI" w:hAnsi="Segoe UI" w:cs="Segoe UI"/>
          <w:sz w:val="20"/>
          <w:szCs w:val="20"/>
        </w:rPr>
        <w:br w:type="page"/>
      </w:r>
    </w:p>
    <w:p w14:paraId="4F56074A" w14:textId="49F8623A" w:rsidR="00F77F6D" w:rsidRPr="00CB1E53" w:rsidRDefault="00F77F6D" w:rsidP="00FD11D9">
      <w:pPr>
        <w:pStyle w:val="Heading2"/>
        <w:numPr>
          <w:ilvl w:val="0"/>
          <w:numId w:val="14"/>
        </w:numPr>
        <w:ind w:left="720"/>
        <w:jc w:val="both"/>
      </w:pPr>
      <w:bookmarkStart w:id="8" w:name="_Toc99298757"/>
      <w:r w:rsidRPr="00CB1E53">
        <w:lastRenderedPageBreak/>
        <w:t>Introduction</w:t>
      </w:r>
      <w:bookmarkEnd w:id="8"/>
    </w:p>
    <w:p w14:paraId="073F993C" w14:textId="5252BCD6" w:rsidR="00F77F6D" w:rsidRPr="00CB1E53" w:rsidRDefault="00E31782" w:rsidP="00FD11D9">
      <w:pPr>
        <w:pStyle w:val="Heading3"/>
        <w:jc w:val="both"/>
        <w:rPr>
          <w:rStyle w:val="RegularDKB"/>
        </w:rPr>
      </w:pPr>
      <w:bookmarkStart w:id="9" w:name="_Toc99298758"/>
      <w:r w:rsidRPr="00CB1E53">
        <w:rPr>
          <w:rStyle w:val="RegularDKB"/>
          <w:caps w:val="0"/>
        </w:rPr>
        <w:t>Tax Expenditure</w:t>
      </w:r>
      <w:r w:rsidR="00DC71E5" w:rsidRPr="00CB1E53">
        <w:rPr>
          <w:rStyle w:val="RegularDKB"/>
          <w:caps w:val="0"/>
        </w:rPr>
        <w:t>s</w:t>
      </w:r>
      <w:r w:rsidRPr="00CB1E53">
        <w:rPr>
          <w:rStyle w:val="RegularDKB"/>
          <w:caps w:val="0"/>
        </w:rPr>
        <w:t xml:space="preserve"> </w:t>
      </w:r>
      <w:r w:rsidR="00497C21" w:rsidRPr="00CB1E53">
        <w:rPr>
          <w:rStyle w:val="RegularDKB"/>
          <w:caps w:val="0"/>
        </w:rPr>
        <w:t>r</w:t>
      </w:r>
      <w:r w:rsidRPr="00CB1E53">
        <w:rPr>
          <w:rStyle w:val="RegularDKB"/>
          <w:caps w:val="0"/>
        </w:rPr>
        <w:t xml:space="preserve">eporting and its </w:t>
      </w:r>
      <w:r w:rsidR="00497C21" w:rsidRPr="00CB1E53">
        <w:rPr>
          <w:rStyle w:val="RegularDKB"/>
          <w:caps w:val="0"/>
        </w:rPr>
        <w:t>u</w:t>
      </w:r>
      <w:r w:rsidRPr="00CB1E53">
        <w:rPr>
          <w:rStyle w:val="RegularDKB"/>
          <w:caps w:val="0"/>
        </w:rPr>
        <w:t xml:space="preserve">se in </w:t>
      </w:r>
      <w:r w:rsidR="00497C21" w:rsidRPr="00CB1E53">
        <w:rPr>
          <w:rStyle w:val="RegularDKB"/>
          <w:caps w:val="0"/>
        </w:rPr>
        <w:t>f</w:t>
      </w:r>
      <w:r w:rsidRPr="00CB1E53">
        <w:rPr>
          <w:rStyle w:val="RegularDKB"/>
          <w:caps w:val="0"/>
        </w:rPr>
        <w:t xml:space="preserve">iscal </w:t>
      </w:r>
      <w:r w:rsidR="00497C21" w:rsidRPr="00CB1E53">
        <w:rPr>
          <w:rStyle w:val="RegularDKB"/>
          <w:caps w:val="0"/>
        </w:rPr>
        <w:t>m</w:t>
      </w:r>
      <w:r w:rsidRPr="00CB1E53">
        <w:rPr>
          <w:rStyle w:val="RegularDKB"/>
          <w:caps w:val="0"/>
        </w:rPr>
        <w:t>anagement</w:t>
      </w:r>
      <w:bookmarkEnd w:id="9"/>
    </w:p>
    <w:p w14:paraId="2DE65795" w14:textId="4A5953C9" w:rsidR="00F77F6D" w:rsidRPr="00CB1E53" w:rsidRDefault="00F310A8" w:rsidP="00FD11D9">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bCs/>
          <w:sz w:val="21"/>
          <w:szCs w:val="21"/>
        </w:rPr>
        <w:t xml:space="preserve">TEs </w:t>
      </w:r>
      <w:r w:rsidR="00F77F6D" w:rsidRPr="00CB1E53">
        <w:rPr>
          <w:rFonts w:ascii="Segoe UI" w:hAnsi="Segoe UI" w:cs="Segoe UI"/>
          <w:bCs/>
          <w:sz w:val="21"/>
          <w:szCs w:val="21"/>
        </w:rPr>
        <w:t>are reductions in government revenue through preferential tax treatment of specific groups of taxpayers or specific activities.</w:t>
      </w:r>
      <w:r w:rsidR="00F77F6D" w:rsidRPr="00CB1E53">
        <w:rPr>
          <w:rStyle w:val="FootnoteReference"/>
          <w:rFonts w:ascii="Segoe UI" w:hAnsi="Segoe UI" w:cs="Segoe UI"/>
          <w:bCs/>
          <w:sz w:val="21"/>
          <w:szCs w:val="21"/>
        </w:rPr>
        <w:footnoteReference w:id="3"/>
      </w:r>
      <w:r w:rsidR="00F77F6D" w:rsidRPr="00CB1E53">
        <w:rPr>
          <w:rFonts w:ascii="Segoe UI" w:hAnsi="Segoe UI" w:cs="Segoe UI"/>
          <w:bCs/>
          <w:sz w:val="21"/>
          <w:szCs w:val="21"/>
        </w:rPr>
        <w:t xml:space="preserve"> </w:t>
      </w:r>
      <w:r w:rsidR="00F77F6D" w:rsidRPr="00CB1E53">
        <w:rPr>
          <w:rFonts w:ascii="Segoe UI" w:hAnsi="Segoe UI" w:cs="Segoe UI"/>
          <w:sz w:val="21"/>
          <w:szCs w:val="21"/>
        </w:rPr>
        <w:t xml:space="preserve">In the literature, </w:t>
      </w:r>
      <w:r w:rsidRPr="00CB1E53">
        <w:rPr>
          <w:rFonts w:ascii="Segoe UI" w:hAnsi="Segoe UI" w:cs="Segoe UI"/>
          <w:sz w:val="21"/>
          <w:szCs w:val="21"/>
        </w:rPr>
        <w:t>TEs</w:t>
      </w:r>
      <w:r w:rsidR="00F77F6D" w:rsidRPr="00CB1E53">
        <w:rPr>
          <w:rFonts w:ascii="Segoe UI" w:hAnsi="Segoe UI" w:cs="Segoe UI"/>
          <w:sz w:val="21"/>
          <w:szCs w:val="21"/>
        </w:rPr>
        <w:t xml:space="preserve"> are generally defined as deviations from some </w:t>
      </w:r>
      <w:r w:rsidR="001A66E8">
        <w:rPr>
          <w:rFonts w:ascii="Segoe UI" w:hAnsi="Segoe UI" w:cs="Segoe UI"/>
          <w:sz w:val="21"/>
          <w:szCs w:val="21"/>
        </w:rPr>
        <w:t>“</w:t>
      </w:r>
      <w:r w:rsidR="001A66E8" w:rsidRPr="00CB1E53">
        <w:rPr>
          <w:rFonts w:ascii="Segoe UI" w:hAnsi="Segoe UI" w:cs="Segoe UI"/>
          <w:sz w:val="21"/>
          <w:szCs w:val="21"/>
        </w:rPr>
        <w:t>benchmark</w:t>
      </w:r>
      <w:r w:rsidR="001A66E8">
        <w:rPr>
          <w:rFonts w:ascii="Segoe UI" w:hAnsi="Segoe UI" w:cs="Segoe UI"/>
          <w:sz w:val="21"/>
          <w:szCs w:val="21"/>
        </w:rPr>
        <w:t>”</w:t>
      </w:r>
      <w:r w:rsidR="001A66E8" w:rsidRPr="00CB1E53">
        <w:rPr>
          <w:rFonts w:ascii="Segoe UI" w:hAnsi="Segoe UI" w:cs="Segoe UI"/>
          <w:sz w:val="21"/>
          <w:szCs w:val="21"/>
        </w:rPr>
        <w:t xml:space="preserve"> </w:t>
      </w:r>
      <w:r w:rsidR="00F77F6D" w:rsidRPr="00CB1E53">
        <w:rPr>
          <w:rFonts w:ascii="Segoe UI" w:hAnsi="Segoe UI" w:cs="Segoe UI"/>
          <w:sz w:val="21"/>
          <w:szCs w:val="21"/>
        </w:rPr>
        <w:t xml:space="preserve">tax system although the benchmark, as discussed below, is rarely well defined. Many countries, including EU countries, make ample use of </w:t>
      </w:r>
      <w:r w:rsidRPr="00CB1E53">
        <w:rPr>
          <w:rFonts w:ascii="Segoe UI" w:hAnsi="Segoe UI" w:cs="Segoe UI"/>
          <w:sz w:val="21"/>
          <w:szCs w:val="21"/>
        </w:rPr>
        <w:t xml:space="preserve">TEs </w:t>
      </w:r>
      <w:r w:rsidR="00F77F6D" w:rsidRPr="00CB1E53">
        <w:rPr>
          <w:rFonts w:ascii="Segoe UI" w:hAnsi="Segoe UI" w:cs="Segoe UI"/>
          <w:sz w:val="21"/>
          <w:szCs w:val="21"/>
        </w:rPr>
        <w:t>with a wide variety of policy objectives including employment creation, higher investment, innovation, education, entrepreneurship, home ownership, regional development, and income redistribution.</w:t>
      </w:r>
      <w:r w:rsidR="00F77F6D" w:rsidRPr="00CB1E53">
        <w:rPr>
          <w:rStyle w:val="FootnoteReference"/>
          <w:rFonts w:ascii="Segoe UI" w:hAnsi="Segoe UI" w:cs="Segoe UI"/>
          <w:sz w:val="21"/>
          <w:szCs w:val="21"/>
        </w:rPr>
        <w:footnoteReference w:id="4"/>
      </w:r>
    </w:p>
    <w:p w14:paraId="78BABF39" w14:textId="77777777" w:rsidR="00F77F6D" w:rsidRPr="00CB1E53" w:rsidRDefault="00F77F6D" w:rsidP="00FD11D9">
      <w:pPr>
        <w:pStyle w:val="Heading3"/>
        <w:jc w:val="both"/>
        <w:rPr>
          <w:rStyle w:val="RegularDKB"/>
          <w:caps w:val="0"/>
        </w:rPr>
      </w:pPr>
      <w:bookmarkStart w:id="10" w:name="_Toc99298759"/>
      <w:r w:rsidRPr="00CB1E53">
        <w:rPr>
          <w:rStyle w:val="RegularDKB"/>
          <w:caps w:val="0"/>
        </w:rPr>
        <w:t>Forms of tax relief</w:t>
      </w:r>
      <w:bookmarkEnd w:id="10"/>
    </w:p>
    <w:p w14:paraId="2F46F494" w14:textId="18F6A1C8" w:rsidR="00F77F6D" w:rsidRPr="00CB1E53" w:rsidRDefault="00F77F6D" w:rsidP="00FD11D9">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sz w:val="21"/>
          <w:szCs w:val="21"/>
        </w:rPr>
        <w:t>T</w:t>
      </w:r>
      <w:r w:rsidR="00967360">
        <w:rPr>
          <w:rFonts w:ascii="Segoe UI" w:hAnsi="Segoe UI" w:cs="Segoe UI"/>
          <w:sz w:val="21"/>
          <w:szCs w:val="21"/>
        </w:rPr>
        <w:t>Es</w:t>
      </w:r>
      <w:r w:rsidRPr="00CB1E53">
        <w:rPr>
          <w:rFonts w:ascii="Segoe UI" w:hAnsi="Segoe UI" w:cs="Segoe UI"/>
          <w:sz w:val="21"/>
          <w:szCs w:val="21"/>
        </w:rPr>
        <w:t xml:space="preserve"> can take different forms—they can be either temporary or permanent—and </w:t>
      </w:r>
      <w:r w:rsidR="00E34607">
        <w:rPr>
          <w:rFonts w:ascii="Segoe UI" w:hAnsi="Segoe UI" w:cs="Segoe UI"/>
          <w:sz w:val="21"/>
          <w:szCs w:val="21"/>
        </w:rPr>
        <w:t xml:space="preserve">they can </w:t>
      </w:r>
      <w:r w:rsidRPr="00CB1E53">
        <w:rPr>
          <w:rFonts w:ascii="Segoe UI" w:hAnsi="Segoe UI" w:cs="Segoe UI"/>
          <w:sz w:val="21"/>
          <w:szCs w:val="21"/>
        </w:rPr>
        <w:t xml:space="preserve">include the policy interventions such as </w:t>
      </w:r>
      <w:r w:rsidRPr="00CB1E53">
        <w:rPr>
          <w:rFonts w:ascii="Segoe UI" w:hAnsi="Segoe UI" w:cs="Segoe UI"/>
          <w:i/>
          <w:iCs/>
          <w:sz w:val="21"/>
          <w:szCs w:val="21"/>
        </w:rPr>
        <w:t>exemptions</w:t>
      </w:r>
      <w:r w:rsidRPr="00CB1E53">
        <w:rPr>
          <w:rFonts w:ascii="Segoe UI" w:hAnsi="Segoe UI" w:cs="Segoe UI"/>
          <w:sz w:val="21"/>
          <w:szCs w:val="21"/>
        </w:rPr>
        <w:t xml:space="preserve"> (or exclusions from the tax base); </w:t>
      </w:r>
      <w:r w:rsidRPr="00CB1E53">
        <w:rPr>
          <w:rFonts w:ascii="Segoe UI" w:hAnsi="Segoe UI" w:cs="Segoe UI"/>
          <w:i/>
          <w:iCs/>
          <w:sz w:val="21"/>
          <w:szCs w:val="21"/>
        </w:rPr>
        <w:t>allowances</w:t>
      </w:r>
      <w:r w:rsidRPr="00CB1E53">
        <w:rPr>
          <w:rFonts w:ascii="Segoe UI" w:hAnsi="Segoe UI" w:cs="Segoe UI"/>
          <w:sz w:val="21"/>
          <w:szCs w:val="21"/>
        </w:rPr>
        <w:t xml:space="preserve"> (i.e., amounts deducted from the tax base before applying the tax rate(s); </w:t>
      </w:r>
      <w:r w:rsidRPr="00CB1E53">
        <w:rPr>
          <w:rFonts w:ascii="Segoe UI" w:hAnsi="Segoe UI" w:cs="Segoe UI"/>
          <w:i/>
          <w:iCs/>
          <w:sz w:val="21"/>
          <w:szCs w:val="21"/>
        </w:rPr>
        <w:t>credits</w:t>
      </w:r>
      <w:r w:rsidRPr="00CB1E53">
        <w:rPr>
          <w:rFonts w:ascii="Segoe UI" w:hAnsi="Segoe UI" w:cs="Segoe UI"/>
          <w:sz w:val="21"/>
          <w:szCs w:val="21"/>
        </w:rPr>
        <w:t xml:space="preserve"> (amounts deducted from tax liability); </w:t>
      </w:r>
      <w:r w:rsidRPr="00CB1E53">
        <w:rPr>
          <w:rFonts w:ascii="Segoe UI" w:hAnsi="Segoe UI" w:cs="Segoe UI"/>
          <w:i/>
          <w:iCs/>
          <w:sz w:val="21"/>
          <w:szCs w:val="21"/>
        </w:rPr>
        <w:t>rate reliefs</w:t>
      </w:r>
      <w:r w:rsidRPr="00CB1E53">
        <w:rPr>
          <w:rFonts w:ascii="Segoe UI" w:hAnsi="Segoe UI" w:cs="Segoe UI"/>
          <w:sz w:val="21"/>
          <w:szCs w:val="21"/>
        </w:rPr>
        <w:t xml:space="preserve"> (reduced rates); or tax </w:t>
      </w:r>
      <w:r w:rsidRPr="00CB1E53">
        <w:rPr>
          <w:rFonts w:ascii="Segoe UI" w:hAnsi="Segoe UI" w:cs="Segoe UI"/>
          <w:i/>
          <w:iCs/>
          <w:sz w:val="21"/>
          <w:szCs w:val="21"/>
        </w:rPr>
        <w:t>deferrals</w:t>
      </w:r>
      <w:r w:rsidRPr="00CB1E53">
        <w:rPr>
          <w:rFonts w:ascii="Segoe UI" w:hAnsi="Segoe UI" w:cs="Segoe UI"/>
          <w:sz w:val="21"/>
          <w:szCs w:val="21"/>
        </w:rPr>
        <w:t>. They may be included in many laws, such as tax laws, economic zone laws, investment codes, etc.</w:t>
      </w:r>
    </w:p>
    <w:p w14:paraId="5021A9CE" w14:textId="77777777" w:rsidR="00F77F6D" w:rsidRPr="00CB1E53" w:rsidRDefault="00F77F6D" w:rsidP="00FD11D9">
      <w:pPr>
        <w:pStyle w:val="Heading3"/>
        <w:jc w:val="both"/>
        <w:rPr>
          <w:rStyle w:val="RegularDKB"/>
          <w:caps w:val="0"/>
        </w:rPr>
      </w:pPr>
      <w:bookmarkStart w:id="11" w:name="_Toc99298760"/>
      <w:r w:rsidRPr="00CB1E53">
        <w:rPr>
          <w:rStyle w:val="RegularDKB"/>
          <w:caps w:val="0"/>
        </w:rPr>
        <w:t>Tax relief vs. support defrayed from the budget's expenditure side</w:t>
      </w:r>
      <w:bookmarkEnd w:id="11"/>
    </w:p>
    <w:p w14:paraId="367C2E16" w14:textId="7DA4A7C8" w:rsidR="00F77F6D" w:rsidRPr="00CB1E53" w:rsidRDefault="00F77F6D" w:rsidP="00FD11D9">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bCs/>
          <w:sz w:val="21"/>
          <w:szCs w:val="21"/>
        </w:rPr>
        <w:t xml:space="preserve">The </w:t>
      </w:r>
      <w:r w:rsidR="005A6DC4" w:rsidRPr="00CB1E53">
        <w:rPr>
          <w:rFonts w:ascii="Segoe UI" w:hAnsi="Segoe UI" w:cs="Segoe UI"/>
          <w:bCs/>
          <w:sz w:val="21"/>
          <w:szCs w:val="21"/>
        </w:rPr>
        <w:t xml:space="preserve">MoF </w:t>
      </w:r>
      <w:r w:rsidRPr="00CB1E53">
        <w:rPr>
          <w:rFonts w:ascii="Segoe UI" w:hAnsi="Segoe UI" w:cs="Segoe UI"/>
          <w:bCs/>
          <w:sz w:val="21"/>
          <w:szCs w:val="21"/>
        </w:rPr>
        <w:t xml:space="preserve">would like to draw your attention to the fact that policy objectives of </w:t>
      </w:r>
      <w:r w:rsidR="00F310A8" w:rsidRPr="00CB1E53">
        <w:rPr>
          <w:rFonts w:ascii="Segoe UI" w:hAnsi="Segoe UI" w:cs="Segoe UI"/>
          <w:bCs/>
          <w:sz w:val="21"/>
          <w:szCs w:val="21"/>
        </w:rPr>
        <w:t xml:space="preserve">TEs </w:t>
      </w:r>
      <w:r w:rsidRPr="00CB1E53">
        <w:rPr>
          <w:rFonts w:ascii="Segoe UI" w:hAnsi="Segoe UI" w:cs="Segoe UI"/>
          <w:bCs/>
          <w:sz w:val="21"/>
          <w:szCs w:val="21"/>
        </w:rPr>
        <w:t>could also be achieved through direct expenditure programs.</w:t>
      </w:r>
      <w:r w:rsidRPr="00CB1E53">
        <w:rPr>
          <w:rFonts w:ascii="Segoe UI" w:hAnsi="Segoe UI" w:cs="Segoe UI"/>
          <w:b/>
          <w:sz w:val="21"/>
          <w:szCs w:val="21"/>
        </w:rPr>
        <w:t xml:space="preserve"> </w:t>
      </w:r>
      <w:r w:rsidRPr="00CB1E53">
        <w:rPr>
          <w:rFonts w:ascii="Segoe UI" w:hAnsi="Segoe UI" w:cs="Segoe UI"/>
          <w:sz w:val="21"/>
          <w:szCs w:val="21"/>
        </w:rPr>
        <w:t xml:space="preserve">But </w:t>
      </w:r>
      <w:r w:rsidR="00F310A8" w:rsidRPr="00CB1E53">
        <w:rPr>
          <w:rFonts w:ascii="Segoe UI" w:hAnsi="Segoe UI" w:cs="Segoe UI"/>
          <w:sz w:val="21"/>
          <w:szCs w:val="21"/>
        </w:rPr>
        <w:t>TEs</w:t>
      </w:r>
      <w:r w:rsidRPr="00CB1E53">
        <w:rPr>
          <w:rFonts w:ascii="Segoe UI" w:hAnsi="Segoe UI" w:cs="Segoe UI"/>
          <w:sz w:val="21"/>
          <w:szCs w:val="21"/>
        </w:rPr>
        <w:t xml:space="preserve"> are typically exposed to less scrutiny by governments and their agencies than direct expenditure programs—unless specific provisions are in place for their identification, quantification, and estimation of their economic consequences</w:t>
      </w:r>
      <w:r w:rsidR="00EF7CD0" w:rsidRPr="00CB1E53">
        <w:rPr>
          <w:rFonts w:ascii="Segoe UI" w:hAnsi="Segoe UI" w:cs="Segoe UI"/>
          <w:sz w:val="21"/>
          <w:szCs w:val="21"/>
        </w:rPr>
        <w:t>. The lat</w:t>
      </w:r>
      <w:r w:rsidR="001A66E8">
        <w:rPr>
          <w:rFonts w:ascii="Segoe UI" w:hAnsi="Segoe UI" w:cs="Segoe UI"/>
          <w:sz w:val="21"/>
          <w:szCs w:val="21"/>
        </w:rPr>
        <w:t>t</w:t>
      </w:r>
      <w:r w:rsidR="00EF7CD0" w:rsidRPr="00CB1E53">
        <w:rPr>
          <w:rFonts w:ascii="Segoe UI" w:hAnsi="Segoe UI" w:cs="Segoe UI"/>
          <w:sz w:val="21"/>
          <w:szCs w:val="21"/>
        </w:rPr>
        <w:t xml:space="preserve">er </w:t>
      </w:r>
      <w:r w:rsidRPr="00CB1E53">
        <w:rPr>
          <w:rFonts w:ascii="Segoe UI" w:hAnsi="Segoe UI" w:cs="Segoe UI"/>
          <w:sz w:val="21"/>
          <w:szCs w:val="21"/>
        </w:rPr>
        <w:t xml:space="preserve">is the functional objective of a TEAR. In the context of constrained public finances, it is important to better conceptually integrate the budgetary and economic impact of </w:t>
      </w:r>
      <w:r w:rsidR="00F310A8" w:rsidRPr="00CB1E53">
        <w:rPr>
          <w:rFonts w:ascii="Segoe UI" w:hAnsi="Segoe UI" w:cs="Segoe UI"/>
          <w:sz w:val="21"/>
          <w:szCs w:val="21"/>
        </w:rPr>
        <w:t xml:space="preserve">TEs </w:t>
      </w:r>
      <w:r w:rsidRPr="00CB1E53">
        <w:rPr>
          <w:rFonts w:ascii="Segoe UI" w:hAnsi="Segoe UI" w:cs="Segoe UI"/>
          <w:sz w:val="21"/>
          <w:szCs w:val="21"/>
        </w:rPr>
        <w:t xml:space="preserve">into the annual budgetary process and accountability framework. The core objective of </w:t>
      </w:r>
      <w:r w:rsidR="005B416B" w:rsidRPr="00CB1E53">
        <w:rPr>
          <w:rFonts w:ascii="Segoe UI" w:hAnsi="Segoe UI" w:cs="Segoe UI"/>
          <w:sz w:val="21"/>
          <w:szCs w:val="21"/>
        </w:rPr>
        <w:t>TEs</w:t>
      </w:r>
      <w:r w:rsidRPr="00CB1E53">
        <w:rPr>
          <w:rFonts w:ascii="Segoe UI" w:hAnsi="Segoe UI" w:cs="Segoe UI"/>
          <w:sz w:val="21"/>
          <w:szCs w:val="21"/>
        </w:rPr>
        <w:t xml:space="preserve"> assessment is, therefore, to </w:t>
      </w:r>
      <w:r w:rsidRPr="00CB1E53">
        <w:rPr>
          <w:rFonts w:ascii="Segoe UI" w:hAnsi="Segoe UI" w:cs="Segoe UI"/>
          <w:i/>
          <w:sz w:val="21"/>
          <w:szCs w:val="21"/>
        </w:rPr>
        <w:t>improve transparency and accountability</w:t>
      </w:r>
      <w:r w:rsidRPr="00CB1E53">
        <w:rPr>
          <w:rFonts w:ascii="Segoe UI" w:hAnsi="Segoe UI" w:cs="Segoe UI"/>
          <w:sz w:val="21"/>
          <w:szCs w:val="21"/>
        </w:rPr>
        <w:t xml:space="preserve"> in public finance, by identifying all budgetary reliefs given through tax reductions, and expose them to the same scrutiny as expenditure programs. This would include an evaluation by the </w:t>
      </w:r>
      <w:r w:rsidR="005A6DC4" w:rsidRPr="00CB1E53">
        <w:rPr>
          <w:rFonts w:ascii="Segoe UI" w:hAnsi="Segoe UI" w:cs="Segoe UI"/>
          <w:sz w:val="21"/>
          <w:szCs w:val="21"/>
        </w:rPr>
        <w:t>MoF</w:t>
      </w:r>
      <w:r w:rsidRPr="00CB1E53">
        <w:rPr>
          <w:rFonts w:ascii="Segoe UI" w:hAnsi="Segoe UI" w:cs="Segoe UI"/>
          <w:sz w:val="21"/>
          <w:szCs w:val="21"/>
        </w:rPr>
        <w:t xml:space="preserve"> of whether the underlying policy purposes could best be achieved through tax reliefs or direct expenditures. It follows that </w:t>
      </w:r>
      <w:r w:rsidR="00F310A8" w:rsidRPr="00CB1E53">
        <w:rPr>
          <w:rFonts w:ascii="Segoe UI" w:hAnsi="Segoe UI" w:cs="Segoe UI"/>
          <w:sz w:val="21"/>
          <w:szCs w:val="21"/>
        </w:rPr>
        <w:t xml:space="preserve">TEs </w:t>
      </w:r>
      <w:r w:rsidRPr="00CB1E53">
        <w:rPr>
          <w:rFonts w:ascii="Segoe UI" w:hAnsi="Segoe UI" w:cs="Segoe UI"/>
          <w:sz w:val="21"/>
          <w:szCs w:val="21"/>
        </w:rPr>
        <w:t>are not necessarily bad policy measures, and there are situations where they can be preferred to direct expenditure programs.</w:t>
      </w:r>
      <w:r w:rsidRPr="00CB1E53">
        <w:rPr>
          <w:rStyle w:val="FootnoteReference"/>
          <w:rFonts w:ascii="Segoe UI" w:hAnsi="Segoe UI" w:cs="Segoe UI"/>
          <w:sz w:val="21"/>
          <w:szCs w:val="21"/>
        </w:rPr>
        <w:footnoteReference w:id="5"/>
      </w:r>
    </w:p>
    <w:p w14:paraId="5500CB32" w14:textId="77777777" w:rsidR="00F77F6D" w:rsidRPr="00CB1E53" w:rsidRDefault="00F77F6D" w:rsidP="00FD11D9">
      <w:pPr>
        <w:pStyle w:val="Heading3"/>
        <w:keepNext/>
        <w:keepLines/>
        <w:jc w:val="both"/>
        <w:rPr>
          <w:rStyle w:val="RegularDKB"/>
          <w:caps w:val="0"/>
        </w:rPr>
      </w:pPr>
      <w:bookmarkStart w:id="12" w:name="_Toc99298761"/>
      <w:r w:rsidRPr="00CB1E53">
        <w:rPr>
          <w:rStyle w:val="RegularDKB"/>
          <w:caps w:val="0"/>
        </w:rPr>
        <w:lastRenderedPageBreak/>
        <w:t>Following global good practice in fiscal transparency</w:t>
      </w:r>
      <w:bookmarkEnd w:id="12"/>
    </w:p>
    <w:p w14:paraId="1A8028C4" w14:textId="4746120C" w:rsidR="00F77F6D" w:rsidRPr="00CB1E53" w:rsidRDefault="00F77F6D" w:rsidP="00FD11D9">
      <w:pPr>
        <w:pStyle w:val="ParagraphNumbering"/>
        <w:keepNext/>
        <w:keepLines/>
        <w:numPr>
          <w:ilvl w:val="0"/>
          <w:numId w:val="0"/>
        </w:numPr>
        <w:spacing w:after="120" w:line="264" w:lineRule="auto"/>
        <w:jc w:val="both"/>
        <w:rPr>
          <w:rFonts w:ascii="Segoe UI" w:hAnsi="Segoe UI" w:cs="Segoe UI"/>
          <w:sz w:val="21"/>
          <w:szCs w:val="21"/>
        </w:rPr>
      </w:pPr>
      <w:r w:rsidRPr="00CB1E53">
        <w:rPr>
          <w:rFonts w:ascii="Segoe UI" w:hAnsi="Segoe UI" w:cs="Segoe UI"/>
          <w:bCs/>
          <w:sz w:val="21"/>
          <w:szCs w:val="21"/>
        </w:rPr>
        <w:t xml:space="preserve">With the release of our first comprehensive TEAR, Moldova follows an international trend since the emergence of </w:t>
      </w:r>
      <w:r w:rsidR="00F310A8" w:rsidRPr="00CB1E53">
        <w:rPr>
          <w:rFonts w:ascii="Segoe UI" w:hAnsi="Segoe UI" w:cs="Segoe UI"/>
          <w:bCs/>
          <w:sz w:val="21"/>
          <w:szCs w:val="21"/>
        </w:rPr>
        <w:t xml:space="preserve">TEs </w:t>
      </w:r>
      <w:r w:rsidRPr="00CB1E53">
        <w:rPr>
          <w:rFonts w:ascii="Segoe UI" w:hAnsi="Segoe UI" w:cs="Segoe UI"/>
          <w:bCs/>
          <w:sz w:val="21"/>
          <w:szCs w:val="21"/>
        </w:rPr>
        <w:t>accounting in the US and Germany in the 1960s. The concept has seen wide acceptance and wider application across a growing number of countries, covering a larger range of taxes.</w:t>
      </w:r>
      <w:r w:rsidRPr="00CB1E53">
        <w:rPr>
          <w:rFonts w:ascii="Segoe UI" w:hAnsi="Segoe UI" w:cs="Segoe UI"/>
          <w:sz w:val="21"/>
          <w:szCs w:val="21"/>
        </w:rPr>
        <w:t xml:space="preserve"> </w:t>
      </w:r>
      <w:r w:rsidR="00EF7CD0" w:rsidRPr="00CB1E53">
        <w:rPr>
          <w:rFonts w:ascii="Segoe UI" w:hAnsi="Segoe UI" w:cs="Segoe UI"/>
          <w:sz w:val="21"/>
          <w:szCs w:val="21"/>
        </w:rPr>
        <w:t>T</w:t>
      </w:r>
      <w:r w:rsidRPr="00CB1E53">
        <w:rPr>
          <w:rFonts w:ascii="Segoe UI" w:hAnsi="Segoe UI" w:cs="Segoe UI"/>
          <w:sz w:val="21"/>
          <w:szCs w:val="21"/>
        </w:rPr>
        <w:t xml:space="preserve">he legal basis for </w:t>
      </w:r>
      <w:r w:rsidR="005B416B" w:rsidRPr="00CB1E53">
        <w:rPr>
          <w:rFonts w:ascii="Segoe UI" w:hAnsi="Segoe UI" w:cs="Segoe UI"/>
          <w:sz w:val="21"/>
          <w:szCs w:val="21"/>
        </w:rPr>
        <w:t>TEs</w:t>
      </w:r>
      <w:r w:rsidRPr="00CB1E53">
        <w:rPr>
          <w:rFonts w:ascii="Segoe UI" w:hAnsi="Segoe UI" w:cs="Segoe UI"/>
          <w:sz w:val="21"/>
          <w:szCs w:val="21"/>
        </w:rPr>
        <w:t xml:space="preserve"> accounting differs across countries, with some countries having a legal requirement to conduct regular</w:t>
      </w:r>
      <w:r w:rsidR="00542C46" w:rsidRPr="00CB1E53">
        <w:rPr>
          <w:rFonts w:ascii="Segoe UI" w:hAnsi="Segoe UI" w:cs="Segoe UI"/>
          <w:sz w:val="21"/>
          <w:szCs w:val="21"/>
        </w:rPr>
        <w:t>—</w:t>
      </w:r>
      <w:r w:rsidRPr="00CB1E53">
        <w:rPr>
          <w:rFonts w:ascii="Segoe UI" w:hAnsi="Segoe UI" w:cs="Segoe UI"/>
          <w:sz w:val="21"/>
          <w:szCs w:val="21"/>
        </w:rPr>
        <w:t>typically annual</w:t>
      </w:r>
      <w:r w:rsidR="00542C46" w:rsidRPr="00CB1E53">
        <w:rPr>
          <w:rFonts w:ascii="Segoe UI" w:hAnsi="Segoe UI" w:cs="Segoe UI"/>
          <w:sz w:val="21"/>
          <w:szCs w:val="21"/>
        </w:rPr>
        <w:t>—</w:t>
      </w:r>
      <w:r w:rsidR="00F310A8" w:rsidRPr="00CB1E53">
        <w:rPr>
          <w:rFonts w:ascii="Segoe UI" w:hAnsi="Segoe UI" w:cs="Segoe UI"/>
          <w:sz w:val="21"/>
          <w:szCs w:val="21"/>
        </w:rPr>
        <w:t xml:space="preserve">TEs </w:t>
      </w:r>
      <w:r w:rsidRPr="00CB1E53">
        <w:rPr>
          <w:rFonts w:ascii="Segoe UI" w:hAnsi="Segoe UI" w:cs="Segoe UI"/>
          <w:sz w:val="21"/>
          <w:szCs w:val="21"/>
        </w:rPr>
        <w:t>assessment, while others</w:t>
      </w:r>
      <w:r w:rsidR="00542C46" w:rsidRPr="00CB1E53">
        <w:rPr>
          <w:rFonts w:ascii="Segoe UI" w:hAnsi="Segoe UI" w:cs="Segoe UI"/>
          <w:sz w:val="21"/>
          <w:szCs w:val="21"/>
        </w:rPr>
        <w:t xml:space="preserve">, </w:t>
      </w:r>
      <w:r w:rsidRPr="00CB1E53">
        <w:rPr>
          <w:rFonts w:ascii="Segoe UI" w:hAnsi="Segoe UI" w:cs="Segoe UI"/>
          <w:sz w:val="21"/>
          <w:szCs w:val="21"/>
        </w:rPr>
        <w:t>including Moldova</w:t>
      </w:r>
      <w:r w:rsidR="00542C46" w:rsidRPr="00CB1E53">
        <w:rPr>
          <w:rFonts w:ascii="Segoe UI" w:hAnsi="Segoe UI" w:cs="Segoe UI"/>
          <w:sz w:val="21"/>
          <w:szCs w:val="21"/>
        </w:rPr>
        <w:t>,</w:t>
      </w:r>
      <w:r w:rsidRPr="00CB1E53">
        <w:rPr>
          <w:rFonts w:ascii="Segoe UI" w:hAnsi="Segoe UI" w:cs="Segoe UI"/>
          <w:sz w:val="21"/>
          <w:szCs w:val="21"/>
        </w:rPr>
        <w:t xml:space="preserve"> do not have such a legal requirement.</w:t>
      </w:r>
    </w:p>
    <w:p w14:paraId="41A89463" w14:textId="1302B5EC" w:rsidR="00F77F6D" w:rsidRPr="00CB1E53" w:rsidRDefault="00F77F6D" w:rsidP="00FD11D9">
      <w:pPr>
        <w:pStyle w:val="Heading3"/>
        <w:jc w:val="both"/>
        <w:rPr>
          <w:rStyle w:val="RegularDKB"/>
          <w:caps w:val="0"/>
        </w:rPr>
      </w:pPr>
      <w:bookmarkStart w:id="13" w:name="_Toc99298762"/>
      <w:r w:rsidRPr="00CB1E53">
        <w:rPr>
          <w:rStyle w:val="RegularDKB"/>
          <w:caps w:val="0"/>
        </w:rPr>
        <w:t xml:space="preserve">The steps of the Moldovan </w:t>
      </w:r>
      <w:r w:rsidR="005B416B" w:rsidRPr="00CB1E53">
        <w:rPr>
          <w:rStyle w:val="RegularDKB"/>
          <w:caps w:val="0"/>
        </w:rPr>
        <w:t>TEs</w:t>
      </w:r>
      <w:r w:rsidRPr="00CB1E53">
        <w:rPr>
          <w:rStyle w:val="RegularDKB"/>
          <w:caps w:val="0"/>
        </w:rPr>
        <w:t xml:space="preserve"> assessment</w:t>
      </w:r>
      <w:bookmarkEnd w:id="13"/>
    </w:p>
    <w:p w14:paraId="7B5161BE" w14:textId="6316CC64" w:rsidR="00F77F6D" w:rsidRPr="00CB1E53" w:rsidRDefault="00F77F6D" w:rsidP="00FD11D9">
      <w:pPr>
        <w:pStyle w:val="ParagraphNumbering"/>
        <w:numPr>
          <w:ilvl w:val="0"/>
          <w:numId w:val="0"/>
        </w:numPr>
        <w:spacing w:after="120" w:line="264" w:lineRule="auto"/>
        <w:jc w:val="both"/>
        <w:rPr>
          <w:rFonts w:ascii="Segoe UI" w:hAnsi="Segoe UI" w:cs="Segoe UI"/>
          <w:sz w:val="21"/>
          <w:szCs w:val="21"/>
        </w:rPr>
      </w:pPr>
      <w:r w:rsidRPr="00CB1E53">
        <w:rPr>
          <w:rFonts w:ascii="Segoe UI" w:hAnsi="Segoe UI" w:cs="Segoe UI"/>
          <w:bCs/>
          <w:sz w:val="21"/>
          <w:szCs w:val="21"/>
        </w:rPr>
        <w:t>Four different phases in the preparation of Tax Expenditure Reports can clearly be identified</w:t>
      </w:r>
      <w:r w:rsidR="00372EE6" w:rsidRPr="00CB1E53">
        <w:rPr>
          <w:rFonts w:ascii="Segoe UI" w:hAnsi="Segoe UI" w:cs="Segoe UI"/>
          <w:bCs/>
          <w:sz w:val="21"/>
          <w:szCs w:val="21"/>
        </w:rPr>
        <w:t xml:space="preserve"> </w:t>
      </w:r>
      <w:r w:rsidRPr="00CB1E53">
        <w:rPr>
          <w:rFonts w:ascii="Segoe UI" w:hAnsi="Segoe UI" w:cs="Segoe UI"/>
          <w:sz w:val="21"/>
          <w:szCs w:val="21"/>
        </w:rPr>
        <w:t xml:space="preserve">(Figure 1). </w:t>
      </w:r>
    </w:p>
    <w:p w14:paraId="7C1FB6AC" w14:textId="77777777" w:rsidR="00F77F6D" w:rsidRPr="00CB1E53" w:rsidRDefault="00F77F6D" w:rsidP="00FD11D9">
      <w:pPr>
        <w:pStyle w:val="Boxfiguretabletitle"/>
        <w:spacing w:after="120"/>
        <w:jc w:val="both"/>
        <w:rPr>
          <w:color w:val="auto"/>
        </w:rPr>
      </w:pPr>
      <w:r w:rsidRPr="00CB1E53">
        <w:rPr>
          <w:b w:val="0"/>
          <w:bCs w:val="0"/>
          <w:color w:val="auto"/>
        </w:rPr>
        <w:fldChar w:fldCharType="begin"/>
      </w:r>
      <w:r w:rsidRPr="00CB1E53">
        <w:rPr>
          <w:b w:val="0"/>
          <w:bCs w:val="0"/>
          <w:color w:val="auto"/>
        </w:rPr>
        <w:instrText xml:space="preserve"> TC "</w:instrText>
      </w:r>
      <w:bookmarkStart w:id="14" w:name="_Toc8398748"/>
      <w:bookmarkStart w:id="15" w:name="_Toc8398785"/>
      <w:r w:rsidRPr="00CB1E53">
        <w:rPr>
          <w:b w:val="0"/>
          <w:bCs w:val="0"/>
          <w:color w:val="auto"/>
        </w:rPr>
        <w:instrText>1. Steps in the Preparation of Tax Expenditure Reports</w:instrText>
      </w:r>
      <w:bookmarkEnd w:id="14"/>
      <w:bookmarkEnd w:id="15"/>
      <w:r w:rsidRPr="00CB1E53">
        <w:rPr>
          <w:b w:val="0"/>
          <w:bCs w:val="0"/>
          <w:color w:val="auto"/>
        </w:rPr>
        <w:instrText xml:space="preserve">"\f C </w:instrText>
      </w:r>
      <w:r w:rsidRPr="00CB1E53">
        <w:rPr>
          <w:b w:val="0"/>
          <w:bCs w:val="0"/>
          <w:color w:val="auto"/>
        </w:rPr>
        <w:fldChar w:fldCharType="end"/>
      </w:r>
      <w:r w:rsidRPr="00CB1E53">
        <w:rPr>
          <w:color w:val="auto"/>
        </w:rPr>
        <w:t>Figure 1. Steps in the Preparation of Tax Expenditure Reports</w:t>
      </w:r>
    </w:p>
    <w:p w14:paraId="67AFE00A" w14:textId="77777777" w:rsidR="00F77F6D" w:rsidRPr="00CB1E53" w:rsidRDefault="00F77F6D" w:rsidP="00FD11D9">
      <w:pPr>
        <w:pStyle w:val="ParagraphNumbering"/>
        <w:numPr>
          <w:ilvl w:val="0"/>
          <w:numId w:val="0"/>
        </w:numPr>
        <w:tabs>
          <w:tab w:val="left" w:pos="720"/>
        </w:tabs>
        <w:spacing w:after="120"/>
        <w:jc w:val="both"/>
      </w:pPr>
      <w:r w:rsidRPr="00CB1E53">
        <w:rPr>
          <w:noProof/>
          <w:lang w:val="en-GB" w:eastAsia="en-GB"/>
        </w:rPr>
        <w:drawing>
          <wp:inline distT="0" distB="0" distL="0" distR="0" wp14:anchorId="3C6725DD" wp14:editId="5C247290">
            <wp:extent cx="5549265" cy="17907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265" cy="1790700"/>
                    </a:xfrm>
                    <a:prstGeom prst="rect">
                      <a:avLst/>
                    </a:prstGeom>
                    <a:noFill/>
                    <a:ln>
                      <a:noFill/>
                    </a:ln>
                  </pic:spPr>
                </pic:pic>
              </a:graphicData>
            </a:graphic>
          </wp:inline>
        </w:drawing>
      </w:r>
    </w:p>
    <w:p w14:paraId="6132CDB3" w14:textId="7D1E482F" w:rsidR="00F77F6D" w:rsidRPr="00CB1E53" w:rsidRDefault="00F77F6D" w:rsidP="00FD11D9">
      <w:pPr>
        <w:pStyle w:val="ParagraphNumbering"/>
        <w:numPr>
          <w:ilvl w:val="0"/>
          <w:numId w:val="0"/>
        </w:numPr>
        <w:tabs>
          <w:tab w:val="left" w:pos="720"/>
        </w:tabs>
        <w:spacing w:after="0"/>
        <w:jc w:val="both"/>
        <w:rPr>
          <w:sz w:val="14"/>
          <w:szCs w:val="14"/>
        </w:rPr>
      </w:pPr>
      <w:r w:rsidRPr="00CB1E53">
        <w:rPr>
          <w:sz w:val="14"/>
          <w:szCs w:val="14"/>
        </w:rPr>
        <w:t xml:space="preserve">Source: Heady and Mansour, “Tax Expenditure Reporting and Its Use in Fiscal Management: a Guide for Developing </w:t>
      </w:r>
      <w:proofErr w:type="gramStart"/>
      <w:r w:rsidRPr="00CB1E53">
        <w:rPr>
          <w:sz w:val="14"/>
          <w:szCs w:val="14"/>
        </w:rPr>
        <w:t>Economies“</w:t>
      </w:r>
      <w:proofErr w:type="gramEnd"/>
      <w:r w:rsidRPr="00CB1E53">
        <w:rPr>
          <w:sz w:val="14"/>
          <w:szCs w:val="14"/>
        </w:rPr>
        <w:t>, IMF, forthcoming.</w:t>
      </w:r>
    </w:p>
    <w:p w14:paraId="22F84FF2" w14:textId="59085B18" w:rsidR="00514AA0" w:rsidRPr="00CB1E53" w:rsidRDefault="00F77F6D" w:rsidP="00FD11D9">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The </w:t>
      </w:r>
      <w:r w:rsidRPr="00CB1E53">
        <w:rPr>
          <w:rFonts w:ascii="Segoe UI" w:hAnsi="Segoe UI" w:cs="Segoe UI"/>
          <w:i/>
          <w:iCs/>
          <w:sz w:val="21"/>
          <w:szCs w:val="21"/>
        </w:rPr>
        <w:t>first phase</w:t>
      </w:r>
      <w:r w:rsidRPr="00CB1E53">
        <w:rPr>
          <w:rFonts w:ascii="Segoe UI" w:hAnsi="Segoe UI" w:cs="Segoe UI"/>
          <w:sz w:val="21"/>
          <w:szCs w:val="21"/>
        </w:rPr>
        <w:t xml:space="preserve"> involves definition of the 'benchmark' tax system (see section </w:t>
      </w:r>
      <w:r w:rsidR="00542C46" w:rsidRPr="00CB1E53">
        <w:rPr>
          <w:rFonts w:ascii="Segoe UI" w:hAnsi="Segoe UI" w:cs="Segoe UI"/>
          <w:sz w:val="21"/>
          <w:szCs w:val="21"/>
        </w:rPr>
        <w:t>II</w:t>
      </w:r>
      <w:r w:rsidRPr="00CB1E53">
        <w:rPr>
          <w:rFonts w:ascii="Segoe UI" w:hAnsi="Segoe UI" w:cs="Segoe UI"/>
          <w:sz w:val="21"/>
          <w:szCs w:val="21"/>
        </w:rPr>
        <w:t xml:space="preserve"> of this TEAR). This refers to a description of the core structural elements of Moldova's tax system excluding all special reliefs or provisions that aim at specific groups of taxpayers or activities. </w:t>
      </w:r>
    </w:p>
    <w:p w14:paraId="5AA65E95" w14:textId="44E3BF11" w:rsidR="00514AA0" w:rsidRPr="00CB1E53" w:rsidRDefault="00F77F6D" w:rsidP="00FD11D9">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The </w:t>
      </w:r>
      <w:r w:rsidRPr="00CB1E53">
        <w:rPr>
          <w:rFonts w:ascii="Segoe UI" w:hAnsi="Segoe UI" w:cs="Segoe UI"/>
          <w:i/>
          <w:iCs/>
          <w:sz w:val="21"/>
          <w:szCs w:val="21"/>
        </w:rPr>
        <w:t>second phase</w:t>
      </w:r>
      <w:r w:rsidRPr="00CB1E53">
        <w:rPr>
          <w:rFonts w:ascii="Segoe UI" w:hAnsi="Segoe UI" w:cs="Segoe UI"/>
          <w:sz w:val="21"/>
          <w:szCs w:val="21"/>
        </w:rPr>
        <w:t xml:space="preserve"> will identify, tax by tax</w:t>
      </w:r>
      <w:r w:rsidR="00542C46" w:rsidRPr="00CB1E53">
        <w:rPr>
          <w:rFonts w:ascii="Segoe UI" w:hAnsi="Segoe UI" w:cs="Segoe UI"/>
          <w:sz w:val="21"/>
          <w:szCs w:val="21"/>
        </w:rPr>
        <w:t>,</w:t>
      </w:r>
      <w:r w:rsidRPr="00CB1E53">
        <w:rPr>
          <w:rFonts w:ascii="Segoe UI" w:hAnsi="Segoe UI" w:cs="Segoe UI"/>
          <w:sz w:val="21"/>
          <w:szCs w:val="21"/>
        </w:rPr>
        <w:t xml:space="preserve"> all deviations from the described 'benchmark' tax system and thereby produce an inventory of currently provided </w:t>
      </w:r>
      <w:r w:rsidR="00F310A8" w:rsidRPr="00CB1E53">
        <w:rPr>
          <w:rFonts w:ascii="Segoe UI" w:hAnsi="Segoe UI" w:cs="Segoe UI"/>
          <w:sz w:val="21"/>
          <w:szCs w:val="21"/>
        </w:rPr>
        <w:t xml:space="preserve">TEs </w:t>
      </w:r>
      <w:r w:rsidRPr="00CB1E53">
        <w:rPr>
          <w:rFonts w:ascii="Segoe UI" w:hAnsi="Segoe UI" w:cs="Segoe UI"/>
          <w:sz w:val="21"/>
          <w:szCs w:val="21"/>
        </w:rPr>
        <w:t xml:space="preserve">(section </w:t>
      </w:r>
      <w:r w:rsidR="00542C46" w:rsidRPr="00CB1E53">
        <w:rPr>
          <w:rFonts w:ascii="Segoe UI" w:hAnsi="Segoe UI" w:cs="Segoe UI"/>
          <w:sz w:val="21"/>
          <w:szCs w:val="21"/>
        </w:rPr>
        <w:t>III</w:t>
      </w:r>
      <w:r w:rsidRPr="00CB1E53">
        <w:rPr>
          <w:rFonts w:ascii="Segoe UI" w:hAnsi="Segoe UI" w:cs="Segoe UI"/>
          <w:sz w:val="21"/>
          <w:szCs w:val="21"/>
        </w:rPr>
        <w:t xml:space="preserve"> and Appendices 1 to 3 of this TEAR).</w:t>
      </w:r>
    </w:p>
    <w:p w14:paraId="3BC74570" w14:textId="3E3FD87F" w:rsidR="00514AA0" w:rsidRPr="00CB1E53" w:rsidRDefault="00F77F6D" w:rsidP="00FD11D9">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sz w:val="21"/>
          <w:szCs w:val="21"/>
        </w:rPr>
        <w:t xml:space="preserve">In a </w:t>
      </w:r>
      <w:r w:rsidRPr="00CB1E53">
        <w:rPr>
          <w:rFonts w:ascii="Segoe UI" w:hAnsi="Segoe UI" w:cs="Segoe UI"/>
          <w:i/>
          <w:iCs/>
          <w:sz w:val="21"/>
          <w:szCs w:val="21"/>
        </w:rPr>
        <w:t>third phase</w:t>
      </w:r>
      <w:r w:rsidRPr="00CB1E53">
        <w:rPr>
          <w:rFonts w:ascii="Segoe UI" w:hAnsi="Segoe UI" w:cs="Segoe UI"/>
          <w:sz w:val="21"/>
          <w:szCs w:val="21"/>
        </w:rPr>
        <w:t xml:space="preserve">, and again tax by tax, data required for the estimation of </w:t>
      </w:r>
      <w:r w:rsidR="009430CA" w:rsidRPr="00CB1E53">
        <w:rPr>
          <w:rFonts w:ascii="Segoe UI" w:hAnsi="Segoe UI" w:cs="Segoe UI"/>
          <w:sz w:val="21"/>
          <w:szCs w:val="21"/>
        </w:rPr>
        <w:t>TEs</w:t>
      </w:r>
      <w:r w:rsidRPr="00CB1E53">
        <w:rPr>
          <w:rFonts w:ascii="Segoe UI" w:hAnsi="Segoe UI" w:cs="Segoe UI"/>
          <w:sz w:val="21"/>
          <w:szCs w:val="21"/>
        </w:rPr>
        <w:t xml:space="preserve">' will be compiled, and estimation methods developed for the estimation of the costs of all </w:t>
      </w:r>
      <w:r w:rsidR="00F310A8" w:rsidRPr="00CB1E53">
        <w:rPr>
          <w:rFonts w:ascii="Segoe UI" w:hAnsi="Segoe UI" w:cs="Segoe UI"/>
          <w:sz w:val="21"/>
          <w:szCs w:val="21"/>
        </w:rPr>
        <w:t xml:space="preserve">TEs </w:t>
      </w:r>
      <w:r w:rsidRPr="00CB1E53">
        <w:rPr>
          <w:rFonts w:ascii="Segoe UI" w:hAnsi="Segoe UI" w:cs="Segoe UI"/>
          <w:sz w:val="21"/>
          <w:szCs w:val="21"/>
        </w:rPr>
        <w:t xml:space="preserve">identified (section </w:t>
      </w:r>
      <w:r w:rsidR="00542C46" w:rsidRPr="00CB1E53">
        <w:rPr>
          <w:rFonts w:ascii="Segoe UI" w:hAnsi="Segoe UI" w:cs="Segoe UI"/>
          <w:sz w:val="21"/>
          <w:szCs w:val="21"/>
        </w:rPr>
        <w:t>IV</w:t>
      </w:r>
      <w:r w:rsidRPr="00CB1E53">
        <w:rPr>
          <w:rFonts w:ascii="Segoe UI" w:hAnsi="Segoe UI" w:cs="Segoe UI"/>
          <w:sz w:val="21"/>
          <w:szCs w:val="21"/>
        </w:rPr>
        <w:t xml:space="preserve"> of </w:t>
      </w:r>
      <w:r w:rsidR="00542C46" w:rsidRPr="00CB1E53">
        <w:rPr>
          <w:rFonts w:ascii="Segoe UI" w:hAnsi="Segoe UI" w:cs="Segoe UI"/>
          <w:sz w:val="21"/>
          <w:szCs w:val="21"/>
        </w:rPr>
        <w:t xml:space="preserve">this </w:t>
      </w:r>
      <w:r w:rsidRPr="00CB1E53">
        <w:rPr>
          <w:rFonts w:ascii="Segoe UI" w:hAnsi="Segoe UI" w:cs="Segoe UI"/>
          <w:sz w:val="21"/>
          <w:szCs w:val="21"/>
        </w:rPr>
        <w:t>TEAR). Estimation methods may be model-based using micro-simulation models, macro-econometric models, or Input-Ou</w:t>
      </w:r>
      <w:r w:rsidR="000F4F88">
        <w:rPr>
          <w:rFonts w:ascii="Segoe UI" w:hAnsi="Segoe UI" w:cs="Segoe UI"/>
          <w:sz w:val="21"/>
          <w:szCs w:val="21"/>
        </w:rPr>
        <w:t>t</w:t>
      </w:r>
      <w:r w:rsidRPr="00CB1E53">
        <w:rPr>
          <w:rFonts w:ascii="Segoe UI" w:hAnsi="Segoe UI" w:cs="Segoe UI"/>
          <w:sz w:val="21"/>
          <w:szCs w:val="21"/>
        </w:rPr>
        <w:t>put models</w:t>
      </w:r>
      <w:r w:rsidR="000F4F88">
        <w:rPr>
          <w:rFonts w:ascii="Segoe UI" w:hAnsi="Segoe UI" w:cs="Segoe UI"/>
          <w:sz w:val="21"/>
          <w:szCs w:val="21"/>
        </w:rPr>
        <w:t>.</w:t>
      </w:r>
    </w:p>
    <w:p w14:paraId="24A36EFC" w14:textId="31682E97" w:rsidR="00F77F6D" w:rsidRPr="00CB1E53" w:rsidRDefault="00F77F6D" w:rsidP="00FD11D9">
      <w:pPr>
        <w:pStyle w:val="ParagraphNumbering"/>
        <w:numPr>
          <w:ilvl w:val="0"/>
          <w:numId w:val="13"/>
        </w:numPr>
        <w:spacing w:before="240" w:after="120" w:line="264" w:lineRule="auto"/>
        <w:jc w:val="both"/>
        <w:rPr>
          <w:rFonts w:ascii="Segoe UI" w:hAnsi="Segoe UI" w:cs="Segoe UI"/>
          <w:b/>
          <w:sz w:val="21"/>
          <w:szCs w:val="21"/>
        </w:rPr>
      </w:pPr>
      <w:r w:rsidRPr="00CB1E53">
        <w:rPr>
          <w:rFonts w:ascii="Segoe UI" w:hAnsi="Segoe UI" w:cs="Segoe UI"/>
          <w:i/>
          <w:iCs/>
          <w:sz w:val="21"/>
          <w:szCs w:val="21"/>
        </w:rPr>
        <w:t>Fourth</w:t>
      </w:r>
      <w:r w:rsidRPr="00CB1E53">
        <w:rPr>
          <w:rFonts w:ascii="Segoe UI" w:hAnsi="Segoe UI" w:cs="Segoe UI"/>
          <w:sz w:val="21"/>
          <w:szCs w:val="21"/>
        </w:rPr>
        <w:t>, this comprehensive TEA</w:t>
      </w:r>
      <w:r w:rsidR="00F310A8" w:rsidRPr="00CB1E53">
        <w:rPr>
          <w:rFonts w:ascii="Segoe UI" w:hAnsi="Segoe UI" w:cs="Segoe UI"/>
          <w:sz w:val="21"/>
          <w:szCs w:val="21"/>
        </w:rPr>
        <w:t>R</w:t>
      </w:r>
      <w:r w:rsidRPr="00CB1E53">
        <w:rPr>
          <w:rFonts w:ascii="Segoe UI" w:hAnsi="Segoe UI" w:cs="Segoe UI"/>
          <w:sz w:val="21"/>
          <w:szCs w:val="21"/>
        </w:rPr>
        <w:t xml:space="preserve"> is being released by the </w:t>
      </w:r>
      <w:r w:rsidR="005A6DC4" w:rsidRPr="00CB1E53">
        <w:rPr>
          <w:rFonts w:ascii="Segoe UI" w:hAnsi="Segoe UI" w:cs="Segoe UI"/>
          <w:sz w:val="21"/>
          <w:szCs w:val="21"/>
        </w:rPr>
        <w:t>MoF</w:t>
      </w:r>
      <w:r w:rsidRPr="00CB1E53">
        <w:rPr>
          <w:rFonts w:ascii="Segoe UI" w:hAnsi="Segoe UI" w:cs="Segoe UI"/>
          <w:sz w:val="21"/>
          <w:szCs w:val="21"/>
        </w:rPr>
        <w:t xml:space="preserve"> containing the overall findings on revenues forgone due to the provided </w:t>
      </w:r>
      <w:r w:rsidR="00F310A8" w:rsidRPr="00CB1E53">
        <w:rPr>
          <w:rFonts w:ascii="Segoe UI" w:hAnsi="Segoe UI" w:cs="Segoe UI"/>
          <w:sz w:val="21"/>
          <w:szCs w:val="21"/>
        </w:rPr>
        <w:t>tax exp</w:t>
      </w:r>
      <w:r w:rsidR="000F4F88">
        <w:rPr>
          <w:rFonts w:ascii="Segoe UI" w:hAnsi="Segoe UI" w:cs="Segoe UI"/>
          <w:sz w:val="21"/>
          <w:szCs w:val="21"/>
        </w:rPr>
        <w:t>e</w:t>
      </w:r>
      <w:r w:rsidR="00F310A8" w:rsidRPr="00CB1E53">
        <w:rPr>
          <w:rFonts w:ascii="Segoe UI" w:hAnsi="Segoe UI" w:cs="Segoe UI"/>
          <w:sz w:val="21"/>
          <w:szCs w:val="21"/>
        </w:rPr>
        <w:t>nditures</w:t>
      </w:r>
      <w:r w:rsidRPr="00CB1E53">
        <w:rPr>
          <w:rFonts w:ascii="Segoe UI" w:hAnsi="Segoe UI" w:cs="Segoe UI"/>
          <w:sz w:val="21"/>
          <w:szCs w:val="21"/>
        </w:rPr>
        <w:t xml:space="preserve">. This Report has been </w:t>
      </w:r>
      <w:r w:rsidR="005A6DC4" w:rsidRPr="00CB1E53">
        <w:rPr>
          <w:rFonts w:ascii="Segoe UI" w:hAnsi="Segoe UI" w:cs="Segoe UI"/>
          <w:sz w:val="21"/>
          <w:szCs w:val="21"/>
        </w:rPr>
        <w:t>published</w:t>
      </w:r>
      <w:r w:rsidR="009876A4" w:rsidRPr="00CB1E53">
        <w:rPr>
          <w:rFonts w:ascii="Segoe UI" w:hAnsi="Segoe UI" w:cs="Segoe UI"/>
          <w:sz w:val="21"/>
          <w:szCs w:val="21"/>
        </w:rPr>
        <w:t xml:space="preserve"> on the MoF website</w:t>
      </w:r>
      <w:r w:rsidRPr="00CB1E53">
        <w:rPr>
          <w:rFonts w:ascii="Segoe UI" w:hAnsi="Segoe UI" w:cs="Segoe UI"/>
          <w:sz w:val="21"/>
          <w:szCs w:val="21"/>
        </w:rPr>
        <w:t xml:space="preserve">. The </w:t>
      </w:r>
      <w:r w:rsidR="005A6DC4" w:rsidRPr="00CB1E53">
        <w:rPr>
          <w:rFonts w:ascii="Segoe UI" w:hAnsi="Segoe UI" w:cs="Segoe UI"/>
          <w:sz w:val="21"/>
          <w:szCs w:val="21"/>
        </w:rPr>
        <w:t>MoF</w:t>
      </w:r>
      <w:r w:rsidRPr="00CB1E53">
        <w:rPr>
          <w:rFonts w:ascii="Segoe UI" w:hAnsi="Segoe UI" w:cs="Segoe UI"/>
          <w:sz w:val="21"/>
          <w:szCs w:val="21"/>
        </w:rPr>
        <w:t xml:space="preserve"> intends to update </w:t>
      </w:r>
      <w:r w:rsidR="005A6DC4" w:rsidRPr="00CB1E53">
        <w:rPr>
          <w:rFonts w:ascii="Segoe UI" w:hAnsi="Segoe UI" w:cs="Segoe UI"/>
          <w:sz w:val="21"/>
          <w:szCs w:val="21"/>
        </w:rPr>
        <w:t xml:space="preserve">and publish </w:t>
      </w:r>
      <w:r w:rsidRPr="00CB1E53">
        <w:rPr>
          <w:rFonts w:ascii="Segoe UI" w:hAnsi="Segoe UI" w:cs="Segoe UI"/>
          <w:sz w:val="21"/>
          <w:szCs w:val="21"/>
        </w:rPr>
        <w:t>the TEAR annually</w:t>
      </w:r>
      <w:r w:rsidR="005A6DC4" w:rsidRPr="00CB1E53">
        <w:rPr>
          <w:rFonts w:ascii="Segoe UI" w:hAnsi="Segoe UI" w:cs="Segoe UI"/>
          <w:sz w:val="21"/>
          <w:szCs w:val="21"/>
        </w:rPr>
        <w:t>, and i</w:t>
      </w:r>
      <w:r w:rsidR="005A6DC4" w:rsidRPr="00CB1E53">
        <w:rPr>
          <w:rFonts w:ascii="Segoe UI" w:hAnsi="Segoe UI" w:cs="Segoe UI"/>
          <w:bCs/>
          <w:sz w:val="21"/>
          <w:szCs w:val="21"/>
        </w:rPr>
        <w:t xml:space="preserve">n line with </w:t>
      </w:r>
      <w:r w:rsidR="005A6DC4" w:rsidRPr="00CB1E53">
        <w:rPr>
          <w:rFonts w:ascii="Segoe UI" w:hAnsi="Segoe UI" w:cs="Segoe UI"/>
          <w:bCs/>
          <w:sz w:val="21"/>
          <w:szCs w:val="21"/>
        </w:rPr>
        <w:lastRenderedPageBreak/>
        <w:t>international trends.</w:t>
      </w:r>
      <w:r w:rsidR="005A6DC4" w:rsidRPr="00CB1E53">
        <w:rPr>
          <w:rFonts w:ascii="Segoe UI" w:hAnsi="Segoe UI" w:cs="Segoe UI"/>
          <w:b/>
          <w:sz w:val="21"/>
          <w:szCs w:val="21"/>
        </w:rPr>
        <w:t xml:space="preserve"> </w:t>
      </w:r>
      <w:r w:rsidRPr="00CB1E53">
        <w:rPr>
          <w:rFonts w:ascii="Segoe UI" w:hAnsi="Segoe UI" w:cs="Segoe UI"/>
          <w:sz w:val="21"/>
          <w:szCs w:val="21"/>
        </w:rPr>
        <w:t>International experiences in this field point to the need and potential for gradual improvements in coverage and quality of estimations over time.</w:t>
      </w:r>
      <w:r w:rsidRPr="00CB1E53">
        <w:rPr>
          <w:rStyle w:val="FootnoteReference"/>
          <w:rFonts w:ascii="Segoe UI" w:hAnsi="Segoe UI" w:cs="Segoe UI"/>
          <w:sz w:val="21"/>
          <w:szCs w:val="21"/>
        </w:rPr>
        <w:footnoteReference w:id="6"/>
      </w:r>
    </w:p>
    <w:p w14:paraId="2CE580A8" w14:textId="6C1D8E8D" w:rsidR="00F77F6D" w:rsidRPr="00CB1E53" w:rsidRDefault="00F77F6D" w:rsidP="00FD11D9">
      <w:pPr>
        <w:pStyle w:val="ParagraphNumbering"/>
        <w:numPr>
          <w:ilvl w:val="0"/>
          <w:numId w:val="0"/>
        </w:numPr>
        <w:spacing w:after="120" w:line="264" w:lineRule="auto"/>
        <w:jc w:val="both"/>
        <w:rPr>
          <w:rFonts w:ascii="Segoe UI" w:hAnsi="Segoe UI" w:cs="Segoe UI"/>
          <w:bCs/>
          <w:sz w:val="21"/>
          <w:szCs w:val="21"/>
        </w:rPr>
      </w:pPr>
      <w:r w:rsidRPr="00CB1E53">
        <w:rPr>
          <w:rFonts w:ascii="Segoe UI" w:hAnsi="Segoe UI" w:cs="Segoe UI"/>
          <w:bCs/>
          <w:sz w:val="21"/>
          <w:szCs w:val="21"/>
        </w:rPr>
        <w:t xml:space="preserve">The general objectives of a </w:t>
      </w:r>
      <w:r w:rsidR="005B416B" w:rsidRPr="00CB1E53">
        <w:rPr>
          <w:rFonts w:ascii="Segoe UI" w:hAnsi="Segoe UI" w:cs="Segoe UI"/>
          <w:bCs/>
          <w:sz w:val="21"/>
          <w:szCs w:val="21"/>
        </w:rPr>
        <w:t>TE</w:t>
      </w:r>
      <w:r w:rsidRPr="00CB1E53">
        <w:rPr>
          <w:rFonts w:ascii="Segoe UI" w:hAnsi="Segoe UI" w:cs="Segoe UI"/>
          <w:bCs/>
          <w:sz w:val="21"/>
          <w:szCs w:val="21"/>
        </w:rPr>
        <w:t xml:space="preserve"> assessment are many-fold:</w:t>
      </w:r>
    </w:p>
    <w:p w14:paraId="7B856EF7" w14:textId="77777777" w:rsidR="00F77F6D" w:rsidRPr="00CB1E53" w:rsidRDefault="00F77F6D" w:rsidP="00FD11D9">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improve transparency on the budgetary impact of social, industrial and other policies implemented through tax measures, similar to those provided through expenditure programs;</w:t>
      </w:r>
    </w:p>
    <w:p w14:paraId="48FEF3F0" w14:textId="1F95C813" w:rsidR="00F77F6D" w:rsidRPr="00CB1E53" w:rsidRDefault="00F77F6D" w:rsidP="00FD11D9">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 xml:space="preserve">To identify exactly which tax measures could and should be classified as </w:t>
      </w:r>
      <w:r w:rsidR="009430CA" w:rsidRPr="00CB1E53">
        <w:rPr>
          <w:rFonts w:ascii="Segoe UI" w:hAnsi="Segoe UI" w:cs="Segoe UI"/>
          <w:sz w:val="21"/>
          <w:szCs w:val="21"/>
        </w:rPr>
        <w:t>TEs</w:t>
      </w:r>
      <w:r w:rsidRPr="00CB1E53">
        <w:rPr>
          <w:rFonts w:ascii="Segoe UI" w:hAnsi="Segoe UI" w:cs="Segoe UI"/>
          <w:sz w:val="21"/>
          <w:szCs w:val="21"/>
        </w:rPr>
        <w:t>;</w:t>
      </w:r>
    </w:p>
    <w:p w14:paraId="77E121EA" w14:textId="77777777" w:rsidR="00F77F6D" w:rsidRPr="00CB1E53" w:rsidRDefault="00F77F6D" w:rsidP="00FD11D9">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present estimates of the loss of tax revenues that may otherwise, and with similar effects, have been provided through expenditure programs;</w:t>
      </w:r>
    </w:p>
    <w:p w14:paraId="12DF0526" w14:textId="1A811490" w:rsidR="00F77F6D" w:rsidRPr="00CB1E53" w:rsidRDefault="00F77F6D" w:rsidP="00FD11D9">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To identify the particular group of citizens, companies, and geographical regions that benefit from these tax measures;</w:t>
      </w:r>
      <w:r w:rsidR="00EF7CD0" w:rsidRPr="00CB1E53">
        <w:rPr>
          <w:rFonts w:ascii="Segoe UI" w:hAnsi="Segoe UI" w:cs="Segoe UI"/>
          <w:sz w:val="21"/>
          <w:szCs w:val="21"/>
        </w:rPr>
        <w:t xml:space="preserve"> </w:t>
      </w:r>
      <w:r w:rsidR="001A66E8">
        <w:rPr>
          <w:rFonts w:ascii="Segoe UI" w:hAnsi="Segoe UI" w:cs="Segoe UI"/>
          <w:sz w:val="21"/>
          <w:szCs w:val="21"/>
        </w:rPr>
        <w:t>and</w:t>
      </w:r>
    </w:p>
    <w:p w14:paraId="10D52F17" w14:textId="48FFD00D" w:rsidR="00F77F6D" w:rsidRPr="00CB1E53" w:rsidRDefault="00EF7CD0" w:rsidP="00FD11D9">
      <w:pPr>
        <w:pStyle w:val="ParagraphNumbering"/>
        <w:numPr>
          <w:ilvl w:val="0"/>
          <w:numId w:val="13"/>
        </w:numPr>
        <w:spacing w:before="120" w:after="120" w:line="264" w:lineRule="auto"/>
        <w:jc w:val="both"/>
        <w:rPr>
          <w:rFonts w:ascii="Segoe UI" w:hAnsi="Segoe UI" w:cs="Segoe UI"/>
          <w:sz w:val="21"/>
          <w:szCs w:val="21"/>
        </w:rPr>
      </w:pPr>
      <w:r w:rsidRPr="00CB1E53">
        <w:rPr>
          <w:rFonts w:ascii="Segoe UI" w:hAnsi="Segoe UI" w:cs="Segoe UI"/>
          <w:sz w:val="21"/>
          <w:szCs w:val="21"/>
        </w:rPr>
        <w:t>T</w:t>
      </w:r>
      <w:r w:rsidR="00F77F6D" w:rsidRPr="00CB1E53">
        <w:rPr>
          <w:rFonts w:ascii="Segoe UI" w:hAnsi="Segoe UI" w:cs="Segoe UI"/>
          <w:sz w:val="21"/>
          <w:szCs w:val="21"/>
        </w:rPr>
        <w:t>o attempt to provide the basis for model-based quantifications of the broader macro-economic effects of these tax measures.</w:t>
      </w:r>
    </w:p>
    <w:p w14:paraId="5D7C463E" w14:textId="53BB1DF7" w:rsidR="00F77F6D" w:rsidRPr="00CB1E53" w:rsidRDefault="00F77F6D" w:rsidP="00FD11D9">
      <w:pPr>
        <w:pStyle w:val="Heading3"/>
        <w:jc w:val="both"/>
        <w:rPr>
          <w:rStyle w:val="RegularDKB"/>
          <w:caps w:val="0"/>
        </w:rPr>
      </w:pPr>
      <w:bookmarkStart w:id="16" w:name="_Toc99298763"/>
      <w:r w:rsidRPr="00CB1E53">
        <w:rPr>
          <w:rStyle w:val="RegularDKB"/>
          <w:caps w:val="0"/>
        </w:rPr>
        <w:t xml:space="preserve">Tax </w:t>
      </w:r>
      <w:r w:rsidR="00497C21" w:rsidRPr="00CB1E53">
        <w:rPr>
          <w:rStyle w:val="RegularDKB"/>
          <w:caps w:val="0"/>
        </w:rPr>
        <w:t>i</w:t>
      </w:r>
      <w:r w:rsidRPr="00CB1E53">
        <w:rPr>
          <w:rStyle w:val="RegularDKB"/>
          <w:caps w:val="0"/>
        </w:rPr>
        <w:t xml:space="preserve">nstrument </w:t>
      </w:r>
      <w:r w:rsidR="00497C21" w:rsidRPr="00CB1E53">
        <w:rPr>
          <w:rStyle w:val="RegularDKB"/>
          <w:caps w:val="0"/>
        </w:rPr>
        <w:t>c</w:t>
      </w:r>
      <w:r w:rsidRPr="00CB1E53">
        <w:rPr>
          <w:rStyle w:val="RegularDKB"/>
          <w:caps w:val="0"/>
        </w:rPr>
        <w:t xml:space="preserve">ategories </w:t>
      </w:r>
      <w:r w:rsidR="00497C21" w:rsidRPr="00CB1E53">
        <w:rPr>
          <w:rStyle w:val="RegularDKB"/>
          <w:caps w:val="0"/>
        </w:rPr>
        <w:t>c</w:t>
      </w:r>
      <w:r w:rsidRPr="00CB1E53">
        <w:rPr>
          <w:rStyle w:val="RegularDKB"/>
          <w:caps w:val="0"/>
        </w:rPr>
        <w:t>overed</w:t>
      </w:r>
      <w:bookmarkEnd w:id="16"/>
    </w:p>
    <w:p w14:paraId="57EBD40E" w14:textId="36A70CAA" w:rsidR="00F77F6D" w:rsidRPr="00CB1E53" w:rsidRDefault="005844C6" w:rsidP="00FD11D9">
      <w:pPr>
        <w:spacing w:after="120" w:line="264" w:lineRule="auto"/>
        <w:jc w:val="both"/>
        <w:rPr>
          <w:rFonts w:ascii="Segoe UI" w:hAnsi="Segoe UI" w:cs="Segoe UI"/>
          <w:sz w:val="21"/>
          <w:szCs w:val="21"/>
        </w:rPr>
      </w:pPr>
      <w:r w:rsidRPr="00CB1E53">
        <w:rPr>
          <w:rFonts w:ascii="Segoe UI" w:hAnsi="Segoe UI" w:cs="Segoe UI"/>
          <w:sz w:val="21"/>
          <w:szCs w:val="21"/>
        </w:rPr>
        <w:t xml:space="preserve">This </w:t>
      </w:r>
      <w:r w:rsidR="003D14AD" w:rsidRPr="00CB1E53">
        <w:rPr>
          <w:rFonts w:ascii="Segoe UI" w:hAnsi="Segoe UI" w:cs="Segoe UI"/>
          <w:sz w:val="21"/>
          <w:szCs w:val="21"/>
        </w:rPr>
        <w:t xml:space="preserve">TEAR </w:t>
      </w:r>
      <w:r w:rsidRPr="00CB1E53">
        <w:rPr>
          <w:rFonts w:ascii="Segoe UI" w:hAnsi="Segoe UI" w:cs="Segoe UI"/>
          <w:sz w:val="21"/>
          <w:szCs w:val="21"/>
        </w:rPr>
        <w:t xml:space="preserve">covers </w:t>
      </w:r>
      <w:r w:rsidR="00F310A8" w:rsidRPr="00CB1E53">
        <w:rPr>
          <w:rFonts w:ascii="Segoe UI" w:hAnsi="Segoe UI" w:cs="Segoe UI"/>
          <w:sz w:val="21"/>
          <w:szCs w:val="21"/>
        </w:rPr>
        <w:t xml:space="preserve">TEs </w:t>
      </w:r>
      <w:r w:rsidRPr="00CB1E53">
        <w:rPr>
          <w:rFonts w:ascii="Segoe UI" w:hAnsi="Segoe UI" w:cs="Segoe UI"/>
          <w:sz w:val="21"/>
          <w:szCs w:val="21"/>
        </w:rPr>
        <w:t>identified in the main tax instruments: PIT, BIT</w:t>
      </w:r>
      <w:r w:rsidR="000F4F88">
        <w:rPr>
          <w:rFonts w:ascii="Segoe UI" w:hAnsi="Segoe UI" w:cs="Segoe UI"/>
          <w:sz w:val="21"/>
          <w:szCs w:val="21"/>
        </w:rPr>
        <w:t xml:space="preserve"> </w:t>
      </w:r>
      <w:r w:rsidRPr="00CB1E53">
        <w:rPr>
          <w:rFonts w:ascii="Segoe UI" w:hAnsi="Segoe UI" w:cs="Segoe UI"/>
          <w:sz w:val="21"/>
          <w:szCs w:val="21"/>
        </w:rPr>
        <w:t xml:space="preserve">and VAT. </w:t>
      </w:r>
      <w:r w:rsidR="00CE0D44" w:rsidRPr="00CB1E53">
        <w:rPr>
          <w:rFonts w:ascii="Segoe UI" w:hAnsi="Segoe UI" w:cs="Segoe UI"/>
          <w:sz w:val="21"/>
          <w:szCs w:val="21"/>
        </w:rPr>
        <w:t>F</w:t>
      </w:r>
      <w:r w:rsidR="00F77F6D" w:rsidRPr="00CB1E53">
        <w:rPr>
          <w:rFonts w:ascii="Segoe UI" w:hAnsi="Segoe UI" w:cs="Segoe UI"/>
          <w:sz w:val="21"/>
          <w:szCs w:val="21"/>
        </w:rPr>
        <w:t xml:space="preserve">urther capacity will need to be developed over time to </w:t>
      </w:r>
      <w:r w:rsidR="00CE0D44" w:rsidRPr="00CB1E53">
        <w:rPr>
          <w:rFonts w:ascii="Segoe UI" w:hAnsi="Segoe UI" w:cs="Segoe UI"/>
          <w:sz w:val="21"/>
          <w:szCs w:val="21"/>
        </w:rPr>
        <w:t xml:space="preserve">assess </w:t>
      </w:r>
      <w:r w:rsidR="00F310A8" w:rsidRPr="00CB1E53">
        <w:rPr>
          <w:rFonts w:ascii="Segoe UI" w:hAnsi="Segoe UI" w:cs="Segoe UI"/>
          <w:sz w:val="21"/>
          <w:szCs w:val="21"/>
        </w:rPr>
        <w:t xml:space="preserve">TEs </w:t>
      </w:r>
      <w:r w:rsidR="00CE0D44" w:rsidRPr="00CB1E53">
        <w:rPr>
          <w:rFonts w:ascii="Segoe UI" w:hAnsi="Segoe UI" w:cs="Segoe UI"/>
          <w:sz w:val="21"/>
          <w:szCs w:val="21"/>
        </w:rPr>
        <w:t>present in the entire tax system</w:t>
      </w:r>
      <w:r w:rsidR="00EF7CD0" w:rsidRPr="00CB1E53">
        <w:rPr>
          <w:rFonts w:ascii="Segoe UI" w:hAnsi="Segoe UI" w:cs="Segoe UI"/>
          <w:sz w:val="21"/>
          <w:szCs w:val="21"/>
        </w:rPr>
        <w:t xml:space="preserve">, </w:t>
      </w:r>
      <w:r w:rsidR="00BA5E74">
        <w:rPr>
          <w:rFonts w:ascii="Segoe UI" w:hAnsi="Segoe UI" w:cs="Segoe UI"/>
          <w:sz w:val="21"/>
          <w:szCs w:val="21"/>
        </w:rPr>
        <w:t xml:space="preserve">including </w:t>
      </w:r>
      <w:r w:rsidR="00BA5E74" w:rsidRPr="00BA5E74">
        <w:rPr>
          <w:rFonts w:ascii="Segoe UI" w:hAnsi="Segoe UI" w:cs="Segoe UI"/>
          <w:sz w:val="21"/>
          <w:szCs w:val="21"/>
        </w:rPr>
        <w:t>excise taxes, customs duties, and data permitting, taxes on movable and immovable property</w:t>
      </w:r>
      <w:r w:rsidR="00E061FB" w:rsidRPr="00CB1E53">
        <w:rPr>
          <w:rFonts w:ascii="Segoe UI" w:hAnsi="Segoe UI" w:cs="Segoe UI"/>
          <w:sz w:val="21"/>
          <w:szCs w:val="21"/>
        </w:rPr>
        <w:t>.</w:t>
      </w:r>
      <w:r w:rsidR="004259B7" w:rsidRPr="00CB1E53">
        <w:rPr>
          <w:rFonts w:ascii="Segoe UI" w:hAnsi="Segoe UI" w:cs="Segoe UI"/>
          <w:sz w:val="21"/>
          <w:szCs w:val="21"/>
        </w:rPr>
        <w:t xml:space="preserve"> </w:t>
      </w:r>
      <w:r w:rsidR="00F77F6D" w:rsidRPr="00CB1E53">
        <w:rPr>
          <w:rFonts w:ascii="Segoe UI" w:hAnsi="Segoe UI" w:cs="Segoe UI"/>
          <w:sz w:val="21"/>
          <w:szCs w:val="21"/>
        </w:rPr>
        <w:t xml:space="preserve">Ongoing capacity development and resources will be committed with the view to properly identifying and assessing quality of data required for </w:t>
      </w:r>
      <w:r w:rsidR="005B416B" w:rsidRPr="00CB1E53">
        <w:rPr>
          <w:rFonts w:ascii="Segoe UI" w:hAnsi="Segoe UI" w:cs="Segoe UI"/>
          <w:sz w:val="21"/>
          <w:szCs w:val="21"/>
        </w:rPr>
        <w:t>TEs</w:t>
      </w:r>
      <w:r w:rsidR="00F77F6D" w:rsidRPr="00CB1E53">
        <w:rPr>
          <w:rFonts w:ascii="Segoe UI" w:hAnsi="Segoe UI" w:cs="Segoe UI"/>
          <w:sz w:val="21"/>
          <w:szCs w:val="21"/>
        </w:rPr>
        <w:t xml:space="preserve"> costing and estimation methodology and techniques</w:t>
      </w:r>
      <w:r w:rsidR="004259B7" w:rsidRPr="00CB1E53">
        <w:rPr>
          <w:rFonts w:ascii="Segoe UI" w:hAnsi="Segoe UI" w:cs="Segoe UI"/>
          <w:sz w:val="21"/>
          <w:szCs w:val="21"/>
        </w:rPr>
        <w:t>.</w:t>
      </w:r>
    </w:p>
    <w:p w14:paraId="519062F1" w14:textId="2479FA86" w:rsidR="009876A4" w:rsidRPr="00CB1E53" w:rsidRDefault="009876A4" w:rsidP="00FD11D9">
      <w:pPr>
        <w:pStyle w:val="Heading3"/>
        <w:jc w:val="both"/>
        <w:rPr>
          <w:rStyle w:val="RegularDKB"/>
          <w:caps w:val="0"/>
        </w:rPr>
      </w:pPr>
      <w:bookmarkStart w:id="17" w:name="_Toc99298764"/>
      <w:r w:rsidRPr="00CB1E53">
        <w:rPr>
          <w:rStyle w:val="RegularDKB"/>
          <w:caps w:val="0"/>
        </w:rPr>
        <w:t xml:space="preserve">Comparison with </w:t>
      </w:r>
      <w:r w:rsidR="005B416B" w:rsidRPr="00CB1E53">
        <w:rPr>
          <w:rStyle w:val="RegularDKB"/>
          <w:caps w:val="0"/>
        </w:rPr>
        <w:t>TEs</w:t>
      </w:r>
      <w:r w:rsidRPr="00CB1E53">
        <w:rPr>
          <w:rStyle w:val="RegularDKB"/>
          <w:caps w:val="0"/>
        </w:rPr>
        <w:t xml:space="preserve"> Register</w:t>
      </w:r>
      <w:bookmarkEnd w:id="17"/>
    </w:p>
    <w:p w14:paraId="0D32FEA5" w14:textId="0BB35134" w:rsidR="00F77F6D" w:rsidRPr="00CB1E53" w:rsidRDefault="00F77F6D" w:rsidP="00FD11D9">
      <w:pPr>
        <w:spacing w:after="240" w:line="264" w:lineRule="auto"/>
        <w:jc w:val="both"/>
        <w:rPr>
          <w:rFonts w:ascii="Segoe UI" w:hAnsi="Segoe UI" w:cs="Segoe UI"/>
          <w:sz w:val="21"/>
          <w:szCs w:val="21"/>
        </w:rPr>
      </w:pPr>
      <w:r w:rsidRPr="00CB1E53">
        <w:rPr>
          <w:rFonts w:ascii="Segoe UI" w:hAnsi="Segoe UI" w:cs="Segoe UI"/>
          <w:sz w:val="21"/>
          <w:szCs w:val="21"/>
        </w:rPr>
        <w:t>This TEA</w:t>
      </w:r>
      <w:r w:rsidR="004259B7" w:rsidRPr="00CB1E53">
        <w:rPr>
          <w:rFonts w:ascii="Segoe UI" w:hAnsi="Segoe UI" w:cs="Segoe UI"/>
          <w:sz w:val="21"/>
          <w:szCs w:val="21"/>
        </w:rPr>
        <w:t>R</w:t>
      </w:r>
      <w:r w:rsidRPr="00CB1E53">
        <w:rPr>
          <w:rFonts w:ascii="Segoe UI" w:hAnsi="Segoe UI" w:cs="Segoe UI"/>
          <w:sz w:val="21"/>
          <w:szCs w:val="21"/>
        </w:rPr>
        <w:t xml:space="preserve"> builds on previous efforts by the Moldovan M</w:t>
      </w:r>
      <w:r w:rsidR="004259B7" w:rsidRPr="00CB1E53">
        <w:rPr>
          <w:rFonts w:ascii="Segoe UI" w:hAnsi="Segoe UI" w:cs="Segoe UI"/>
          <w:sz w:val="21"/>
          <w:szCs w:val="21"/>
        </w:rPr>
        <w:t xml:space="preserve">oF, </w:t>
      </w:r>
      <w:r w:rsidRPr="00CB1E53">
        <w:rPr>
          <w:rFonts w:ascii="Segoe UI" w:hAnsi="Segoe UI" w:cs="Segoe UI"/>
          <w:sz w:val="21"/>
          <w:szCs w:val="21"/>
        </w:rPr>
        <w:t xml:space="preserve">which in 2018 prepared a rudimentary </w:t>
      </w:r>
      <w:r w:rsidR="005B416B" w:rsidRPr="00CB1E53">
        <w:rPr>
          <w:rFonts w:ascii="Segoe UI" w:hAnsi="Segoe UI" w:cs="Segoe UI"/>
          <w:sz w:val="21"/>
          <w:szCs w:val="21"/>
        </w:rPr>
        <w:t>TEs</w:t>
      </w:r>
      <w:r w:rsidRPr="00CB1E53">
        <w:rPr>
          <w:rFonts w:ascii="Segoe UI" w:hAnsi="Segoe UI" w:cs="Segoe UI"/>
          <w:sz w:val="21"/>
          <w:szCs w:val="21"/>
        </w:rPr>
        <w:t xml:space="preserve"> register. This is a set of Excel sheets</w:t>
      </w:r>
      <w:r w:rsidR="004259B7" w:rsidRPr="00CB1E53">
        <w:rPr>
          <w:rFonts w:ascii="Segoe UI" w:hAnsi="Segoe UI" w:cs="Segoe UI"/>
          <w:sz w:val="21"/>
          <w:szCs w:val="21"/>
        </w:rPr>
        <w:t xml:space="preserve">—one </w:t>
      </w:r>
      <w:r w:rsidRPr="00CB1E53">
        <w:rPr>
          <w:rFonts w:ascii="Segoe UI" w:hAnsi="Segoe UI" w:cs="Segoe UI"/>
          <w:sz w:val="21"/>
          <w:szCs w:val="21"/>
        </w:rPr>
        <w:t>for each tax covered</w:t>
      </w:r>
      <w:r w:rsidR="004259B7" w:rsidRPr="00CB1E53">
        <w:rPr>
          <w:rFonts w:ascii="Segoe UI" w:hAnsi="Segoe UI" w:cs="Segoe UI"/>
          <w:sz w:val="21"/>
          <w:szCs w:val="21"/>
        </w:rPr>
        <w:t>—</w:t>
      </w:r>
      <w:r w:rsidRPr="00CB1E53">
        <w:rPr>
          <w:rFonts w:ascii="Segoe UI" w:hAnsi="Segoe UI" w:cs="Segoe UI"/>
          <w:sz w:val="21"/>
          <w:szCs w:val="21"/>
        </w:rPr>
        <w:t>listing identified tax measures (called “tax facilities”), their legal basis, category of beneficiary (individual, group, general/sector wide), priority for monitoring (with values 0 or 1) and responsible agency. For some of the measures, the register also indicates their cost (revenue forgone) in 2016-2018 and, sporadically, data source used.</w:t>
      </w:r>
    </w:p>
    <w:p w14:paraId="441F5A1B" w14:textId="5FF01A9D" w:rsidR="009876A4" w:rsidRPr="00CB1E53" w:rsidRDefault="00F77F6D" w:rsidP="00FD11D9">
      <w:pPr>
        <w:spacing w:after="240" w:line="264" w:lineRule="auto"/>
        <w:jc w:val="both"/>
        <w:rPr>
          <w:rFonts w:ascii="Segoe UI" w:hAnsi="Segoe UI" w:cs="Segoe UI"/>
          <w:sz w:val="21"/>
          <w:szCs w:val="21"/>
        </w:rPr>
      </w:pPr>
      <w:r w:rsidRPr="00CB1E53">
        <w:rPr>
          <w:rFonts w:ascii="Segoe UI" w:hAnsi="Segoe UI" w:cs="Segoe UI"/>
          <w:sz w:val="21"/>
          <w:szCs w:val="21"/>
        </w:rPr>
        <w:t xml:space="preserve">While the MOF’s </w:t>
      </w:r>
      <w:r w:rsidR="005B416B" w:rsidRPr="00CB1E53">
        <w:rPr>
          <w:rFonts w:ascii="Segoe UI" w:hAnsi="Segoe UI" w:cs="Segoe UI"/>
          <w:sz w:val="21"/>
          <w:szCs w:val="21"/>
        </w:rPr>
        <w:t>TEs</w:t>
      </w:r>
      <w:r w:rsidRPr="00CB1E53">
        <w:rPr>
          <w:rFonts w:ascii="Segoe UI" w:hAnsi="Segoe UI" w:cs="Segoe UI"/>
          <w:sz w:val="21"/>
          <w:szCs w:val="21"/>
        </w:rPr>
        <w:t xml:space="preserve"> register is a valuable source of information, it still has a number of shortfalls: </w:t>
      </w:r>
      <w:r w:rsidR="004259B7" w:rsidRPr="00CB1E53">
        <w:rPr>
          <w:rFonts w:ascii="Segoe UI" w:hAnsi="Segoe UI" w:cs="Segoe UI"/>
          <w:sz w:val="21"/>
          <w:szCs w:val="21"/>
        </w:rPr>
        <w:t xml:space="preserve">(1) </w:t>
      </w:r>
      <w:r w:rsidRPr="00CB1E53">
        <w:rPr>
          <w:rFonts w:ascii="Segoe UI" w:hAnsi="Segoe UI" w:cs="Segoe UI"/>
          <w:sz w:val="21"/>
          <w:szCs w:val="21"/>
        </w:rPr>
        <w:t xml:space="preserve">it is not comprehensive enough; </w:t>
      </w:r>
      <w:r w:rsidR="004259B7" w:rsidRPr="00CB1E53">
        <w:rPr>
          <w:rFonts w:ascii="Segoe UI" w:hAnsi="Segoe UI" w:cs="Segoe UI"/>
          <w:sz w:val="21"/>
          <w:szCs w:val="21"/>
        </w:rPr>
        <w:t xml:space="preserve">(2) </w:t>
      </w:r>
      <w:r w:rsidRPr="00CB1E53">
        <w:rPr>
          <w:rFonts w:ascii="Segoe UI" w:hAnsi="Segoe UI" w:cs="Segoe UI"/>
          <w:sz w:val="21"/>
          <w:szCs w:val="21"/>
        </w:rPr>
        <w:t xml:space="preserve">the drafting of the </w:t>
      </w:r>
      <w:r w:rsidR="005B416B" w:rsidRPr="00CB1E53">
        <w:rPr>
          <w:rFonts w:ascii="Segoe UI" w:hAnsi="Segoe UI" w:cs="Segoe UI"/>
          <w:sz w:val="21"/>
          <w:szCs w:val="21"/>
        </w:rPr>
        <w:t>TEs</w:t>
      </w:r>
      <w:r w:rsidRPr="00CB1E53">
        <w:rPr>
          <w:rFonts w:ascii="Segoe UI" w:hAnsi="Segoe UI" w:cs="Segoe UI"/>
          <w:sz w:val="21"/>
          <w:szCs w:val="21"/>
        </w:rPr>
        <w:t xml:space="preserve"> register is not informed by an in-depth analysis or discussion of the benchmark</w:t>
      </w:r>
      <w:r w:rsidR="004259B7" w:rsidRPr="00CB1E53">
        <w:rPr>
          <w:rFonts w:ascii="Segoe UI" w:hAnsi="Segoe UI" w:cs="Segoe UI"/>
          <w:sz w:val="21"/>
          <w:szCs w:val="21"/>
        </w:rPr>
        <w:t xml:space="preserve">, </w:t>
      </w:r>
      <w:r w:rsidRPr="00CB1E53">
        <w:rPr>
          <w:rFonts w:ascii="Segoe UI" w:hAnsi="Segoe UI" w:cs="Segoe UI"/>
          <w:sz w:val="21"/>
          <w:szCs w:val="21"/>
        </w:rPr>
        <w:t xml:space="preserve">and what a genuine </w:t>
      </w:r>
      <w:r w:rsidR="005B416B" w:rsidRPr="00CB1E53">
        <w:rPr>
          <w:rFonts w:ascii="Segoe UI" w:hAnsi="Segoe UI" w:cs="Segoe UI"/>
          <w:sz w:val="21"/>
          <w:szCs w:val="21"/>
        </w:rPr>
        <w:t>TE</w:t>
      </w:r>
      <w:r w:rsidRPr="00CB1E53">
        <w:rPr>
          <w:rFonts w:ascii="Segoe UI" w:hAnsi="Segoe UI" w:cs="Segoe UI"/>
          <w:sz w:val="21"/>
          <w:szCs w:val="21"/>
        </w:rPr>
        <w:t xml:space="preserve"> is; </w:t>
      </w:r>
      <w:r w:rsidR="004259B7" w:rsidRPr="00CB1E53">
        <w:rPr>
          <w:rFonts w:ascii="Segoe UI" w:hAnsi="Segoe UI" w:cs="Segoe UI"/>
          <w:sz w:val="21"/>
          <w:szCs w:val="21"/>
        </w:rPr>
        <w:t xml:space="preserve">(3) </w:t>
      </w:r>
      <w:r w:rsidRPr="00CB1E53">
        <w:rPr>
          <w:rFonts w:ascii="Segoe UI" w:hAnsi="Segoe UI" w:cs="Segoe UI"/>
          <w:sz w:val="21"/>
          <w:szCs w:val="21"/>
        </w:rPr>
        <w:t xml:space="preserve">costing </w:t>
      </w:r>
      <w:r w:rsidR="004259B7" w:rsidRPr="00CB1E53">
        <w:rPr>
          <w:rFonts w:ascii="Segoe UI" w:hAnsi="Segoe UI" w:cs="Segoe UI"/>
          <w:sz w:val="21"/>
          <w:szCs w:val="21"/>
        </w:rPr>
        <w:t xml:space="preserve">of </w:t>
      </w:r>
      <w:r w:rsidR="00F310A8" w:rsidRPr="00CB1E53">
        <w:rPr>
          <w:rFonts w:ascii="Segoe UI" w:hAnsi="Segoe UI" w:cs="Segoe UI"/>
          <w:sz w:val="21"/>
          <w:szCs w:val="21"/>
        </w:rPr>
        <w:t xml:space="preserve">TEs </w:t>
      </w:r>
      <w:r w:rsidR="004259B7" w:rsidRPr="00CB1E53">
        <w:rPr>
          <w:rFonts w:ascii="Segoe UI" w:hAnsi="Segoe UI" w:cs="Segoe UI"/>
          <w:sz w:val="21"/>
          <w:szCs w:val="21"/>
        </w:rPr>
        <w:t xml:space="preserve">is </w:t>
      </w:r>
      <w:r w:rsidRPr="00CB1E53">
        <w:rPr>
          <w:rFonts w:ascii="Segoe UI" w:hAnsi="Segoe UI" w:cs="Segoe UI"/>
          <w:sz w:val="21"/>
          <w:szCs w:val="21"/>
        </w:rPr>
        <w:t>limited to data readily available from tax returns and customs declarations. Th</w:t>
      </w:r>
      <w:r w:rsidR="004259B7" w:rsidRPr="00CB1E53">
        <w:rPr>
          <w:rFonts w:ascii="Segoe UI" w:hAnsi="Segoe UI" w:cs="Segoe UI"/>
          <w:sz w:val="21"/>
          <w:szCs w:val="21"/>
        </w:rPr>
        <w:t xml:space="preserve">e report used </w:t>
      </w:r>
      <w:r w:rsidRPr="00CB1E53">
        <w:rPr>
          <w:rFonts w:ascii="Segoe UI" w:hAnsi="Segoe UI" w:cs="Segoe UI"/>
          <w:sz w:val="21"/>
          <w:szCs w:val="21"/>
        </w:rPr>
        <w:t>a very rudimentary definition of a benchmark</w:t>
      </w:r>
      <w:r w:rsidR="004259B7" w:rsidRPr="00CB1E53">
        <w:rPr>
          <w:rFonts w:ascii="Segoe UI" w:hAnsi="Segoe UI" w:cs="Segoe UI"/>
          <w:sz w:val="21"/>
          <w:szCs w:val="21"/>
        </w:rPr>
        <w:t xml:space="preserve">, </w:t>
      </w:r>
      <w:r w:rsidRPr="00CB1E53">
        <w:rPr>
          <w:rFonts w:ascii="Segoe UI" w:hAnsi="Segoe UI" w:cs="Segoe UI"/>
          <w:sz w:val="21"/>
          <w:szCs w:val="21"/>
        </w:rPr>
        <w:t xml:space="preserve">identified the measures as an explicit variation “from the scope of taxation provided for in the legislation.” This approach resulted both in listing tax measures that are not genuine </w:t>
      </w:r>
      <w:r w:rsidR="00F310A8" w:rsidRPr="00CB1E53">
        <w:rPr>
          <w:rFonts w:ascii="Segoe UI" w:hAnsi="Segoe UI" w:cs="Segoe UI"/>
          <w:sz w:val="21"/>
          <w:szCs w:val="21"/>
        </w:rPr>
        <w:t xml:space="preserve">TEs </w:t>
      </w:r>
      <w:r w:rsidRPr="00CB1E53">
        <w:rPr>
          <w:rFonts w:ascii="Segoe UI" w:hAnsi="Segoe UI" w:cs="Segoe UI"/>
          <w:sz w:val="21"/>
          <w:szCs w:val="21"/>
        </w:rPr>
        <w:t xml:space="preserve">(e.g., exemption or VAT deferral for import of capital goods, suspension of border taxes for goods imported to Transnistria) and omitting a large number of </w:t>
      </w:r>
      <w:r w:rsidR="009430CA" w:rsidRPr="00CB1E53">
        <w:rPr>
          <w:rFonts w:ascii="Segoe UI" w:hAnsi="Segoe UI" w:cs="Segoe UI"/>
          <w:sz w:val="21"/>
          <w:szCs w:val="21"/>
        </w:rPr>
        <w:t>TEs</w:t>
      </w:r>
      <w:r w:rsidRPr="00CB1E53">
        <w:rPr>
          <w:rFonts w:ascii="Segoe UI" w:hAnsi="Segoe UI" w:cs="Segoe UI"/>
          <w:sz w:val="21"/>
          <w:szCs w:val="21"/>
        </w:rPr>
        <w:t>, especially those related to exemptions (e.g., pensions, inheritances under PIT), non-taxation of certain traditionally excisable products (e.g., certain wines, jet fuel) or reduced income tax rates for agricultural income.</w:t>
      </w:r>
      <w:r w:rsidR="009876A4" w:rsidRPr="00CB1E53">
        <w:rPr>
          <w:rFonts w:ascii="Segoe UI" w:hAnsi="Segoe UI" w:cs="Segoe UI"/>
          <w:sz w:val="21"/>
          <w:szCs w:val="21"/>
        </w:rPr>
        <w:t xml:space="preserve"> Further, the </w:t>
      </w:r>
      <w:r w:rsidR="00F310A8" w:rsidRPr="00CB1E53">
        <w:rPr>
          <w:rFonts w:ascii="Segoe UI" w:hAnsi="Segoe UI" w:cs="Segoe UI"/>
          <w:sz w:val="21"/>
          <w:szCs w:val="21"/>
        </w:rPr>
        <w:t xml:space="preserve">TEs </w:t>
      </w:r>
      <w:r w:rsidR="009876A4" w:rsidRPr="00CB1E53">
        <w:rPr>
          <w:rFonts w:ascii="Segoe UI" w:hAnsi="Segoe UI" w:cs="Segoe UI"/>
          <w:sz w:val="21"/>
          <w:szCs w:val="21"/>
        </w:rPr>
        <w:t xml:space="preserve">register </w:t>
      </w:r>
      <w:r w:rsidR="009876A4" w:rsidRPr="00CB1E53">
        <w:rPr>
          <w:rFonts w:ascii="Segoe UI" w:hAnsi="Segoe UI" w:cs="Segoe UI"/>
          <w:sz w:val="21"/>
          <w:szCs w:val="21"/>
        </w:rPr>
        <w:lastRenderedPageBreak/>
        <w:t xml:space="preserve">could only reference a small portion of the revenue forgone costs of identified tax measures. The methodology for assessing the cost was not explained in detail or is uncertain. </w:t>
      </w:r>
    </w:p>
    <w:p w14:paraId="1F1FE832" w14:textId="3E5C6E7C"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This TEA</w:t>
      </w:r>
      <w:r w:rsidR="004259B7" w:rsidRPr="00CB1E53">
        <w:rPr>
          <w:rFonts w:ascii="Segoe UI" w:hAnsi="Segoe UI" w:cs="Segoe UI"/>
          <w:sz w:val="21"/>
          <w:szCs w:val="21"/>
        </w:rPr>
        <w:t>R</w:t>
      </w:r>
      <w:r w:rsidRPr="00CB1E53">
        <w:rPr>
          <w:rFonts w:ascii="Segoe UI" w:hAnsi="Segoe UI" w:cs="Segoe UI"/>
          <w:sz w:val="21"/>
          <w:szCs w:val="21"/>
        </w:rPr>
        <w:t xml:space="preserve"> seeks to address some of the identified gaps. In addition, it seek</w:t>
      </w:r>
      <w:r w:rsidR="009876A4" w:rsidRPr="00CB1E53">
        <w:rPr>
          <w:rFonts w:ascii="Segoe UI" w:hAnsi="Segoe UI" w:cs="Segoe UI"/>
          <w:sz w:val="21"/>
          <w:szCs w:val="21"/>
        </w:rPr>
        <w:t>s</w:t>
      </w:r>
      <w:r w:rsidRPr="00CB1E53">
        <w:rPr>
          <w:rFonts w:ascii="Segoe UI" w:hAnsi="Segoe UI" w:cs="Segoe UI"/>
          <w:sz w:val="21"/>
          <w:szCs w:val="21"/>
        </w:rPr>
        <w:t xml:space="preserve"> to introduce some practical classification that would underpin future evaluation efforts such as what economic objectives were pursued with introduced </w:t>
      </w:r>
      <w:r w:rsidR="009430CA" w:rsidRPr="00CB1E53">
        <w:rPr>
          <w:rFonts w:ascii="Segoe UI" w:hAnsi="Segoe UI" w:cs="Segoe UI"/>
          <w:sz w:val="21"/>
          <w:szCs w:val="21"/>
        </w:rPr>
        <w:t>TEs</w:t>
      </w:r>
      <w:r w:rsidRPr="00CB1E53">
        <w:rPr>
          <w:rFonts w:ascii="Segoe UI" w:hAnsi="Segoe UI" w:cs="Segoe UI"/>
          <w:sz w:val="21"/>
          <w:szCs w:val="21"/>
        </w:rPr>
        <w:t xml:space="preserve">, </w:t>
      </w:r>
      <w:r w:rsidR="001C72C9">
        <w:rPr>
          <w:rFonts w:ascii="Segoe UI" w:hAnsi="Segoe UI" w:cs="Segoe UI"/>
          <w:sz w:val="21"/>
          <w:szCs w:val="21"/>
        </w:rPr>
        <w:t xml:space="preserve">and </w:t>
      </w:r>
      <w:r w:rsidRPr="00CB1E53">
        <w:rPr>
          <w:rFonts w:ascii="Segoe UI" w:hAnsi="Segoe UI" w:cs="Segoe UI"/>
          <w:sz w:val="21"/>
          <w:szCs w:val="21"/>
        </w:rPr>
        <w:t xml:space="preserve">which economic sector was targeted. </w:t>
      </w:r>
      <w:r w:rsidR="009876A4" w:rsidRPr="00CB1E53">
        <w:rPr>
          <w:rFonts w:ascii="Segoe UI" w:hAnsi="Segoe UI" w:cs="Segoe UI"/>
          <w:sz w:val="21"/>
          <w:szCs w:val="21"/>
        </w:rPr>
        <w:t>Further</w:t>
      </w:r>
      <w:r w:rsidRPr="00CB1E53">
        <w:rPr>
          <w:rFonts w:ascii="Segoe UI" w:hAnsi="Segoe UI" w:cs="Segoe UI"/>
          <w:sz w:val="21"/>
          <w:szCs w:val="21"/>
        </w:rPr>
        <w:t xml:space="preserve">, the intention </w:t>
      </w:r>
      <w:r w:rsidR="009876A4" w:rsidRPr="00CB1E53">
        <w:rPr>
          <w:rFonts w:ascii="Segoe UI" w:hAnsi="Segoe UI" w:cs="Segoe UI"/>
          <w:sz w:val="21"/>
          <w:szCs w:val="21"/>
        </w:rPr>
        <w:t xml:space="preserve">of this and all subsequent TEARs </w:t>
      </w:r>
      <w:r w:rsidRPr="00CB1E53">
        <w:rPr>
          <w:rFonts w:ascii="Segoe UI" w:hAnsi="Segoe UI" w:cs="Segoe UI"/>
          <w:bCs/>
          <w:sz w:val="21"/>
          <w:szCs w:val="21"/>
        </w:rPr>
        <w:t xml:space="preserve">is </w:t>
      </w:r>
      <w:r w:rsidR="009876A4" w:rsidRPr="00CB1E53">
        <w:rPr>
          <w:rFonts w:ascii="Segoe UI" w:hAnsi="Segoe UI" w:cs="Segoe UI"/>
          <w:bCs/>
          <w:sz w:val="21"/>
          <w:szCs w:val="21"/>
        </w:rPr>
        <w:t>not only to provide relevant analysis aiming to inform tax policy decision-making but also, importantly, to</w:t>
      </w:r>
      <w:r w:rsidRPr="00CB1E53">
        <w:rPr>
          <w:rFonts w:ascii="Segoe UI" w:hAnsi="Segoe UI" w:cs="Segoe UI"/>
          <w:bCs/>
          <w:sz w:val="21"/>
          <w:szCs w:val="21"/>
        </w:rPr>
        <w:t xml:space="preserve"> </w:t>
      </w:r>
      <w:r w:rsidR="009876A4" w:rsidRPr="00CB1E53">
        <w:rPr>
          <w:rFonts w:ascii="Segoe UI" w:hAnsi="Segoe UI" w:cs="Segoe UI"/>
          <w:bCs/>
          <w:sz w:val="21"/>
          <w:szCs w:val="21"/>
        </w:rPr>
        <w:t xml:space="preserve">make </w:t>
      </w:r>
      <w:r w:rsidR="00F310A8" w:rsidRPr="00CB1E53">
        <w:rPr>
          <w:rFonts w:ascii="Segoe UI" w:hAnsi="Segoe UI" w:cs="Segoe UI"/>
          <w:bCs/>
          <w:sz w:val="21"/>
          <w:szCs w:val="21"/>
        </w:rPr>
        <w:t xml:space="preserve">TEs </w:t>
      </w:r>
      <w:r w:rsidR="009876A4" w:rsidRPr="00CB1E53">
        <w:rPr>
          <w:rFonts w:ascii="Segoe UI" w:hAnsi="Segoe UI" w:cs="Segoe UI"/>
          <w:bCs/>
          <w:sz w:val="21"/>
          <w:szCs w:val="21"/>
        </w:rPr>
        <w:t>analysis</w:t>
      </w:r>
      <w:r w:rsidRPr="00CB1E53">
        <w:rPr>
          <w:rFonts w:ascii="Segoe UI" w:hAnsi="Segoe UI" w:cs="Segoe UI"/>
          <w:bCs/>
          <w:sz w:val="21"/>
          <w:szCs w:val="21"/>
        </w:rPr>
        <w:t xml:space="preserve"> a public document with the key objective of improving the transparency in fiscal management.</w:t>
      </w:r>
    </w:p>
    <w:p w14:paraId="14357CA8" w14:textId="463DE09A" w:rsidR="00F77F6D" w:rsidRPr="00CB1E53" w:rsidRDefault="00F77F6D" w:rsidP="00FD11D9">
      <w:pPr>
        <w:pStyle w:val="Heading2"/>
        <w:numPr>
          <w:ilvl w:val="0"/>
          <w:numId w:val="14"/>
        </w:numPr>
        <w:ind w:left="720"/>
        <w:jc w:val="both"/>
      </w:pPr>
      <w:bookmarkStart w:id="18" w:name="_Toc99298765"/>
      <w:r w:rsidRPr="00CB1E53">
        <w:t>Defining a Benchmark Tax System for Moldova</w:t>
      </w:r>
      <w:bookmarkEnd w:id="18"/>
    </w:p>
    <w:p w14:paraId="62FBE35D" w14:textId="77777777" w:rsidR="00F77F6D" w:rsidRPr="00CB1E53" w:rsidRDefault="00F77F6D" w:rsidP="00FD11D9">
      <w:pPr>
        <w:pStyle w:val="Heading3"/>
        <w:jc w:val="both"/>
        <w:rPr>
          <w:rStyle w:val="RegularDKB"/>
          <w:caps w:val="0"/>
        </w:rPr>
      </w:pPr>
      <w:bookmarkStart w:id="19" w:name="_Toc99298766"/>
      <w:r w:rsidRPr="00CB1E53">
        <w:rPr>
          <w:rStyle w:val="RegularDKB"/>
          <w:caps w:val="0"/>
        </w:rPr>
        <w:t>General description and definitional issues</w:t>
      </w:r>
      <w:bookmarkEnd w:id="19"/>
    </w:p>
    <w:p w14:paraId="744E58AC" w14:textId="34C8DDC8" w:rsidR="00F77F6D" w:rsidRPr="00CB1E53" w:rsidRDefault="00B82A64"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The definition of </w:t>
      </w:r>
      <w:r w:rsidR="00F77F6D" w:rsidRPr="00CB1E53">
        <w:rPr>
          <w:rFonts w:ascii="Segoe UI" w:hAnsi="Segoe UI" w:cs="Segoe UI"/>
          <w:sz w:val="21"/>
          <w:szCs w:val="21"/>
        </w:rPr>
        <w:t>the benchmark</w:t>
      </w:r>
      <w:r w:rsidRPr="00CB1E53">
        <w:rPr>
          <w:rFonts w:ascii="Segoe UI" w:hAnsi="Segoe UI" w:cs="Segoe UI"/>
          <w:sz w:val="21"/>
          <w:szCs w:val="21"/>
        </w:rPr>
        <w:t xml:space="preserve"> tax system</w:t>
      </w:r>
      <w:r w:rsidR="00F77F6D" w:rsidRPr="00CB1E53">
        <w:rPr>
          <w:rFonts w:ascii="Segoe UI" w:hAnsi="Segoe UI" w:cs="Segoe UI"/>
          <w:sz w:val="21"/>
          <w:szCs w:val="21"/>
        </w:rPr>
        <w:t xml:space="preserve"> </w:t>
      </w:r>
      <w:r w:rsidR="00F3733E" w:rsidRPr="00CB1E53">
        <w:rPr>
          <w:rFonts w:ascii="Segoe UI" w:hAnsi="Segoe UI" w:cs="Segoe UI"/>
          <w:sz w:val="21"/>
          <w:szCs w:val="21"/>
        </w:rPr>
        <w:t xml:space="preserve">is critical </w:t>
      </w:r>
      <w:r w:rsidRPr="00CB1E53">
        <w:rPr>
          <w:rFonts w:ascii="Segoe UI" w:hAnsi="Segoe UI" w:cs="Segoe UI"/>
          <w:sz w:val="21"/>
          <w:szCs w:val="21"/>
        </w:rPr>
        <w:t>i</w:t>
      </w:r>
      <w:r w:rsidR="00F3733E" w:rsidRPr="00CB1E53">
        <w:rPr>
          <w:rFonts w:ascii="Segoe UI" w:hAnsi="Segoe UI" w:cs="Segoe UI"/>
          <w:sz w:val="21"/>
          <w:szCs w:val="21"/>
        </w:rPr>
        <w:t xml:space="preserve">n the identification and costing of </w:t>
      </w:r>
      <w:r w:rsidR="00F77F6D" w:rsidRPr="00CB1E53">
        <w:rPr>
          <w:rFonts w:ascii="Segoe UI" w:hAnsi="Segoe UI" w:cs="Segoe UI"/>
          <w:sz w:val="21"/>
          <w:szCs w:val="21"/>
        </w:rPr>
        <w:t>TEs.</w:t>
      </w:r>
      <w:r w:rsidR="005542DF" w:rsidRPr="00CB1E53">
        <w:rPr>
          <w:rStyle w:val="FootnoteReference"/>
          <w:rFonts w:ascii="Segoe UI" w:hAnsi="Segoe UI" w:cs="Segoe UI"/>
          <w:sz w:val="21"/>
          <w:szCs w:val="21"/>
        </w:rPr>
        <w:footnoteReference w:id="7"/>
      </w:r>
      <w:r w:rsidR="00F77F6D" w:rsidRPr="00CB1E53">
        <w:rPr>
          <w:rFonts w:ascii="Segoe UI" w:hAnsi="Segoe UI" w:cs="Segoe UI"/>
          <w:b/>
          <w:bCs/>
          <w:sz w:val="21"/>
          <w:szCs w:val="21"/>
        </w:rPr>
        <w:t xml:space="preserve"> </w:t>
      </w:r>
      <w:r w:rsidR="00F77F6D" w:rsidRPr="00CB1E53">
        <w:rPr>
          <w:rFonts w:ascii="Segoe UI" w:hAnsi="Segoe UI" w:cs="Segoe UI"/>
          <w:sz w:val="21"/>
          <w:szCs w:val="21"/>
        </w:rPr>
        <w:t>For this reason, this TEAR</w:t>
      </w:r>
      <w:r w:rsidR="00F3733E" w:rsidRPr="00CB1E53">
        <w:rPr>
          <w:rFonts w:ascii="Segoe UI" w:hAnsi="Segoe UI" w:cs="Segoe UI"/>
          <w:sz w:val="21"/>
          <w:szCs w:val="21"/>
        </w:rPr>
        <w:t xml:space="preserve"> starts by </w:t>
      </w:r>
      <w:r w:rsidR="00F77F6D" w:rsidRPr="00CB1E53">
        <w:rPr>
          <w:rFonts w:ascii="Segoe UI" w:hAnsi="Segoe UI" w:cs="Segoe UI"/>
          <w:sz w:val="21"/>
          <w:szCs w:val="21"/>
        </w:rPr>
        <w:t>discuss</w:t>
      </w:r>
      <w:r w:rsidR="00F3733E" w:rsidRPr="00CB1E53">
        <w:rPr>
          <w:rFonts w:ascii="Segoe UI" w:hAnsi="Segoe UI" w:cs="Segoe UI"/>
          <w:sz w:val="21"/>
          <w:szCs w:val="21"/>
        </w:rPr>
        <w:t xml:space="preserve">ing </w:t>
      </w:r>
      <w:r w:rsidR="00F77F6D" w:rsidRPr="00CB1E53">
        <w:rPr>
          <w:rFonts w:ascii="Segoe UI" w:hAnsi="Segoe UI" w:cs="Segoe UI"/>
          <w:sz w:val="21"/>
          <w:szCs w:val="21"/>
        </w:rPr>
        <w:t>globally acceptable benchmark delineations.</w:t>
      </w:r>
      <w:r w:rsidR="00F77F6D" w:rsidRPr="00CB1E53">
        <w:rPr>
          <w:rStyle w:val="FootnoteReference"/>
          <w:rFonts w:ascii="Segoe UI" w:hAnsi="Segoe UI" w:cs="Segoe UI"/>
          <w:sz w:val="21"/>
          <w:szCs w:val="21"/>
        </w:rPr>
        <w:footnoteReference w:id="8"/>
      </w:r>
      <w:r w:rsidR="00F77F6D" w:rsidRPr="00CB1E53">
        <w:rPr>
          <w:rFonts w:ascii="Segoe UI" w:hAnsi="Segoe UI" w:cs="Segoe UI"/>
          <w:sz w:val="21"/>
          <w:szCs w:val="21"/>
        </w:rPr>
        <w:t xml:space="preserve"> </w:t>
      </w:r>
    </w:p>
    <w:p w14:paraId="7CACC248" w14:textId="78C947FB"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From the perspective of the tax authorities, a TE is a loss in revenue, whereas a taxpayer benefits from a reduction in tax liability. Tax expenditures are also labeled as tax reliefs, tax subsidies and tax aids. However, defining TEs is not straightforward as some tax measures may not be readily classified as part of the benchmark tax system. Generally, fiscal experts concur that structural elements of a tax system should not be recorded as </w:t>
      </w:r>
      <w:r w:rsidR="009430CA" w:rsidRPr="00CB1E53">
        <w:rPr>
          <w:rFonts w:ascii="Segoe UI" w:hAnsi="Segoe UI" w:cs="Segoe UI"/>
          <w:sz w:val="21"/>
          <w:szCs w:val="21"/>
        </w:rPr>
        <w:t>TEs</w:t>
      </w:r>
      <w:r w:rsidRPr="00CB1E53">
        <w:rPr>
          <w:rFonts w:ascii="Segoe UI" w:hAnsi="Segoe UI" w:cs="Segoe UI"/>
          <w:sz w:val="21"/>
          <w:szCs w:val="21"/>
        </w:rPr>
        <w:t>, while “programmatic” or temporary adjustment should be. According to the OECD (2010), the benchmark tax includes: the rate structure, accounting conventions, the deductibility of compulsory payments, provisions to facilitate administration, and provisions relating to international fiscal obligations”. TEs are not actual outlays—they are just notional amounts spent. The forgone revenue cost is based on assumptions and estimates as to how taxpayers would behave under particular conditions.</w:t>
      </w:r>
    </w:p>
    <w:p w14:paraId="0AA6317B" w14:textId="6134531C"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bCs/>
          <w:sz w:val="21"/>
          <w:szCs w:val="21"/>
        </w:rPr>
        <w:t xml:space="preserve">Consequently, the benchmark tax system serves as a basis for identifying </w:t>
      </w:r>
      <w:r w:rsidR="009430CA" w:rsidRPr="00CB1E53">
        <w:rPr>
          <w:rFonts w:ascii="Segoe UI" w:hAnsi="Segoe UI" w:cs="Segoe UI"/>
          <w:bCs/>
          <w:sz w:val="21"/>
          <w:szCs w:val="21"/>
        </w:rPr>
        <w:t>TEs</w:t>
      </w:r>
      <w:r w:rsidRPr="00CB1E53">
        <w:rPr>
          <w:rFonts w:ascii="Segoe UI" w:hAnsi="Segoe UI" w:cs="Segoe UI"/>
          <w:sz w:val="21"/>
          <w:szCs w:val="21"/>
        </w:rPr>
        <w:t xml:space="preserve">. A standard benchmark tax system should be based on the principles of neutrality, efficiency, and equity. The benchmark framework should be limited to the key features of the main taxes, including the general personal and business income tax rates, a simple and modern consumption tax (such as a single-rate VAT), excise taxes consistent with the objectives of addressing externalities, tariffs, and other more minor taxes such as immovable and movable property taxes. Benchmark tax systems typically include such aspects as the actual rate structure of taxes and the concept of income or spending that is used in the actual law. However, some countries and analysts use a different type of benchmark that corresponds to a </w:t>
      </w:r>
      <w:r w:rsidRPr="00CB1E53">
        <w:rPr>
          <w:rFonts w:ascii="Segoe UI" w:hAnsi="Segoe UI" w:cs="Segoe UI"/>
          <w:sz w:val="21"/>
          <w:szCs w:val="21"/>
        </w:rPr>
        <w:lastRenderedPageBreak/>
        <w:t>theoretical tax system, such as a comprehensive income tax.</w:t>
      </w:r>
      <w:r w:rsidRPr="00CB1E53">
        <w:rPr>
          <w:rStyle w:val="FootnoteReference"/>
          <w:rFonts w:ascii="Segoe UI" w:hAnsi="Segoe UI" w:cs="Segoe UI"/>
          <w:sz w:val="21"/>
          <w:szCs w:val="21"/>
        </w:rPr>
        <w:footnoteReference w:id="9"/>
      </w:r>
      <w:r w:rsidRPr="00CB1E53">
        <w:rPr>
          <w:rFonts w:ascii="Segoe UI" w:hAnsi="Segoe UI" w:cs="Segoe UI"/>
          <w:sz w:val="21"/>
          <w:szCs w:val="21"/>
        </w:rPr>
        <w:t xml:space="preserve"> The numbers of tax benefits in that case can be markedly different from those for a benchmark closer to the actual tax system.</w:t>
      </w:r>
    </w:p>
    <w:p w14:paraId="24C4EFC3" w14:textId="4894A836"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The benchmark tax system should be chosen to exclude tax provisions that favor (or disfavor) particular / narrow groups of people (such as homeowners) or business activities (such as profits from exports). </w:t>
      </w:r>
      <w:r w:rsidR="00373696" w:rsidRPr="00CB1E53">
        <w:rPr>
          <w:rFonts w:ascii="Segoe UI" w:hAnsi="Segoe UI" w:cs="Segoe UI"/>
          <w:sz w:val="21"/>
          <w:szCs w:val="21"/>
        </w:rPr>
        <w:t>E</w:t>
      </w:r>
      <w:r w:rsidRPr="00CB1E53">
        <w:rPr>
          <w:rFonts w:ascii="Segoe UI" w:hAnsi="Segoe UI" w:cs="Segoe UI"/>
          <w:sz w:val="21"/>
          <w:szCs w:val="21"/>
        </w:rPr>
        <w:t xml:space="preserve">xcluding such narrow provision from the benchmark tax system will ensure that the cost of such provisions is calculated and included in decisions on budgetary priorities. Ideally, the benchmark should also exclude tax features designed to promote particular actions by taxpayers, even if such actions are in the public interest. For example, many countries provide tax relief to encourage saving for retirement, but this should not be included in the benchmark, because by including it into the benchmark would prevent its cost from being reported to the legislature—which is necessary to evaluate whether it provides good value for money. </w:t>
      </w:r>
    </w:p>
    <w:p w14:paraId="322EC888" w14:textId="7A2DFA03"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bCs/>
          <w:sz w:val="21"/>
          <w:szCs w:val="21"/>
        </w:rPr>
        <w:t xml:space="preserve">An illustrative list of </w:t>
      </w:r>
      <w:r w:rsidR="00F310A8" w:rsidRPr="00CB1E53">
        <w:rPr>
          <w:rFonts w:ascii="Segoe UI" w:hAnsi="Segoe UI" w:cs="Segoe UI"/>
          <w:bCs/>
          <w:sz w:val="21"/>
          <w:szCs w:val="21"/>
        </w:rPr>
        <w:t xml:space="preserve">TEs </w:t>
      </w:r>
      <w:r w:rsidRPr="00CB1E53">
        <w:rPr>
          <w:rFonts w:ascii="Segoe UI" w:hAnsi="Segoe UI" w:cs="Segoe UI"/>
          <w:bCs/>
          <w:sz w:val="21"/>
          <w:szCs w:val="21"/>
        </w:rPr>
        <w:t>for the income tax system could include the following:</w:t>
      </w:r>
      <w:r w:rsidRPr="00CB1E53">
        <w:rPr>
          <w:rFonts w:ascii="Segoe UI" w:hAnsi="Segoe UI" w:cs="Segoe UI"/>
          <w:b/>
          <w:sz w:val="21"/>
          <w:szCs w:val="21"/>
        </w:rPr>
        <w:t xml:space="preserve"> </w:t>
      </w:r>
      <w:r w:rsidRPr="00CB1E53">
        <w:rPr>
          <w:rFonts w:ascii="Segoe UI" w:hAnsi="Segoe UI" w:cs="Segoe UI"/>
          <w:sz w:val="21"/>
          <w:szCs w:val="21"/>
        </w:rPr>
        <w:t xml:space="preserve">interest deductions for housing loans, tax-free savings accounts, tax deductions for childcare expenses, reduced tax rates for small and medium enterprises, tax benefits for charitable donations, tax benefits for energy-saving measures, and tax advantages for employer-funded benefits. Similarly, </w:t>
      </w:r>
      <w:r w:rsidR="00F310A8" w:rsidRPr="00CB1E53">
        <w:rPr>
          <w:rFonts w:ascii="Segoe UI" w:hAnsi="Segoe UI" w:cs="Segoe UI"/>
          <w:sz w:val="21"/>
          <w:szCs w:val="21"/>
        </w:rPr>
        <w:t xml:space="preserve">TEs </w:t>
      </w:r>
      <w:r w:rsidRPr="00CB1E53">
        <w:rPr>
          <w:rFonts w:ascii="Segoe UI" w:hAnsi="Segoe UI" w:cs="Segoe UI"/>
          <w:sz w:val="21"/>
          <w:szCs w:val="21"/>
        </w:rPr>
        <w:t xml:space="preserve">for </w:t>
      </w:r>
      <w:r w:rsidR="00C823B8">
        <w:rPr>
          <w:rFonts w:ascii="Segoe UI" w:hAnsi="Segoe UI" w:cs="Segoe UI"/>
          <w:sz w:val="21"/>
          <w:szCs w:val="21"/>
        </w:rPr>
        <w:t>VAT</w:t>
      </w:r>
      <w:r w:rsidRPr="00CB1E53">
        <w:rPr>
          <w:rFonts w:ascii="Segoe UI" w:hAnsi="Segoe UI" w:cs="Segoe UI"/>
          <w:sz w:val="21"/>
          <w:szCs w:val="21"/>
        </w:rPr>
        <w:t xml:space="preserve"> could include VAT rates below the standard rate, including zero rates (other than on exports); VAT exemptions for goods and services destined for final consumption; sectoral exemptions (for example, agriculture); and size-related exemptions, such as for small businesses.</w:t>
      </w:r>
      <w:r w:rsidRPr="00CB1E53">
        <w:rPr>
          <w:rStyle w:val="FootnoteReference"/>
          <w:rFonts w:ascii="Segoe UI" w:hAnsi="Segoe UI" w:cs="Segoe UI"/>
          <w:sz w:val="21"/>
          <w:szCs w:val="21"/>
        </w:rPr>
        <w:footnoteReference w:id="10"/>
      </w:r>
      <w:r w:rsidRPr="00CB1E53">
        <w:rPr>
          <w:rFonts w:ascii="Segoe UI" w:hAnsi="Segoe UI" w:cs="Segoe UI"/>
          <w:sz w:val="21"/>
          <w:szCs w:val="21"/>
        </w:rPr>
        <w:t xml:space="preserve"> </w:t>
      </w:r>
    </w:p>
    <w:p w14:paraId="47CFE831" w14:textId="77777777"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bCs/>
          <w:sz w:val="21"/>
          <w:szCs w:val="21"/>
        </w:rPr>
        <w:t>Of course, the examples of tax relief measures as set out above are not necessarily undesirable. For</w:t>
      </w:r>
      <w:r w:rsidRPr="00CB1E53">
        <w:rPr>
          <w:rFonts w:ascii="Segoe UI" w:hAnsi="Segoe UI" w:cs="Segoe UI"/>
          <w:sz w:val="21"/>
          <w:szCs w:val="21"/>
        </w:rPr>
        <w:t xml:space="preserve"> example, a partial exemption for saving can be effective to support retirement saving. More generally, most specific tax provisions will yield some kind of social benefit. Nevertheless, the cost of such provisions should be estimated and reported, so that their value can be assessed and compared with similar government programs delivered by outlay expenditures (or compared with other kinds of tax relief, such as through a general rate cut).</w:t>
      </w:r>
    </w:p>
    <w:p w14:paraId="5B1FE93E" w14:textId="7696D651" w:rsidR="00BA4084" w:rsidRPr="00CB1E53" w:rsidRDefault="00C823B8" w:rsidP="00FD11D9">
      <w:pPr>
        <w:pStyle w:val="ParagraphNumbering"/>
        <w:numPr>
          <w:ilvl w:val="0"/>
          <w:numId w:val="0"/>
        </w:numPr>
        <w:spacing w:after="240" w:line="264" w:lineRule="auto"/>
        <w:jc w:val="both"/>
        <w:rPr>
          <w:rFonts w:ascii="Segoe UI" w:hAnsi="Segoe UI" w:cs="Segoe UI"/>
          <w:sz w:val="21"/>
          <w:szCs w:val="21"/>
        </w:rPr>
      </w:pPr>
      <w:r>
        <w:rPr>
          <w:rFonts w:ascii="Segoe UI" w:hAnsi="Segoe UI" w:cs="Segoe UI"/>
          <w:bCs/>
          <w:sz w:val="21"/>
          <w:szCs w:val="21"/>
        </w:rPr>
        <w:t>U</w:t>
      </w:r>
      <w:r w:rsidR="00F77F6D" w:rsidRPr="00CB1E53">
        <w:rPr>
          <w:rFonts w:ascii="Segoe UI" w:hAnsi="Segoe UI" w:cs="Segoe UI"/>
          <w:bCs/>
          <w:sz w:val="21"/>
          <w:szCs w:val="21"/>
        </w:rPr>
        <w:t>sing a benchmark that is close to the actual tax system in Moldova would defeat the purpose of producing TE estimates.</w:t>
      </w:r>
      <w:r w:rsidR="00F77F6D" w:rsidRPr="00CB1E53">
        <w:rPr>
          <w:rFonts w:ascii="Segoe UI" w:hAnsi="Segoe UI" w:cs="Segoe UI"/>
          <w:sz w:val="21"/>
          <w:szCs w:val="21"/>
        </w:rPr>
        <w:t xml:space="preserve"> For example, reduced rates of VAT </w:t>
      </w:r>
      <w:r>
        <w:rPr>
          <w:rFonts w:ascii="Segoe UI" w:hAnsi="Segoe UI" w:cs="Segoe UI"/>
          <w:sz w:val="21"/>
          <w:szCs w:val="21"/>
        </w:rPr>
        <w:t xml:space="preserve">could be </w:t>
      </w:r>
      <w:r w:rsidR="00F77F6D" w:rsidRPr="00CB1E53">
        <w:rPr>
          <w:rFonts w:ascii="Segoe UI" w:hAnsi="Segoe UI" w:cs="Segoe UI"/>
          <w:sz w:val="21"/>
          <w:szCs w:val="21"/>
        </w:rPr>
        <w:t>in</w:t>
      </w:r>
      <w:r>
        <w:rPr>
          <w:rFonts w:ascii="Segoe UI" w:hAnsi="Segoe UI" w:cs="Segoe UI"/>
          <w:sz w:val="21"/>
          <w:szCs w:val="21"/>
        </w:rPr>
        <w:t>cluded in</w:t>
      </w:r>
      <w:r w:rsidR="00F77F6D" w:rsidRPr="00CB1E53">
        <w:rPr>
          <w:rFonts w:ascii="Segoe UI" w:hAnsi="Segoe UI" w:cs="Segoe UI"/>
          <w:sz w:val="21"/>
          <w:szCs w:val="21"/>
        </w:rPr>
        <w:t xml:space="preserve"> </w:t>
      </w:r>
      <w:r>
        <w:rPr>
          <w:rFonts w:ascii="Segoe UI" w:hAnsi="Segoe UI" w:cs="Segoe UI"/>
          <w:sz w:val="21"/>
          <w:szCs w:val="21"/>
        </w:rPr>
        <w:t>the</w:t>
      </w:r>
      <w:r w:rsidR="00F77F6D" w:rsidRPr="00CB1E53">
        <w:rPr>
          <w:rFonts w:ascii="Segoe UI" w:hAnsi="Segoe UI" w:cs="Segoe UI"/>
          <w:sz w:val="21"/>
          <w:szCs w:val="21"/>
        </w:rPr>
        <w:t xml:space="preserve"> benchmark, justified </w:t>
      </w:r>
      <w:r>
        <w:rPr>
          <w:rFonts w:ascii="Segoe UI" w:hAnsi="Segoe UI" w:cs="Segoe UI"/>
          <w:sz w:val="21"/>
          <w:szCs w:val="21"/>
        </w:rPr>
        <w:t xml:space="preserve">by a need </w:t>
      </w:r>
      <w:r w:rsidR="00F77F6D" w:rsidRPr="00CB1E53">
        <w:rPr>
          <w:rFonts w:ascii="Segoe UI" w:hAnsi="Segoe UI" w:cs="Segoe UI"/>
          <w:sz w:val="21"/>
          <w:szCs w:val="21"/>
        </w:rPr>
        <w:t>to help households with low incomes,</w:t>
      </w:r>
      <w:r w:rsidR="00F77F6D" w:rsidRPr="00CB1E53">
        <w:rPr>
          <w:rStyle w:val="FootnoteReference"/>
          <w:rFonts w:ascii="Segoe UI" w:hAnsi="Segoe UI" w:cs="Segoe UI"/>
          <w:sz w:val="21"/>
          <w:szCs w:val="21"/>
        </w:rPr>
        <w:footnoteReference w:id="11"/>
      </w:r>
      <w:r w:rsidR="00F77F6D" w:rsidRPr="00CB1E53">
        <w:rPr>
          <w:rFonts w:ascii="Segoe UI" w:hAnsi="Segoe UI" w:cs="Segoe UI"/>
          <w:sz w:val="21"/>
          <w:szCs w:val="21"/>
        </w:rPr>
        <w:t xml:space="preserve"> who spend a higher proportion of their incomes on basic goods and services. An obvious alternative to these reduced rates is cash transfers for people with low incomes. These transfers would be clearly identified in the outlay expenditure budget, but the reduced VAT would not be included in the </w:t>
      </w:r>
      <w:r w:rsidR="009430CA" w:rsidRPr="00CB1E53">
        <w:rPr>
          <w:rFonts w:ascii="Segoe UI" w:hAnsi="Segoe UI" w:cs="Segoe UI"/>
          <w:sz w:val="21"/>
          <w:szCs w:val="21"/>
        </w:rPr>
        <w:t>TEs</w:t>
      </w:r>
      <w:r w:rsidR="00F77F6D" w:rsidRPr="00CB1E53">
        <w:rPr>
          <w:rFonts w:ascii="Segoe UI" w:hAnsi="Segoe UI" w:cs="Segoe UI"/>
          <w:sz w:val="21"/>
          <w:szCs w:val="21"/>
        </w:rPr>
        <w:t xml:space="preserve"> estimates if they are part of the benchmark. This situation makes it difficult for the government and the legislature to properly compare </w:t>
      </w:r>
      <w:r w:rsidR="00F77F6D" w:rsidRPr="00CB1E53">
        <w:rPr>
          <w:rFonts w:ascii="Segoe UI" w:hAnsi="Segoe UI" w:cs="Segoe UI"/>
          <w:sz w:val="21"/>
          <w:szCs w:val="21"/>
        </w:rPr>
        <w:lastRenderedPageBreak/>
        <w:t>the relative advantages and disadvantages of these alternative methods of helping the poor, and it limits the policy tools and options available to achieve society’s objectives.</w:t>
      </w:r>
    </w:p>
    <w:p w14:paraId="0E0B7107" w14:textId="3C180F4B"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Against this background, this </w:t>
      </w:r>
      <w:r w:rsidR="00787507" w:rsidRPr="00CB1E53">
        <w:rPr>
          <w:rFonts w:ascii="Segoe UI" w:hAnsi="Segoe UI" w:cs="Segoe UI"/>
          <w:sz w:val="21"/>
          <w:szCs w:val="21"/>
        </w:rPr>
        <w:t xml:space="preserve">TEAR </w:t>
      </w:r>
      <w:r w:rsidRPr="00CB1E53">
        <w:rPr>
          <w:rFonts w:ascii="Segoe UI" w:hAnsi="Segoe UI" w:cs="Segoe UI"/>
          <w:sz w:val="21"/>
          <w:szCs w:val="21"/>
        </w:rPr>
        <w:t>has followed the adoption of a relatively simple benchmark regime descriptions for Moldova’s PIT</w:t>
      </w:r>
      <w:r w:rsidR="00787507" w:rsidRPr="00CB1E53">
        <w:rPr>
          <w:rFonts w:ascii="Segoe UI" w:hAnsi="Segoe UI" w:cs="Segoe UI"/>
          <w:sz w:val="21"/>
          <w:szCs w:val="21"/>
        </w:rPr>
        <w:t>, BI</w:t>
      </w:r>
      <w:r w:rsidR="00BA4084" w:rsidRPr="00CB1E53">
        <w:rPr>
          <w:rFonts w:ascii="Segoe UI" w:hAnsi="Segoe UI" w:cs="Segoe UI"/>
          <w:sz w:val="21"/>
          <w:szCs w:val="21"/>
        </w:rPr>
        <w:t>T</w:t>
      </w:r>
      <w:r w:rsidR="00787507" w:rsidRPr="00CB1E53">
        <w:rPr>
          <w:rFonts w:ascii="Segoe UI" w:hAnsi="Segoe UI" w:cs="Segoe UI"/>
          <w:sz w:val="21"/>
          <w:szCs w:val="21"/>
        </w:rPr>
        <w:t xml:space="preserve"> and VAT</w:t>
      </w:r>
      <w:r w:rsidRPr="00CB1E53">
        <w:rPr>
          <w:rFonts w:ascii="Segoe UI" w:hAnsi="Segoe UI" w:cs="Segoe UI"/>
          <w:sz w:val="21"/>
          <w:szCs w:val="21"/>
        </w:rPr>
        <w:t xml:space="preserve">. In the final instance, the benchmark is therefore best understood as the tax treatment applied to standard taxpayers, with </w:t>
      </w:r>
      <w:r w:rsidR="00F310A8" w:rsidRPr="00CB1E53">
        <w:rPr>
          <w:rFonts w:ascii="Segoe UI" w:hAnsi="Segoe UI" w:cs="Segoe UI"/>
          <w:sz w:val="21"/>
          <w:szCs w:val="21"/>
        </w:rPr>
        <w:t xml:space="preserve">TEs </w:t>
      </w:r>
      <w:r w:rsidRPr="00CB1E53">
        <w:rPr>
          <w:rFonts w:ascii="Segoe UI" w:hAnsi="Segoe UI" w:cs="Segoe UI"/>
          <w:sz w:val="21"/>
          <w:szCs w:val="21"/>
        </w:rPr>
        <w:t>being a deliberate policy deviation from that standard treatment</w:t>
      </w:r>
      <w:r w:rsidR="00787507" w:rsidRPr="00CB1E53">
        <w:rPr>
          <w:rFonts w:ascii="Segoe UI" w:hAnsi="Segoe UI" w:cs="Segoe UI"/>
          <w:sz w:val="21"/>
          <w:szCs w:val="21"/>
        </w:rPr>
        <w:t xml:space="preserve">, </w:t>
      </w:r>
      <w:r w:rsidRPr="00CB1E53">
        <w:rPr>
          <w:rFonts w:ascii="Segoe UI" w:hAnsi="Segoe UI" w:cs="Segoe UI"/>
          <w:sz w:val="21"/>
          <w:szCs w:val="21"/>
        </w:rPr>
        <w:t>applie</w:t>
      </w:r>
      <w:r w:rsidR="00787507" w:rsidRPr="00CB1E53">
        <w:rPr>
          <w:rFonts w:ascii="Segoe UI" w:hAnsi="Segoe UI" w:cs="Segoe UI"/>
          <w:sz w:val="21"/>
          <w:szCs w:val="21"/>
        </w:rPr>
        <w:t>d</w:t>
      </w:r>
      <w:r w:rsidRPr="00CB1E53">
        <w:rPr>
          <w:rFonts w:ascii="Segoe UI" w:hAnsi="Segoe UI" w:cs="Segoe UI"/>
          <w:sz w:val="21"/>
          <w:szCs w:val="21"/>
        </w:rPr>
        <w:t xml:space="preserve"> to a smaller subgroup of taxpayers.</w:t>
      </w:r>
    </w:p>
    <w:p w14:paraId="67FBC91F" w14:textId="657AC600" w:rsidR="00F77F6D" w:rsidRPr="00CB1E53" w:rsidRDefault="00F77F6D" w:rsidP="00FD11D9">
      <w:pPr>
        <w:pStyle w:val="Heading3"/>
        <w:jc w:val="both"/>
        <w:rPr>
          <w:rStyle w:val="RegularDKB"/>
          <w:caps w:val="0"/>
        </w:rPr>
      </w:pPr>
      <w:bookmarkStart w:id="20" w:name="_Toc99298767"/>
      <w:r w:rsidRPr="00CB1E53">
        <w:rPr>
          <w:rStyle w:val="RegularDKB"/>
          <w:caps w:val="0"/>
        </w:rPr>
        <w:t>Personal income tax</w:t>
      </w:r>
      <w:bookmarkEnd w:id="20"/>
    </w:p>
    <w:p w14:paraId="415F9137" w14:textId="56EE0FA4" w:rsidR="00F77F6D" w:rsidRPr="00CB1E53" w:rsidRDefault="00513F6B" w:rsidP="00FD11D9">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C</w:t>
      </w:r>
      <w:r w:rsidR="00F77F6D" w:rsidRPr="00CB1E53">
        <w:rPr>
          <w:rFonts w:ascii="Segoe UI" w:hAnsi="Segoe UI" w:cs="Segoe UI"/>
          <w:color w:val="004C97" w:themeColor="text2"/>
          <w:sz w:val="21"/>
          <w:szCs w:val="21"/>
        </w:rPr>
        <w:t>ommon approach</w:t>
      </w:r>
    </w:p>
    <w:p w14:paraId="0A52B47D" w14:textId="54A0FD69"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For a comprehensive income tax</w:t>
      </w:r>
      <w:r w:rsidRPr="00CB1E53">
        <w:rPr>
          <w:rStyle w:val="FootnoteReference"/>
          <w:rFonts w:ascii="Segoe UI" w:hAnsi="Segoe UI" w:cs="Segoe UI"/>
          <w:sz w:val="21"/>
          <w:szCs w:val="21"/>
        </w:rPr>
        <w:footnoteReference w:id="12"/>
      </w:r>
      <w:r w:rsidRPr="00CB1E53">
        <w:rPr>
          <w:rFonts w:ascii="Segoe UI" w:hAnsi="Segoe UI" w:cs="Segoe UI"/>
          <w:sz w:val="21"/>
          <w:szCs w:val="21"/>
        </w:rPr>
        <w:t xml:space="preserve"> at </w:t>
      </w:r>
      <w:r w:rsidR="00A26436" w:rsidRPr="00CB1E53">
        <w:rPr>
          <w:rFonts w:ascii="Segoe UI" w:hAnsi="Segoe UI" w:cs="Segoe UI"/>
          <w:sz w:val="21"/>
          <w:szCs w:val="21"/>
        </w:rPr>
        <w:t xml:space="preserve">either </w:t>
      </w:r>
      <w:r w:rsidRPr="00CB1E53">
        <w:rPr>
          <w:rFonts w:ascii="Segoe UI" w:hAnsi="Segoe UI" w:cs="Segoe UI"/>
          <w:sz w:val="21"/>
          <w:szCs w:val="21"/>
        </w:rPr>
        <w:t xml:space="preserve">progressive or </w:t>
      </w:r>
      <w:r w:rsidR="00F310A8" w:rsidRPr="00CB1E53">
        <w:rPr>
          <w:rFonts w:ascii="Segoe UI" w:hAnsi="Segoe UI" w:cs="Segoe UI"/>
          <w:sz w:val="21"/>
          <w:szCs w:val="21"/>
        </w:rPr>
        <w:t>a</w:t>
      </w:r>
      <w:r w:rsidRPr="00CB1E53">
        <w:rPr>
          <w:rFonts w:ascii="Segoe UI" w:hAnsi="Segoe UI" w:cs="Segoe UI"/>
          <w:sz w:val="21"/>
          <w:szCs w:val="21"/>
        </w:rPr>
        <w:t xml:space="preserve"> single flat rate the benchmark should be based on the prevailing system of income tax with the existing statutory tax schedule. However, it should exclude any tax relief, other than the basic allowance (or the zero-tax income bracket). Under such PIT, any deduction from income</w:t>
      </w:r>
      <w:r w:rsidR="00C823B8">
        <w:rPr>
          <w:rFonts w:ascii="Segoe UI" w:hAnsi="Segoe UI" w:cs="Segoe UI"/>
          <w:sz w:val="21"/>
          <w:szCs w:val="21"/>
        </w:rPr>
        <w:t>—oth</w:t>
      </w:r>
      <w:r w:rsidRPr="00CB1E53">
        <w:rPr>
          <w:rFonts w:ascii="Segoe UI" w:hAnsi="Segoe UI" w:cs="Segoe UI"/>
          <w:sz w:val="21"/>
          <w:szCs w:val="21"/>
        </w:rPr>
        <w:t>er than genuine business expenses</w:t>
      </w:r>
      <w:r w:rsidR="00F310A8" w:rsidRPr="00CB1E53">
        <w:rPr>
          <w:rFonts w:ascii="Segoe UI" w:hAnsi="Segoe UI" w:cs="Segoe UI"/>
          <w:sz w:val="21"/>
          <w:szCs w:val="21"/>
        </w:rPr>
        <w:t xml:space="preserve"> when </w:t>
      </w:r>
      <w:r w:rsidRPr="00CB1E53">
        <w:rPr>
          <w:rFonts w:ascii="Segoe UI" w:hAnsi="Segoe UI" w:cs="Segoe UI"/>
          <w:sz w:val="21"/>
          <w:szCs w:val="21"/>
        </w:rPr>
        <w:t>the person has income from a business activity</w:t>
      </w:r>
      <w:r w:rsidR="00C823B8">
        <w:rPr>
          <w:rFonts w:ascii="Segoe UI" w:hAnsi="Segoe UI" w:cs="Segoe UI"/>
          <w:sz w:val="21"/>
          <w:szCs w:val="21"/>
        </w:rPr>
        <w:t xml:space="preserve">, </w:t>
      </w:r>
      <w:r w:rsidR="00F310A8" w:rsidRPr="00CB1E53">
        <w:rPr>
          <w:rFonts w:ascii="Segoe UI" w:hAnsi="Segoe UI" w:cs="Segoe UI"/>
          <w:sz w:val="21"/>
          <w:szCs w:val="21"/>
        </w:rPr>
        <w:t>ta</w:t>
      </w:r>
      <w:r w:rsidRPr="00CB1E53">
        <w:rPr>
          <w:rFonts w:ascii="Segoe UI" w:hAnsi="Segoe UI" w:cs="Segoe UI"/>
          <w:sz w:val="21"/>
          <w:szCs w:val="21"/>
        </w:rPr>
        <w:t>x credits</w:t>
      </w:r>
      <w:r w:rsidR="00C823B8">
        <w:rPr>
          <w:rFonts w:ascii="Segoe UI" w:hAnsi="Segoe UI" w:cs="Segoe UI"/>
          <w:sz w:val="21"/>
          <w:szCs w:val="21"/>
        </w:rPr>
        <w:t>,</w:t>
      </w:r>
      <w:r w:rsidRPr="00CB1E53">
        <w:rPr>
          <w:rFonts w:ascii="Segoe UI" w:hAnsi="Segoe UI" w:cs="Segoe UI"/>
          <w:sz w:val="21"/>
          <w:szCs w:val="21"/>
        </w:rPr>
        <w:t xml:space="preserve"> and lower rates on certain income</w:t>
      </w:r>
      <w:r w:rsidR="00F310A8" w:rsidRPr="00CB1E53">
        <w:rPr>
          <w:rFonts w:ascii="Segoe UI" w:hAnsi="Segoe UI" w:cs="Segoe UI"/>
          <w:sz w:val="21"/>
          <w:szCs w:val="21"/>
        </w:rPr>
        <w:t xml:space="preserve">, </w:t>
      </w:r>
      <w:r w:rsidRPr="00CB1E53">
        <w:rPr>
          <w:rFonts w:ascii="Segoe UI" w:hAnsi="Segoe UI" w:cs="Segoe UI"/>
          <w:sz w:val="21"/>
          <w:szCs w:val="21"/>
        </w:rPr>
        <w:t>for example, on capital gains, interest, dividends</w:t>
      </w:r>
      <w:r w:rsidR="00F310A8" w:rsidRPr="00CB1E53">
        <w:rPr>
          <w:rFonts w:ascii="Segoe UI" w:hAnsi="Segoe UI" w:cs="Segoe UI"/>
          <w:sz w:val="21"/>
          <w:szCs w:val="21"/>
        </w:rPr>
        <w:t>,</w:t>
      </w:r>
      <w:r w:rsidRPr="00CB1E53">
        <w:rPr>
          <w:rFonts w:ascii="Segoe UI" w:hAnsi="Segoe UI" w:cs="Segoe UI"/>
          <w:sz w:val="21"/>
          <w:szCs w:val="21"/>
        </w:rPr>
        <w:t xml:space="preserve"> are arguably </w:t>
      </w:r>
      <w:r w:rsidR="009430CA" w:rsidRPr="00CB1E53">
        <w:rPr>
          <w:rFonts w:ascii="Segoe UI" w:hAnsi="Segoe UI" w:cs="Segoe UI"/>
          <w:sz w:val="21"/>
          <w:szCs w:val="21"/>
        </w:rPr>
        <w:t>TEs</w:t>
      </w:r>
      <w:r w:rsidRPr="00CB1E53">
        <w:rPr>
          <w:rFonts w:ascii="Segoe UI" w:hAnsi="Segoe UI" w:cs="Segoe UI"/>
          <w:sz w:val="21"/>
          <w:szCs w:val="21"/>
        </w:rPr>
        <w:t>.</w:t>
      </w:r>
    </w:p>
    <w:p w14:paraId="21E2DA28" w14:textId="3F26802F"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Income taxes can also be schedular or dual.</w:t>
      </w:r>
      <w:r w:rsidRPr="00CB1E53">
        <w:rPr>
          <w:rFonts w:ascii="Segoe UI" w:hAnsi="Segoe UI" w:cs="Segoe UI"/>
          <w:b/>
          <w:bCs/>
          <w:sz w:val="21"/>
          <w:szCs w:val="21"/>
        </w:rPr>
        <w:t xml:space="preserve"> </w:t>
      </w:r>
      <w:r w:rsidRPr="00CB1E53">
        <w:rPr>
          <w:rFonts w:ascii="Segoe UI" w:hAnsi="Segoe UI" w:cs="Segoe UI"/>
          <w:sz w:val="21"/>
          <w:szCs w:val="21"/>
        </w:rPr>
        <w:t>In such cases, there is no single PIT rate structure; each income source or group of income sources has its own rate and base rules—for example, wage income and all other forms of capital income under the Nordic dual income tax systems. In this case, it is reasonable to have a benchmark tax system that separates the tax on wages from the tax on capital income. The benchmark for the wage tax can mirror that of a standard PIT, and the benchmark for capital income taxes can be a flat rate on all forms of income from capital.</w:t>
      </w:r>
    </w:p>
    <w:p w14:paraId="545D1552" w14:textId="77777777" w:rsidR="00DB4BB2"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 xml:space="preserve">Sole proprietors are sometimes treated differently, with a simplified tax on income expressed as a notional return to turnover, or a tax on turnover. In this case, it is reasonable to consider a lighter tax burden on income (relative to the standard PIT), as a TE, but estimating income subject to tax could present problems if reporting requirements are truncated. </w:t>
      </w:r>
    </w:p>
    <w:p w14:paraId="1564DB8A" w14:textId="77777777" w:rsidR="00DB4BB2" w:rsidRPr="00CB1E53" w:rsidRDefault="00F77F6D" w:rsidP="00FD11D9">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PIT design</w:t>
      </w:r>
    </w:p>
    <w:p w14:paraId="5EA4DABE" w14:textId="7EBBBDB1" w:rsidR="00DB4BB2" w:rsidRPr="00CB1E53" w:rsidRDefault="00F310A8" w:rsidP="00FD11D9">
      <w:pPr>
        <w:pStyle w:val="ParagraphNumbering"/>
        <w:numPr>
          <w:ilvl w:val="0"/>
          <w:numId w:val="0"/>
        </w:numPr>
        <w:spacing w:after="240" w:line="264" w:lineRule="auto"/>
        <w:jc w:val="both"/>
        <w:rPr>
          <w:rFonts w:ascii="Segoe UI" w:hAnsi="Segoe UI" w:cs="Segoe UI"/>
          <w:color w:val="000000"/>
          <w:sz w:val="21"/>
          <w:szCs w:val="21"/>
        </w:rPr>
      </w:pPr>
      <w:r w:rsidRPr="00CB1E53">
        <w:rPr>
          <w:rFonts w:ascii="Segoe UI" w:hAnsi="Segoe UI" w:cs="Segoe UI"/>
          <w:sz w:val="21"/>
          <w:szCs w:val="21"/>
        </w:rPr>
        <w:t xml:space="preserve">The most significant feature of the Moldovan PIT system is that practically all types of income are subject to tax at low flat rates (Art 15 of the TC). </w:t>
      </w:r>
      <w:r w:rsidR="00F77F6D" w:rsidRPr="00CB1E53">
        <w:rPr>
          <w:rFonts w:ascii="Segoe UI" w:hAnsi="Segoe UI" w:cs="Segoe UI"/>
          <w:color w:val="000000"/>
          <w:sz w:val="21"/>
          <w:szCs w:val="21"/>
        </w:rPr>
        <w:t>Moldova imposes a schedular PIT</w:t>
      </w:r>
      <w:r w:rsidR="009A1366">
        <w:rPr>
          <w:rFonts w:ascii="Segoe UI" w:hAnsi="Segoe UI" w:cs="Segoe UI"/>
          <w:color w:val="000000"/>
          <w:sz w:val="21"/>
          <w:szCs w:val="21"/>
        </w:rPr>
        <w:t>; i</w:t>
      </w:r>
      <w:r w:rsidR="00F77F6D" w:rsidRPr="00CB1E53">
        <w:rPr>
          <w:rFonts w:ascii="Segoe UI" w:hAnsi="Segoe UI" w:cs="Segoe UI"/>
          <w:color w:val="000000"/>
          <w:sz w:val="21"/>
          <w:szCs w:val="21"/>
        </w:rPr>
        <w:t>ndividuals are subject to tax based on their worldwide income. Until October 2018, there was a two-rate progressive structure of the personal income tax. A 7 percent tax rate applied to income up to MDL</w:t>
      </w:r>
      <w:r w:rsidR="00F71272">
        <w:rPr>
          <w:rFonts w:ascii="Segoe UI" w:hAnsi="Segoe UI" w:cs="Segoe UI"/>
          <w:color w:val="000000"/>
          <w:sz w:val="21"/>
          <w:szCs w:val="21"/>
        </w:rPr>
        <w:t> </w:t>
      </w:r>
      <w:r w:rsidR="00F77F6D" w:rsidRPr="00CB1E53">
        <w:rPr>
          <w:rFonts w:ascii="Segoe UI" w:hAnsi="Segoe UI" w:cs="Segoe UI"/>
          <w:color w:val="000000"/>
          <w:sz w:val="21"/>
          <w:szCs w:val="21"/>
        </w:rPr>
        <w:t>33,000 and any excess income was taxed at a rate of 18 percent. With effect from 1 October 2018, a standard flat tax of 12 percent is applied to salaries and capital gains. It is combined with a basic personal allowance of MDL</w:t>
      </w:r>
      <w:r w:rsidR="00F71272">
        <w:rPr>
          <w:rFonts w:ascii="Segoe UI" w:hAnsi="Segoe UI" w:cs="Segoe UI"/>
          <w:color w:val="000000"/>
          <w:sz w:val="21"/>
          <w:szCs w:val="21"/>
        </w:rPr>
        <w:t> </w:t>
      </w:r>
      <w:r w:rsidR="00F77F6D" w:rsidRPr="00CB1E53">
        <w:rPr>
          <w:rFonts w:ascii="Segoe UI" w:hAnsi="Segoe UI" w:cs="Segoe UI"/>
          <w:color w:val="000000"/>
          <w:sz w:val="21"/>
          <w:szCs w:val="21"/>
        </w:rPr>
        <w:t>27,000</w:t>
      </w:r>
      <w:r w:rsidR="00A26436" w:rsidRPr="00CB1E53">
        <w:rPr>
          <w:rFonts w:ascii="Segoe UI" w:hAnsi="Segoe UI" w:cs="Segoe UI"/>
          <w:color w:val="000000"/>
          <w:sz w:val="21"/>
          <w:szCs w:val="21"/>
        </w:rPr>
        <w:t xml:space="preserve">, which is considered to be part of the </w:t>
      </w:r>
      <w:r w:rsidR="00F77F6D" w:rsidRPr="00CB1E53">
        <w:rPr>
          <w:rFonts w:ascii="Segoe UI" w:hAnsi="Segoe UI" w:cs="Segoe UI"/>
          <w:color w:val="000000"/>
          <w:sz w:val="21"/>
          <w:szCs w:val="21"/>
        </w:rPr>
        <w:t>benchmark as it applies to every taxpayer</w:t>
      </w:r>
      <w:r w:rsidR="00A26436" w:rsidRPr="00CB1E53">
        <w:rPr>
          <w:rFonts w:ascii="Segoe UI" w:hAnsi="Segoe UI" w:cs="Segoe UI"/>
          <w:color w:val="000000"/>
          <w:sz w:val="21"/>
          <w:szCs w:val="21"/>
        </w:rPr>
        <w:t xml:space="preserve">. The </w:t>
      </w:r>
      <w:r w:rsidR="00A26436" w:rsidRPr="00CB1E53">
        <w:rPr>
          <w:rFonts w:ascii="Segoe UI" w:hAnsi="Segoe UI" w:cs="Segoe UI"/>
          <w:color w:val="000000"/>
          <w:sz w:val="21"/>
          <w:szCs w:val="21"/>
        </w:rPr>
        <w:lastRenderedPageBreak/>
        <w:t xml:space="preserve">system also includes </w:t>
      </w:r>
      <w:r w:rsidR="00F77F6D" w:rsidRPr="00CB1E53">
        <w:rPr>
          <w:rFonts w:ascii="Segoe UI" w:hAnsi="Segoe UI" w:cs="Segoe UI"/>
          <w:color w:val="000000"/>
          <w:sz w:val="21"/>
          <w:szCs w:val="21"/>
        </w:rPr>
        <w:t>spouse and dependents allowances</w:t>
      </w:r>
      <w:r w:rsidR="00A26436" w:rsidRPr="00CB1E53">
        <w:rPr>
          <w:rFonts w:ascii="Segoe UI" w:hAnsi="Segoe UI" w:cs="Segoe UI"/>
          <w:color w:val="000000"/>
          <w:sz w:val="21"/>
          <w:szCs w:val="21"/>
        </w:rPr>
        <w:t xml:space="preserve">, which </w:t>
      </w:r>
      <w:r w:rsidR="00F77F6D" w:rsidRPr="00CB1E53">
        <w:rPr>
          <w:rFonts w:ascii="Segoe UI" w:hAnsi="Segoe UI" w:cs="Segoe UI"/>
          <w:color w:val="000000"/>
          <w:sz w:val="21"/>
          <w:szCs w:val="21"/>
        </w:rPr>
        <w:t xml:space="preserve">are </w:t>
      </w:r>
      <w:r w:rsidR="00A26436" w:rsidRPr="00CB1E53">
        <w:rPr>
          <w:rFonts w:ascii="Segoe UI" w:hAnsi="Segoe UI" w:cs="Segoe UI"/>
          <w:color w:val="000000"/>
          <w:sz w:val="21"/>
          <w:szCs w:val="21"/>
        </w:rPr>
        <w:t xml:space="preserve">considered to be </w:t>
      </w:r>
      <w:r w:rsidR="00F77F6D" w:rsidRPr="00CB1E53">
        <w:rPr>
          <w:rFonts w:ascii="Segoe UI" w:hAnsi="Segoe UI" w:cs="Segoe UI"/>
          <w:color w:val="000000"/>
          <w:sz w:val="21"/>
          <w:szCs w:val="21"/>
        </w:rPr>
        <w:t xml:space="preserve">explicit or non-structural TEs, benefiting a smaller subgroup of taxpayers. </w:t>
      </w:r>
    </w:p>
    <w:p w14:paraId="696015B3" w14:textId="18B3252D"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color w:val="000000"/>
          <w:sz w:val="21"/>
          <w:szCs w:val="21"/>
        </w:rPr>
        <w:t>Investment income of natural persons is subject to withholding taxes, with a rate of 6</w:t>
      </w:r>
      <w:r w:rsidR="00F71272">
        <w:rPr>
          <w:rFonts w:ascii="Segoe UI" w:hAnsi="Segoe UI" w:cs="Segoe UI"/>
          <w:color w:val="000000"/>
          <w:sz w:val="21"/>
          <w:szCs w:val="21"/>
        </w:rPr>
        <w:t> </w:t>
      </w:r>
      <w:r w:rsidRPr="00CB1E53">
        <w:rPr>
          <w:rFonts w:ascii="Segoe UI" w:hAnsi="Segoe UI" w:cs="Segoe UI"/>
          <w:color w:val="000000"/>
          <w:sz w:val="21"/>
          <w:szCs w:val="21"/>
        </w:rPr>
        <w:t>percent in case of dividends and a rate of 12</w:t>
      </w:r>
      <w:r w:rsidR="00F71272">
        <w:rPr>
          <w:rFonts w:ascii="Segoe UI" w:hAnsi="Segoe UI" w:cs="Segoe UI"/>
          <w:color w:val="000000"/>
          <w:sz w:val="21"/>
          <w:szCs w:val="21"/>
        </w:rPr>
        <w:t> </w:t>
      </w:r>
      <w:r w:rsidRPr="00CB1E53">
        <w:rPr>
          <w:rFonts w:ascii="Segoe UI" w:hAnsi="Segoe UI" w:cs="Segoe UI"/>
          <w:color w:val="000000"/>
          <w:sz w:val="21"/>
          <w:szCs w:val="21"/>
        </w:rPr>
        <w:t>percent in case of interest and royalties. For these sources of income, none of the above-mentioned allowances apply. Business income is taxed separately under a standard 12 percent tax rate and no personal, spouse or dependent allowances can be used against it. Moreover, there are several presumptive tax regimes within business income taxation. Table</w:t>
      </w:r>
      <w:r w:rsidR="00F71272">
        <w:rPr>
          <w:rFonts w:ascii="Segoe UI" w:hAnsi="Segoe UI" w:cs="Segoe UI"/>
          <w:color w:val="000000"/>
          <w:sz w:val="21"/>
          <w:szCs w:val="21"/>
        </w:rPr>
        <w:t> </w:t>
      </w:r>
      <w:r w:rsidR="00AB7911">
        <w:rPr>
          <w:rFonts w:ascii="Segoe UI" w:hAnsi="Segoe UI" w:cs="Segoe UI"/>
          <w:color w:val="000000"/>
          <w:sz w:val="21"/>
          <w:szCs w:val="21"/>
        </w:rPr>
        <w:t>2</w:t>
      </w:r>
      <w:r w:rsidRPr="00CB1E53">
        <w:rPr>
          <w:rFonts w:ascii="Segoe UI" w:hAnsi="Segoe UI" w:cs="Segoe UI"/>
          <w:color w:val="000000"/>
          <w:sz w:val="21"/>
          <w:szCs w:val="21"/>
        </w:rPr>
        <w:t xml:space="preserve"> presents a summary of all PIT regimes applying to income except from business activity.</w:t>
      </w:r>
    </w:p>
    <w:p w14:paraId="37441EF4" w14:textId="13953704"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There are many approaches to defining a benchmark PIT. One is a conceptual approach based on the </w:t>
      </w:r>
      <w:proofErr w:type="spellStart"/>
      <w:r w:rsidRPr="00CB1E53">
        <w:rPr>
          <w:rFonts w:ascii="Segoe UI" w:hAnsi="Segoe UI" w:cs="Segoe UI"/>
          <w:color w:val="000000"/>
          <w:sz w:val="21"/>
          <w:szCs w:val="21"/>
        </w:rPr>
        <w:t>Schanz</w:t>
      </w:r>
      <w:proofErr w:type="spellEnd"/>
      <w:r w:rsidRPr="00CB1E53">
        <w:rPr>
          <w:rFonts w:ascii="Segoe UI" w:hAnsi="Segoe UI" w:cs="Segoe UI"/>
          <w:color w:val="000000"/>
          <w:sz w:val="21"/>
          <w:szCs w:val="21"/>
        </w:rPr>
        <w:t xml:space="preserve">-Haig-Simons comprehensive concept of income. According to it, the taxable income is defined broadly as obtained from all sources regardless of whether they are regular or not and includes net increase in wealth. Whereas the </w:t>
      </w:r>
      <w:proofErr w:type="spellStart"/>
      <w:r w:rsidRPr="00CB1E53">
        <w:rPr>
          <w:rFonts w:ascii="Segoe UI" w:hAnsi="Segoe UI" w:cs="Segoe UI"/>
          <w:color w:val="000000"/>
          <w:sz w:val="21"/>
          <w:szCs w:val="21"/>
        </w:rPr>
        <w:t>Schanz</w:t>
      </w:r>
      <w:proofErr w:type="spellEnd"/>
      <w:r w:rsidRPr="00CB1E53">
        <w:rPr>
          <w:rFonts w:ascii="Segoe UI" w:hAnsi="Segoe UI" w:cs="Segoe UI"/>
          <w:color w:val="000000"/>
          <w:sz w:val="21"/>
          <w:szCs w:val="21"/>
        </w:rPr>
        <w:t>-Haig-Simons concept is based on sound neutrality arguments, it is complex and plagued with several practical problems. The second approach</w:t>
      </w:r>
      <w:r w:rsidR="00A26436" w:rsidRPr="00CB1E53">
        <w:rPr>
          <w:rFonts w:ascii="Segoe UI" w:hAnsi="Segoe UI" w:cs="Segoe UI"/>
          <w:color w:val="000000"/>
          <w:sz w:val="21"/>
          <w:szCs w:val="21"/>
        </w:rPr>
        <w:t>—</w:t>
      </w:r>
      <w:r w:rsidRPr="00CB1E53">
        <w:rPr>
          <w:rFonts w:ascii="Segoe UI" w:hAnsi="Segoe UI" w:cs="Segoe UI"/>
          <w:color w:val="000000"/>
          <w:sz w:val="21"/>
          <w:szCs w:val="21"/>
        </w:rPr>
        <w:t>simpler and more pragmatic</w:t>
      </w:r>
      <w:r w:rsidR="00A26436" w:rsidRPr="00CB1E53">
        <w:rPr>
          <w:rFonts w:ascii="Segoe UI" w:hAnsi="Segoe UI" w:cs="Segoe UI"/>
          <w:color w:val="000000"/>
          <w:sz w:val="21"/>
          <w:szCs w:val="21"/>
        </w:rPr>
        <w:t>—</w:t>
      </w:r>
      <w:r w:rsidRPr="00CB1E53">
        <w:rPr>
          <w:rFonts w:ascii="Segoe UI" w:hAnsi="Segoe UI" w:cs="Segoe UI"/>
          <w:color w:val="000000"/>
          <w:sz w:val="21"/>
          <w:szCs w:val="21"/>
        </w:rPr>
        <w:t>is based on the prevailing system of income taxation. It defines the benchmark as the current PIT system without provisions favoring certain categories of income or subgroups of taxpayers. This approach is followed in the first TEAR.</w:t>
      </w:r>
    </w:p>
    <w:p w14:paraId="34C0A72C" w14:textId="179757A4" w:rsidR="00F77F6D" w:rsidRPr="00CB1E53" w:rsidRDefault="00F77F6D" w:rsidP="00FD11D9">
      <w:pPr>
        <w:tabs>
          <w:tab w:val="left" w:pos="990"/>
        </w:tabs>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Thus, two benchmarks are required for the Moldovan PIT.</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 xml:space="preserve">The distinction is based on the categories of income the personal allowance applies to. </w:t>
      </w:r>
      <w:r w:rsidR="00A26436" w:rsidRPr="00CB1E53">
        <w:rPr>
          <w:rFonts w:ascii="Segoe UI" w:hAnsi="Segoe UI" w:cs="Segoe UI"/>
          <w:color w:val="000000"/>
          <w:sz w:val="21"/>
          <w:szCs w:val="21"/>
        </w:rPr>
        <w:t>O</w:t>
      </w:r>
      <w:r w:rsidRPr="00CB1E53">
        <w:rPr>
          <w:rFonts w:ascii="Segoe UI" w:hAnsi="Segoe UI" w:cs="Segoe UI"/>
          <w:color w:val="000000"/>
          <w:sz w:val="21"/>
          <w:szCs w:val="21"/>
        </w:rPr>
        <w:t xml:space="preserve">ne benchmark is defined for active income and capital gains, against which the personal allowance can be claimed, implying mildly progressive taxation. The second benchmark is identified for investment income which is taxed separately, </w:t>
      </w:r>
      <w:r w:rsidR="00A26436" w:rsidRPr="00CB1E53">
        <w:rPr>
          <w:rFonts w:ascii="Segoe UI" w:hAnsi="Segoe UI" w:cs="Segoe UI"/>
          <w:color w:val="000000"/>
          <w:sz w:val="21"/>
          <w:szCs w:val="21"/>
        </w:rPr>
        <w:t xml:space="preserve">with no applicable </w:t>
      </w:r>
      <w:r w:rsidRPr="00CB1E53">
        <w:rPr>
          <w:rFonts w:ascii="Segoe UI" w:hAnsi="Segoe UI" w:cs="Segoe UI"/>
          <w:color w:val="000000"/>
          <w:sz w:val="21"/>
          <w:szCs w:val="21"/>
        </w:rPr>
        <w:t>personal allowance (Table</w:t>
      </w:r>
      <w:r w:rsidR="006A7748" w:rsidRPr="00CB1E53">
        <w:rPr>
          <w:rFonts w:ascii="Segoe UI" w:hAnsi="Segoe UI" w:cs="Segoe UI"/>
          <w:color w:val="000000"/>
          <w:sz w:val="21"/>
          <w:szCs w:val="21"/>
        </w:rPr>
        <w:t xml:space="preserve"> </w:t>
      </w:r>
      <w:r w:rsidR="00AB7911">
        <w:rPr>
          <w:rFonts w:ascii="Segoe UI" w:hAnsi="Segoe UI" w:cs="Segoe UI"/>
          <w:color w:val="000000"/>
          <w:sz w:val="21"/>
          <w:szCs w:val="21"/>
        </w:rPr>
        <w:t>2</w:t>
      </w:r>
      <w:r w:rsidRPr="00CB1E53">
        <w:rPr>
          <w:rFonts w:ascii="Segoe UI" w:hAnsi="Segoe UI" w:cs="Segoe UI"/>
          <w:color w:val="000000"/>
          <w:sz w:val="21"/>
          <w:szCs w:val="21"/>
        </w:rPr>
        <w:t xml:space="preserve">). This schedular approach to taxation of incomes of individuals (as opposed to comprehensive taxation of corporate income) is in itself a part of the benchmark. Each of the benchmarks – in line with theory and best international practice for </w:t>
      </w:r>
      <w:r w:rsidR="009430CA" w:rsidRPr="00CB1E53">
        <w:rPr>
          <w:rFonts w:ascii="Segoe UI" w:hAnsi="Segoe UI" w:cs="Segoe UI"/>
          <w:color w:val="000000"/>
          <w:sz w:val="21"/>
          <w:szCs w:val="21"/>
        </w:rPr>
        <w:t>TEs</w:t>
      </w:r>
      <w:r w:rsidRPr="00CB1E53">
        <w:rPr>
          <w:rFonts w:ascii="Segoe UI" w:hAnsi="Segoe UI" w:cs="Segoe UI"/>
          <w:color w:val="000000"/>
          <w:sz w:val="21"/>
          <w:szCs w:val="21"/>
        </w:rPr>
        <w:t xml:space="preserve"> reporting – includes the following elements: unit of taxation, taxation period, description of the tax base and rate structure.</w:t>
      </w:r>
    </w:p>
    <w:p w14:paraId="1F33E838" w14:textId="00FAB991" w:rsidR="001413B7" w:rsidRPr="00CB1E53" w:rsidRDefault="001413B7" w:rsidP="00FD11D9">
      <w:pPr>
        <w:pStyle w:val="Boxfiguretabletitle"/>
        <w:spacing w:after="120"/>
        <w:jc w:val="both"/>
        <w:rPr>
          <w:rFonts w:cs="Segoe UI"/>
          <w:color w:val="auto"/>
          <w:szCs w:val="21"/>
        </w:rPr>
      </w:pPr>
      <w:r w:rsidRPr="00CB1E53">
        <w:rPr>
          <w:b w:val="0"/>
          <w:bCs w:val="0"/>
          <w:color w:val="auto"/>
          <w:szCs w:val="21"/>
        </w:rPr>
        <w:fldChar w:fldCharType="begin"/>
      </w:r>
      <w:r w:rsidRPr="00CB1E53">
        <w:rPr>
          <w:b w:val="0"/>
          <w:bCs w:val="0"/>
          <w:color w:val="auto"/>
          <w:szCs w:val="21"/>
        </w:rPr>
        <w:instrText xml:space="preserve"> TC "</w:instrText>
      </w:r>
      <w:r w:rsidR="00AB7911">
        <w:rPr>
          <w:b w:val="0"/>
          <w:bCs w:val="0"/>
          <w:color w:val="auto"/>
          <w:szCs w:val="21"/>
        </w:rPr>
        <w:instrText>2</w:instrText>
      </w:r>
      <w:r w:rsidRPr="00CB1E53">
        <w:rPr>
          <w:b w:val="0"/>
          <w:bCs w:val="0"/>
          <w:color w:val="auto"/>
          <w:szCs w:val="21"/>
        </w:rPr>
        <w:instrText xml:space="preserve">. </w:instrText>
      </w:r>
      <w:r w:rsidRPr="00CB1E53">
        <w:rPr>
          <w:rFonts w:cs="Segoe UI"/>
          <w:b w:val="0"/>
          <w:bCs w:val="0"/>
          <w:color w:val="auto"/>
          <w:szCs w:val="21"/>
        </w:rPr>
        <w:instrText>Main Income Categories Subject to PIT in Moldova</w:instrText>
      </w:r>
      <w:r w:rsidRPr="00CB1E53">
        <w:rPr>
          <w:b w:val="0"/>
          <w:bCs w:val="0"/>
          <w:color w:val="auto"/>
          <w:szCs w:val="21"/>
        </w:rPr>
        <w:instrText xml:space="preserve">"\f B </w:instrText>
      </w:r>
      <w:r w:rsidRPr="00CB1E53">
        <w:rPr>
          <w:b w:val="0"/>
          <w:bCs w:val="0"/>
          <w:color w:val="auto"/>
          <w:szCs w:val="21"/>
        </w:rPr>
        <w:fldChar w:fldCharType="end"/>
      </w:r>
      <w:r w:rsidRPr="00CB1E53">
        <w:rPr>
          <w:rFonts w:cs="Segoe UI"/>
          <w:color w:val="auto"/>
          <w:szCs w:val="21"/>
        </w:rPr>
        <w:t xml:space="preserve">Table </w:t>
      </w:r>
      <w:r w:rsidR="00AB7911">
        <w:rPr>
          <w:rFonts w:cs="Segoe UI"/>
          <w:color w:val="auto"/>
          <w:szCs w:val="21"/>
        </w:rPr>
        <w:t>2</w:t>
      </w:r>
      <w:r w:rsidRPr="00CB1E53">
        <w:rPr>
          <w:rFonts w:cs="Segoe UI"/>
          <w:color w:val="auto"/>
          <w:szCs w:val="21"/>
        </w:rPr>
        <w:t>. Main Income Categories Subject to PIT in Moldova</w:t>
      </w:r>
    </w:p>
    <w:tbl>
      <w:tblPr>
        <w:tblStyle w:val="TableGrid"/>
        <w:tblW w:w="0" w:type="auto"/>
        <w:tblInd w:w="-5" w:type="dxa"/>
        <w:tblLook w:val="04A0" w:firstRow="1" w:lastRow="0" w:firstColumn="1" w:lastColumn="0" w:noHBand="0" w:noVBand="1"/>
      </w:tblPr>
      <w:tblGrid>
        <w:gridCol w:w="2335"/>
        <w:gridCol w:w="3600"/>
        <w:gridCol w:w="3415"/>
      </w:tblGrid>
      <w:tr w:rsidR="001413B7" w:rsidRPr="00CB1E53" w14:paraId="4B23F523" w14:textId="77777777" w:rsidTr="006E19AC">
        <w:tc>
          <w:tcPr>
            <w:tcW w:w="9350" w:type="dxa"/>
            <w:gridSpan w:val="3"/>
            <w:tcBorders>
              <w:top w:val="single" w:sz="4" w:space="0" w:color="auto"/>
            </w:tcBorders>
            <w:shd w:val="clear" w:color="auto" w:fill="D9D9D9" w:themeFill="background1" w:themeFillShade="D9"/>
          </w:tcPr>
          <w:p w14:paraId="130F4057"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b/>
                <w:bCs/>
                <w:sz w:val="16"/>
                <w:szCs w:val="16"/>
              </w:rPr>
              <w:t>Personal Allowance applies to:</w:t>
            </w:r>
          </w:p>
        </w:tc>
      </w:tr>
      <w:tr w:rsidR="001413B7" w:rsidRPr="00CB1E53" w14:paraId="3A7CB91B" w14:textId="77777777" w:rsidTr="00DB4CC5">
        <w:trPr>
          <w:trHeight w:val="620"/>
        </w:trPr>
        <w:tc>
          <w:tcPr>
            <w:tcW w:w="2335" w:type="dxa"/>
            <w:vAlign w:val="center"/>
          </w:tcPr>
          <w:p w14:paraId="3D802E02" w14:textId="77777777" w:rsidR="001413B7" w:rsidRPr="00CB1E53" w:rsidRDefault="001413B7" w:rsidP="00FD11D9">
            <w:pPr>
              <w:autoSpaceDE w:val="0"/>
              <w:autoSpaceDN w:val="0"/>
              <w:adjustRightInd w:val="0"/>
              <w:spacing w:before="40" w:after="40"/>
              <w:jc w:val="both"/>
              <w:rPr>
                <w:rFonts w:ascii="Segoe UI" w:hAnsi="Segoe UI" w:cs="Segoe UI"/>
                <w:sz w:val="16"/>
                <w:szCs w:val="16"/>
              </w:rPr>
            </w:pPr>
            <w:r w:rsidRPr="00CB1E53">
              <w:rPr>
                <w:rFonts w:ascii="Segoe UI" w:hAnsi="Segoe UI" w:cs="Segoe UI"/>
                <w:sz w:val="16"/>
                <w:szCs w:val="16"/>
              </w:rPr>
              <w:t>Employment income</w:t>
            </w:r>
          </w:p>
        </w:tc>
        <w:tc>
          <w:tcPr>
            <w:tcW w:w="3600" w:type="dxa"/>
            <w:vAlign w:val="center"/>
          </w:tcPr>
          <w:p w14:paraId="7971EAF3"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Including directors’ remuneration</w:t>
            </w:r>
          </w:p>
        </w:tc>
        <w:tc>
          <w:tcPr>
            <w:tcW w:w="3415" w:type="dxa"/>
            <w:vAlign w:val="center"/>
          </w:tcPr>
          <w:p w14:paraId="224F5F85" w14:textId="1939D5A6" w:rsidR="001413B7" w:rsidRPr="00CB1E53" w:rsidRDefault="001413B7" w:rsidP="00FD11D9">
            <w:pPr>
              <w:autoSpaceDE w:val="0"/>
              <w:autoSpaceDN w:val="0"/>
              <w:adjustRightInd w:val="0"/>
              <w:spacing w:before="40" w:after="40"/>
              <w:jc w:val="both"/>
              <w:rPr>
                <w:rFonts w:ascii="Segoe UI" w:hAnsi="Segoe UI" w:cs="Segoe UI"/>
                <w:color w:val="000000"/>
                <w:sz w:val="16"/>
                <w:szCs w:val="16"/>
              </w:rPr>
            </w:pPr>
            <w:r w:rsidRPr="00CB1E53">
              <w:rPr>
                <w:rFonts w:ascii="Segoe UI" w:hAnsi="Segoe UI" w:cs="Segoe UI"/>
                <w:color w:val="000000"/>
                <w:sz w:val="16"/>
                <w:szCs w:val="16"/>
              </w:rPr>
              <w:t xml:space="preserve">Subject to flat rate of 12 percent. The basic personal allowance is of MDL </w:t>
            </w:r>
            <w:r w:rsidR="005A0332" w:rsidRPr="00CB1E53">
              <w:rPr>
                <w:rFonts w:ascii="Segoe UI" w:hAnsi="Segoe UI" w:cs="Segoe UI"/>
                <w:color w:val="000000"/>
                <w:sz w:val="16"/>
                <w:szCs w:val="16"/>
              </w:rPr>
              <w:t>2</w:t>
            </w:r>
            <w:r w:rsidR="005A0332">
              <w:rPr>
                <w:rFonts w:ascii="Segoe UI" w:hAnsi="Segoe UI" w:cs="Segoe UI"/>
                <w:color w:val="000000"/>
                <w:sz w:val="16"/>
                <w:szCs w:val="16"/>
              </w:rPr>
              <w:t>7</w:t>
            </w:r>
            <w:r w:rsidRPr="00CB1E53">
              <w:rPr>
                <w:rFonts w:ascii="Segoe UI" w:hAnsi="Segoe UI" w:cs="Segoe UI"/>
                <w:color w:val="000000"/>
                <w:sz w:val="16"/>
                <w:szCs w:val="16"/>
              </w:rPr>
              <w:t>,000.</w:t>
            </w:r>
          </w:p>
          <w:p w14:paraId="5A1032E1"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Standard tax return CET18.</w:t>
            </w:r>
          </w:p>
        </w:tc>
      </w:tr>
      <w:tr w:rsidR="001413B7" w:rsidRPr="00CB1E53" w14:paraId="51663B6C" w14:textId="77777777" w:rsidTr="00DB4CC5">
        <w:trPr>
          <w:trHeight w:val="192"/>
        </w:trPr>
        <w:tc>
          <w:tcPr>
            <w:tcW w:w="2335" w:type="dxa"/>
            <w:vMerge w:val="restart"/>
            <w:vAlign w:val="center"/>
          </w:tcPr>
          <w:p w14:paraId="5DD612B4"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Capital gains</w:t>
            </w:r>
          </w:p>
        </w:tc>
        <w:tc>
          <w:tcPr>
            <w:tcW w:w="3600" w:type="dxa"/>
            <w:vAlign w:val="center"/>
          </w:tcPr>
          <w:p w14:paraId="789871AF"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Capital gains from private property</w:t>
            </w:r>
          </w:p>
        </w:tc>
        <w:tc>
          <w:tcPr>
            <w:tcW w:w="3415" w:type="dxa"/>
            <w:vAlign w:val="center"/>
          </w:tcPr>
          <w:p w14:paraId="0B4E2ECE" w14:textId="77777777" w:rsidR="001413B7" w:rsidRPr="00CB1E53" w:rsidRDefault="001413B7" w:rsidP="00FD11D9">
            <w:pPr>
              <w:autoSpaceDE w:val="0"/>
              <w:autoSpaceDN w:val="0"/>
              <w:adjustRightInd w:val="0"/>
              <w:spacing w:before="40" w:after="40"/>
              <w:jc w:val="both"/>
              <w:rPr>
                <w:rFonts w:ascii="Segoe UI" w:hAnsi="Segoe UI" w:cs="Segoe UI"/>
                <w:color w:val="000000"/>
                <w:sz w:val="16"/>
                <w:szCs w:val="16"/>
              </w:rPr>
            </w:pPr>
            <w:r w:rsidRPr="00CB1E53">
              <w:rPr>
                <w:rFonts w:ascii="Segoe UI" w:hAnsi="Segoe UI" w:cs="Segoe UI"/>
                <w:color w:val="000000"/>
                <w:sz w:val="16"/>
                <w:szCs w:val="16"/>
              </w:rPr>
              <w:t>Taxable amount of capital gains is equal to 50 percent of the amount of capital gains (50 percent inclusion rate) over any capital losses incurred during a tax year. Standard tax return CET18.</w:t>
            </w:r>
          </w:p>
        </w:tc>
      </w:tr>
      <w:tr w:rsidR="001413B7" w:rsidRPr="00CB1E53" w14:paraId="79DCD48A" w14:textId="77777777" w:rsidTr="00DB4CC5">
        <w:trPr>
          <w:trHeight w:val="191"/>
        </w:trPr>
        <w:tc>
          <w:tcPr>
            <w:tcW w:w="2335" w:type="dxa"/>
            <w:vMerge/>
            <w:vAlign w:val="center"/>
          </w:tcPr>
          <w:p w14:paraId="5A028CFA" w14:textId="77777777" w:rsidR="001413B7" w:rsidRPr="00CB1E53" w:rsidRDefault="001413B7" w:rsidP="00FD11D9">
            <w:pPr>
              <w:autoSpaceDE w:val="0"/>
              <w:autoSpaceDN w:val="0"/>
              <w:adjustRightInd w:val="0"/>
              <w:spacing w:before="40" w:after="40"/>
              <w:jc w:val="both"/>
              <w:rPr>
                <w:rFonts w:ascii="Segoe UI" w:hAnsi="Segoe UI" w:cs="Segoe UI"/>
                <w:color w:val="000000"/>
                <w:sz w:val="16"/>
                <w:szCs w:val="16"/>
              </w:rPr>
            </w:pPr>
          </w:p>
        </w:tc>
        <w:tc>
          <w:tcPr>
            <w:tcW w:w="3600" w:type="dxa"/>
            <w:vAlign w:val="center"/>
          </w:tcPr>
          <w:p w14:paraId="2EE73E7E" w14:textId="77777777" w:rsidR="001413B7" w:rsidRPr="00CB1E53" w:rsidRDefault="001413B7" w:rsidP="00FD11D9">
            <w:pPr>
              <w:keepNext/>
              <w:keepLines/>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Gains from disposal of basic housing</w:t>
            </w:r>
          </w:p>
        </w:tc>
        <w:tc>
          <w:tcPr>
            <w:tcW w:w="3415" w:type="dxa"/>
            <w:vAlign w:val="center"/>
          </w:tcPr>
          <w:p w14:paraId="78554249" w14:textId="77777777" w:rsidR="001413B7" w:rsidRPr="00CB1E53" w:rsidRDefault="001413B7" w:rsidP="00FD11D9">
            <w:pPr>
              <w:keepNext/>
              <w:keepLines/>
              <w:autoSpaceDE w:val="0"/>
              <w:autoSpaceDN w:val="0"/>
              <w:adjustRightInd w:val="0"/>
              <w:spacing w:before="40" w:after="40"/>
              <w:jc w:val="both"/>
              <w:rPr>
                <w:rFonts w:ascii="Segoe UI" w:hAnsi="Segoe UI" w:cs="Segoe UI"/>
                <w:color w:val="000000"/>
                <w:sz w:val="16"/>
                <w:szCs w:val="16"/>
              </w:rPr>
            </w:pPr>
            <w:r w:rsidRPr="00CB1E53">
              <w:rPr>
                <w:rFonts w:ascii="Segoe UI" w:hAnsi="Segoe UI" w:cs="Segoe UI"/>
                <w:color w:val="000000"/>
                <w:sz w:val="16"/>
                <w:szCs w:val="16"/>
              </w:rPr>
              <w:t>Exempt provided a taxpayer lived in the housing for at least 3 years, otherwise 50 percent of the realized capital gains subject to tax (50 percent inclusion rate). Standard tax return CET18.</w:t>
            </w:r>
          </w:p>
        </w:tc>
      </w:tr>
      <w:tr w:rsidR="001413B7" w:rsidRPr="00CB1E53" w14:paraId="5932DD70" w14:textId="77777777" w:rsidTr="00DB4CC5">
        <w:tc>
          <w:tcPr>
            <w:tcW w:w="9350" w:type="dxa"/>
            <w:gridSpan w:val="3"/>
            <w:shd w:val="clear" w:color="auto" w:fill="D9D9D9" w:themeFill="background1" w:themeFillShade="D9"/>
          </w:tcPr>
          <w:p w14:paraId="27D2B33C"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b/>
                <w:bCs/>
                <w:color w:val="000000"/>
                <w:sz w:val="16"/>
                <w:szCs w:val="16"/>
              </w:rPr>
              <w:t>No personal allowance applies to:</w:t>
            </w:r>
          </w:p>
        </w:tc>
      </w:tr>
      <w:tr w:rsidR="001413B7" w:rsidRPr="00CB1E53" w14:paraId="6E4230DE" w14:textId="77777777" w:rsidTr="00DB4CC5">
        <w:tc>
          <w:tcPr>
            <w:tcW w:w="2335" w:type="dxa"/>
            <w:vMerge w:val="restart"/>
            <w:vAlign w:val="center"/>
          </w:tcPr>
          <w:p w14:paraId="0F65E6F6"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Investment income</w:t>
            </w:r>
          </w:p>
        </w:tc>
        <w:tc>
          <w:tcPr>
            <w:tcW w:w="3600" w:type="dxa"/>
            <w:vAlign w:val="center"/>
          </w:tcPr>
          <w:p w14:paraId="535A139A"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Dividends</w:t>
            </w:r>
          </w:p>
        </w:tc>
        <w:tc>
          <w:tcPr>
            <w:tcW w:w="3415" w:type="dxa"/>
          </w:tcPr>
          <w:p w14:paraId="41AEE98A"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 xml:space="preserve">6 percent withholding on gross amount (15 percent for dividends, including stock, </w:t>
            </w:r>
            <w:r w:rsidRPr="00CB1E53">
              <w:rPr>
                <w:rFonts w:ascii="Segoe UI" w:hAnsi="Segoe UI" w:cs="Segoe UI"/>
                <w:color w:val="000000"/>
                <w:sz w:val="16"/>
                <w:szCs w:val="16"/>
              </w:rPr>
              <w:lastRenderedPageBreak/>
              <w:t>dividends, paid out of profits derived between 2008 and 2011).</w:t>
            </w:r>
          </w:p>
        </w:tc>
      </w:tr>
      <w:tr w:rsidR="001413B7" w:rsidRPr="00CB1E53" w14:paraId="6D4EA7D2" w14:textId="77777777" w:rsidTr="00DB4CC5">
        <w:tc>
          <w:tcPr>
            <w:tcW w:w="2335" w:type="dxa"/>
            <w:vMerge/>
          </w:tcPr>
          <w:p w14:paraId="7C599767"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p>
        </w:tc>
        <w:tc>
          <w:tcPr>
            <w:tcW w:w="3600" w:type="dxa"/>
            <w:vAlign w:val="center"/>
          </w:tcPr>
          <w:p w14:paraId="141233D8"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Interest</w:t>
            </w:r>
          </w:p>
        </w:tc>
        <w:tc>
          <w:tcPr>
            <w:tcW w:w="3415" w:type="dxa"/>
          </w:tcPr>
          <w:p w14:paraId="195BAED4"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 xml:space="preserve">12 percent withholding on gross amount. </w:t>
            </w:r>
          </w:p>
        </w:tc>
      </w:tr>
      <w:tr w:rsidR="001413B7" w:rsidRPr="00CB1E53" w14:paraId="04E3DF7D" w14:textId="77777777" w:rsidTr="00DB4CC5">
        <w:tc>
          <w:tcPr>
            <w:tcW w:w="2335" w:type="dxa"/>
            <w:vMerge/>
          </w:tcPr>
          <w:p w14:paraId="7D8914F4"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p>
        </w:tc>
        <w:tc>
          <w:tcPr>
            <w:tcW w:w="3600" w:type="dxa"/>
            <w:vAlign w:val="center"/>
          </w:tcPr>
          <w:p w14:paraId="0EF5C39D" w14:textId="77777777" w:rsidR="001413B7" w:rsidRPr="00CB1E53" w:rsidRDefault="001413B7" w:rsidP="00FD11D9">
            <w:pPr>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Royalties</w:t>
            </w:r>
          </w:p>
        </w:tc>
        <w:tc>
          <w:tcPr>
            <w:tcW w:w="3415" w:type="dxa"/>
          </w:tcPr>
          <w:p w14:paraId="055E11F7" w14:textId="5AC60843" w:rsidR="001413B7" w:rsidRPr="00CB1E53" w:rsidRDefault="001413B7" w:rsidP="00FD11D9">
            <w:pPr>
              <w:autoSpaceDE w:val="0"/>
              <w:autoSpaceDN w:val="0"/>
              <w:adjustRightInd w:val="0"/>
              <w:spacing w:before="40" w:after="40"/>
              <w:jc w:val="both"/>
              <w:rPr>
                <w:rFonts w:ascii="Segoe UI" w:hAnsi="Segoe UI" w:cs="Segoe UI"/>
                <w:color w:val="000000"/>
                <w:sz w:val="16"/>
                <w:szCs w:val="16"/>
              </w:rPr>
            </w:pPr>
            <w:r w:rsidRPr="00CB1E53">
              <w:rPr>
                <w:rFonts w:ascii="Segoe UI" w:hAnsi="Segoe UI" w:cs="Segoe UI"/>
                <w:color w:val="000000"/>
                <w:sz w:val="16"/>
                <w:szCs w:val="16"/>
              </w:rPr>
              <w:t xml:space="preserve">12 percent withholding on gross amount. </w:t>
            </w:r>
          </w:p>
        </w:tc>
      </w:tr>
      <w:tr w:rsidR="001413B7" w:rsidRPr="00CB1E53" w14:paraId="46BDF0B8" w14:textId="77777777" w:rsidTr="00DB4CC5">
        <w:tc>
          <w:tcPr>
            <w:tcW w:w="2335" w:type="dxa"/>
            <w:vMerge/>
          </w:tcPr>
          <w:p w14:paraId="35017F13" w14:textId="77777777" w:rsidR="001413B7" w:rsidRPr="00CB1E53" w:rsidRDefault="001413B7" w:rsidP="00FD11D9">
            <w:pPr>
              <w:keepNext/>
              <w:keepLines/>
              <w:autoSpaceDE w:val="0"/>
              <w:autoSpaceDN w:val="0"/>
              <w:adjustRightInd w:val="0"/>
              <w:spacing w:before="40" w:after="40"/>
              <w:jc w:val="both"/>
              <w:rPr>
                <w:rFonts w:ascii="Segoe UI" w:hAnsi="Segoe UI" w:cs="Segoe UI"/>
                <w:b/>
                <w:bCs/>
                <w:sz w:val="16"/>
                <w:szCs w:val="16"/>
              </w:rPr>
            </w:pPr>
          </w:p>
        </w:tc>
        <w:tc>
          <w:tcPr>
            <w:tcW w:w="3600" w:type="dxa"/>
            <w:vAlign w:val="center"/>
          </w:tcPr>
          <w:p w14:paraId="1574CC61" w14:textId="77777777" w:rsidR="001413B7" w:rsidRPr="00CB1E53" w:rsidRDefault="001413B7" w:rsidP="00FD11D9">
            <w:pPr>
              <w:keepNext/>
              <w:keepLines/>
              <w:autoSpaceDE w:val="0"/>
              <w:autoSpaceDN w:val="0"/>
              <w:adjustRightInd w:val="0"/>
              <w:spacing w:before="40" w:after="40"/>
              <w:jc w:val="both"/>
              <w:rPr>
                <w:rFonts w:ascii="Segoe UI" w:hAnsi="Segoe UI" w:cs="Segoe UI"/>
                <w:b/>
                <w:bCs/>
                <w:sz w:val="16"/>
                <w:szCs w:val="16"/>
              </w:rPr>
            </w:pPr>
            <w:r w:rsidRPr="00CB1E53">
              <w:rPr>
                <w:rFonts w:ascii="Segoe UI" w:hAnsi="Segoe UI" w:cs="Segoe UI"/>
                <w:color w:val="000000"/>
                <w:sz w:val="16"/>
                <w:szCs w:val="16"/>
              </w:rPr>
              <w:t>Rental income</w:t>
            </w:r>
          </w:p>
        </w:tc>
        <w:tc>
          <w:tcPr>
            <w:tcW w:w="3415" w:type="dxa"/>
          </w:tcPr>
          <w:p w14:paraId="3CD15BDD" w14:textId="77777777" w:rsidR="001413B7" w:rsidRPr="00CB1E53" w:rsidRDefault="001413B7" w:rsidP="00FD11D9">
            <w:pPr>
              <w:keepNext/>
              <w:keepLines/>
              <w:autoSpaceDE w:val="0"/>
              <w:autoSpaceDN w:val="0"/>
              <w:adjustRightInd w:val="0"/>
              <w:spacing w:before="40" w:after="40"/>
              <w:jc w:val="both"/>
              <w:rPr>
                <w:rFonts w:ascii="Segoe UI" w:hAnsi="Segoe UI" w:cs="Segoe UI"/>
                <w:color w:val="000000"/>
                <w:sz w:val="16"/>
                <w:szCs w:val="16"/>
              </w:rPr>
            </w:pPr>
            <w:r w:rsidRPr="00CB1E53">
              <w:rPr>
                <w:rFonts w:ascii="Segoe UI" w:hAnsi="Segoe UI" w:cs="Segoe UI"/>
                <w:color w:val="000000"/>
                <w:sz w:val="16"/>
                <w:szCs w:val="16"/>
              </w:rPr>
              <w:t>For legal entities, 10 percent withholding tax on gross amount from rent, lease, usufruct of movable and immovable property, except for the lease of agricultural land. A 7 percent rate applies to individuals.</w:t>
            </w:r>
          </w:p>
        </w:tc>
      </w:tr>
    </w:tbl>
    <w:p w14:paraId="5DDA12AB" w14:textId="50ED17B1" w:rsidR="00F77F6D" w:rsidRPr="00CB1E53" w:rsidRDefault="00F77F6D" w:rsidP="00FD11D9">
      <w:pPr>
        <w:autoSpaceDE w:val="0"/>
        <w:autoSpaceDN w:val="0"/>
        <w:adjustRightInd w:val="0"/>
        <w:spacing w:before="240" w:after="240" w:line="264" w:lineRule="auto"/>
        <w:jc w:val="both"/>
        <w:rPr>
          <w:rFonts w:ascii="Segoe UI" w:hAnsi="Segoe UI" w:cs="Segoe UI"/>
          <w:i/>
          <w:iCs/>
          <w:sz w:val="21"/>
          <w:szCs w:val="21"/>
        </w:rPr>
      </w:pPr>
      <w:r w:rsidRPr="00CB1E53">
        <w:rPr>
          <w:rFonts w:ascii="Segoe UI" w:hAnsi="Segoe UI" w:cs="Segoe UI"/>
          <w:i/>
          <w:iCs/>
          <w:sz w:val="21"/>
          <w:szCs w:val="21"/>
        </w:rPr>
        <w:t>Employment Income and Capital Gains</w:t>
      </w:r>
    </w:p>
    <w:p w14:paraId="120B1DDA"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 xml:space="preserve">Unit of taxation: </w:t>
      </w:r>
      <w:r w:rsidRPr="00CB1E53">
        <w:rPr>
          <w:rFonts w:ascii="Segoe UI" w:hAnsi="Segoe UI" w:cs="Segoe UI"/>
          <w:color w:val="000000"/>
          <w:sz w:val="21"/>
          <w:szCs w:val="21"/>
        </w:rPr>
        <w:t>The benchmark unit of taxation is a single individual resident in Moldova.</w:t>
      </w:r>
    </w:p>
    <w:p w14:paraId="4F84E965"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Taxation period</w:t>
      </w:r>
      <w:r w:rsidRPr="00CB1E53">
        <w:rPr>
          <w:rFonts w:ascii="Segoe UI" w:hAnsi="Segoe UI" w:cs="Segoe UI"/>
          <w:color w:val="000000"/>
          <w:sz w:val="21"/>
          <w:szCs w:val="21"/>
        </w:rPr>
        <w:t>: The benchmark tax period is the calendar year.</w:t>
      </w:r>
    </w:p>
    <w:p w14:paraId="38FAA02F"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 base:</w:t>
      </w:r>
      <w:r w:rsidRPr="00CB1E53">
        <w:rPr>
          <w:rFonts w:ascii="Segoe UI" w:hAnsi="Segoe UI" w:cs="Segoe UI"/>
          <w:color w:val="000000"/>
          <w:sz w:val="21"/>
          <w:szCs w:val="21"/>
        </w:rPr>
        <w:t xml:space="preserve"> The benchmark taxable base consists of worldwide income from different sources, including:</w:t>
      </w:r>
    </w:p>
    <w:p w14:paraId="01DFF269" w14:textId="275C2DE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Employment income including directors’ remuneration, </w:t>
      </w:r>
      <w:r w:rsidR="00491E1C">
        <w:rPr>
          <w:rFonts w:ascii="Segoe UI" w:hAnsi="Segoe UI" w:cs="Segoe UI"/>
          <w:color w:val="000000"/>
          <w:sz w:val="21"/>
          <w:szCs w:val="21"/>
        </w:rPr>
        <w:t>p</w:t>
      </w:r>
      <w:r w:rsidRPr="00CB1E53">
        <w:rPr>
          <w:rFonts w:ascii="Segoe UI" w:hAnsi="Segoe UI" w:cs="Segoe UI"/>
          <w:color w:val="000000"/>
          <w:sz w:val="21"/>
          <w:szCs w:val="21"/>
        </w:rPr>
        <w:t xml:space="preserve">ensions (regardless of their source), </w:t>
      </w:r>
      <w:r w:rsidR="00491E1C">
        <w:rPr>
          <w:rFonts w:ascii="Segoe UI" w:hAnsi="Segoe UI" w:cs="Segoe UI"/>
          <w:color w:val="000000"/>
          <w:sz w:val="21"/>
          <w:szCs w:val="21"/>
        </w:rPr>
        <w:t>g</w:t>
      </w:r>
      <w:r w:rsidRPr="00CB1E53">
        <w:rPr>
          <w:rFonts w:ascii="Segoe UI" w:hAnsi="Segoe UI" w:cs="Segoe UI"/>
          <w:color w:val="000000"/>
          <w:sz w:val="21"/>
          <w:szCs w:val="21"/>
        </w:rPr>
        <w:t xml:space="preserve">overnment transfers, </w:t>
      </w:r>
      <w:r w:rsidR="00491E1C">
        <w:rPr>
          <w:rFonts w:ascii="Segoe UI" w:hAnsi="Segoe UI" w:cs="Segoe UI"/>
          <w:color w:val="000000"/>
          <w:sz w:val="21"/>
          <w:szCs w:val="21"/>
        </w:rPr>
        <w:t>c</w:t>
      </w:r>
      <w:r w:rsidRPr="00CB1E53">
        <w:rPr>
          <w:rFonts w:ascii="Segoe UI" w:hAnsi="Segoe UI" w:cs="Segoe UI"/>
          <w:color w:val="000000"/>
          <w:sz w:val="21"/>
          <w:szCs w:val="21"/>
        </w:rPr>
        <w:t xml:space="preserve">ompensations, scholarships, alimonies etc., </w:t>
      </w:r>
      <w:r w:rsidR="00491E1C">
        <w:rPr>
          <w:rFonts w:ascii="Segoe UI" w:hAnsi="Segoe UI" w:cs="Segoe UI"/>
          <w:color w:val="000000"/>
          <w:sz w:val="21"/>
          <w:szCs w:val="21"/>
        </w:rPr>
        <w:t>i</w:t>
      </w:r>
      <w:r w:rsidRPr="00CB1E53">
        <w:rPr>
          <w:rFonts w:ascii="Segoe UI" w:hAnsi="Segoe UI" w:cs="Segoe UI"/>
          <w:color w:val="000000"/>
          <w:sz w:val="21"/>
          <w:szCs w:val="21"/>
        </w:rPr>
        <w:t xml:space="preserve">nheritances, </w:t>
      </w:r>
      <w:r w:rsidR="00491E1C">
        <w:rPr>
          <w:rFonts w:ascii="Segoe UI" w:hAnsi="Segoe UI" w:cs="Segoe UI"/>
          <w:color w:val="000000"/>
          <w:sz w:val="21"/>
          <w:szCs w:val="21"/>
        </w:rPr>
        <w:t>d</w:t>
      </w:r>
      <w:r w:rsidRPr="00CB1E53">
        <w:rPr>
          <w:rFonts w:ascii="Segoe UI" w:hAnsi="Segoe UI" w:cs="Segoe UI"/>
          <w:color w:val="000000"/>
          <w:sz w:val="21"/>
          <w:szCs w:val="21"/>
        </w:rPr>
        <w:t xml:space="preserve">onations (gifts), </w:t>
      </w:r>
      <w:r w:rsidR="00491E1C">
        <w:rPr>
          <w:rFonts w:ascii="Segoe UI" w:hAnsi="Segoe UI" w:cs="Segoe UI"/>
          <w:color w:val="000000"/>
          <w:sz w:val="21"/>
          <w:szCs w:val="21"/>
        </w:rPr>
        <w:t>c</w:t>
      </w:r>
      <w:r w:rsidRPr="00CB1E53">
        <w:rPr>
          <w:rFonts w:ascii="Segoe UI" w:hAnsi="Segoe UI" w:cs="Segoe UI"/>
          <w:color w:val="000000"/>
          <w:sz w:val="21"/>
          <w:szCs w:val="21"/>
        </w:rPr>
        <w:t>apital gains. Investment income and business income are excluded from this tax base.</w:t>
      </w:r>
    </w:p>
    <w:p w14:paraId="08FEFF9D" w14:textId="18EBDF64"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 xml:space="preserve">Tax rate structure </w:t>
      </w:r>
      <w:r w:rsidR="00F946CD" w:rsidRPr="00CB1E53">
        <w:rPr>
          <w:rFonts w:ascii="Segoe UI" w:hAnsi="Segoe UI" w:cs="Segoe UI"/>
          <w:i/>
          <w:iCs/>
          <w:color w:val="000000"/>
          <w:sz w:val="21"/>
          <w:szCs w:val="21"/>
        </w:rPr>
        <w:t>and</w:t>
      </w:r>
      <w:r w:rsidRPr="00CB1E53">
        <w:rPr>
          <w:rFonts w:ascii="Segoe UI" w:hAnsi="Segoe UI" w:cs="Segoe UI"/>
          <w:i/>
          <w:iCs/>
          <w:color w:val="000000"/>
          <w:sz w:val="21"/>
          <w:szCs w:val="21"/>
        </w:rPr>
        <w:t xml:space="preserve"> benchmark:</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The benchmark is a flat tax rate of 12 percent applied to the tax base as defined above less social security and health contributions and the basic amount of personal allowance (MDL</w:t>
      </w:r>
      <w:r w:rsidR="00491E1C">
        <w:rPr>
          <w:rFonts w:ascii="Segoe UI" w:hAnsi="Segoe UI" w:cs="Segoe UI"/>
          <w:color w:val="000000"/>
          <w:sz w:val="21"/>
          <w:szCs w:val="21"/>
        </w:rPr>
        <w:t> </w:t>
      </w:r>
      <w:r w:rsidRPr="00CB1E53">
        <w:rPr>
          <w:rFonts w:ascii="Segoe UI" w:hAnsi="Segoe UI" w:cs="Segoe UI"/>
          <w:color w:val="000000"/>
          <w:sz w:val="21"/>
          <w:szCs w:val="21"/>
        </w:rPr>
        <w:t>27,000). The latter is considered a part of the rate structure, inducing a degree of progressivity, akin to treating it as the first bracket and applying a zero rate (the personal allowance can be used as long as the annual taxable income of an individual does not exceed MDL</w:t>
      </w:r>
      <w:r w:rsidR="00491E1C">
        <w:rPr>
          <w:rFonts w:ascii="Segoe UI" w:hAnsi="Segoe UI" w:cs="Segoe UI"/>
          <w:color w:val="000000"/>
          <w:sz w:val="21"/>
          <w:szCs w:val="21"/>
        </w:rPr>
        <w:t> </w:t>
      </w:r>
      <w:r w:rsidRPr="00CB1E53">
        <w:rPr>
          <w:rFonts w:ascii="Segoe UI" w:hAnsi="Segoe UI" w:cs="Segoe UI"/>
          <w:color w:val="000000"/>
          <w:sz w:val="21"/>
          <w:szCs w:val="21"/>
        </w:rPr>
        <w:t xml:space="preserve">360,000). </w:t>
      </w:r>
    </w:p>
    <w:p w14:paraId="6AB4C7E8" w14:textId="422756C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TEs are:</w:t>
      </w:r>
      <w:r w:rsidRPr="00CB1E53">
        <w:rPr>
          <w:rFonts w:ascii="Segoe UI" w:hAnsi="Segoe UI" w:cs="Segoe UI"/>
          <w:color w:val="000000"/>
          <w:sz w:val="21"/>
          <w:szCs w:val="21"/>
        </w:rPr>
        <w:t xml:space="preserve"> The excess amount of personal allowance available to those with illness, disability</w:t>
      </w:r>
      <w:r w:rsidR="000D1D07">
        <w:rPr>
          <w:rFonts w:ascii="Segoe UI" w:hAnsi="Segoe UI" w:cs="Segoe UI"/>
          <w:color w:val="000000"/>
          <w:sz w:val="21"/>
          <w:szCs w:val="21"/>
        </w:rPr>
        <w:t>,</w:t>
      </w:r>
      <w:r w:rsidRPr="00CB1E53">
        <w:rPr>
          <w:rFonts w:ascii="Segoe UI" w:hAnsi="Segoe UI" w:cs="Segoe UI"/>
          <w:color w:val="000000"/>
          <w:sz w:val="21"/>
          <w:szCs w:val="21"/>
        </w:rPr>
        <w:t xml:space="preserve"> or injury (MDL</w:t>
      </w:r>
      <w:r w:rsidR="00491E1C">
        <w:rPr>
          <w:rFonts w:ascii="Segoe UI" w:hAnsi="Segoe UI" w:cs="Segoe UI"/>
          <w:color w:val="000000"/>
          <w:sz w:val="21"/>
          <w:szCs w:val="21"/>
        </w:rPr>
        <w:t> </w:t>
      </w:r>
      <w:r w:rsidRPr="00CB1E53">
        <w:rPr>
          <w:rFonts w:ascii="Segoe UI" w:hAnsi="Segoe UI" w:cs="Segoe UI"/>
          <w:color w:val="000000"/>
          <w:sz w:val="21"/>
          <w:szCs w:val="21"/>
        </w:rPr>
        <w:t>30,000 in total, an increment of MDL 6,000) does not constitute a benchmark for PIT, neither does the annual spouse allowance (MDL 11,280 or MDL 18,000 in case of illness, disability or injury). The Moldovan PIT also provides for dependent allowances. However, both of these should not be included it in the benchmark as they represent a form of income subsidy (social assistance) for families with children and non-working spouses.</w:t>
      </w:r>
    </w:p>
    <w:p w14:paraId="47593D27" w14:textId="77777777" w:rsidR="00F77F6D" w:rsidRPr="00CB1E53" w:rsidRDefault="00F77F6D" w:rsidP="00FD11D9">
      <w:pPr>
        <w:keepNext/>
        <w:keepLines/>
        <w:autoSpaceDE w:val="0"/>
        <w:autoSpaceDN w:val="0"/>
        <w:adjustRightInd w:val="0"/>
        <w:spacing w:after="240" w:line="264" w:lineRule="auto"/>
        <w:jc w:val="both"/>
        <w:rPr>
          <w:rFonts w:ascii="Segoe UI" w:hAnsi="Segoe UI" w:cs="Segoe UI"/>
          <w:i/>
          <w:iCs/>
          <w:color w:val="000000"/>
          <w:sz w:val="21"/>
          <w:szCs w:val="21"/>
        </w:rPr>
      </w:pPr>
      <w:r w:rsidRPr="00CB1E53">
        <w:rPr>
          <w:rFonts w:ascii="Segoe UI" w:hAnsi="Segoe UI" w:cs="Segoe UI"/>
          <w:i/>
          <w:iCs/>
          <w:color w:val="000000"/>
          <w:sz w:val="21"/>
          <w:szCs w:val="21"/>
        </w:rPr>
        <w:t>The following specific rules are part of the benchmark for employment income and capital gains:</w:t>
      </w:r>
    </w:p>
    <w:p w14:paraId="458BEB31" w14:textId="0B0F2F05" w:rsidR="00F77F6D" w:rsidRPr="00CB1E53" w:rsidRDefault="00F77F6D" w:rsidP="00FD11D9">
      <w:pPr>
        <w:pStyle w:val="ParagraphNumbering"/>
        <w:keepNext/>
        <w:keepLines/>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Deductibility of social security contributions and health care contributions. It has to be noted that the state pensions are also exempt from taxation in Moldova, resulting in double exemption. In line with a benchmark system of taxation of pensions (EET) the 2020 mission was of the view that social security contributions belong to the benchmark, but old age pensions and other social benefits do not. For details of the current levels of social security and health care contribution see Table </w:t>
      </w:r>
      <w:r w:rsidR="00AB7911">
        <w:rPr>
          <w:rFonts w:ascii="Segoe UI" w:hAnsi="Segoe UI" w:cs="Segoe UI"/>
          <w:sz w:val="21"/>
          <w:szCs w:val="21"/>
        </w:rPr>
        <w:t>3</w:t>
      </w:r>
      <w:r w:rsidRPr="00CB1E53">
        <w:rPr>
          <w:rFonts w:ascii="Segoe UI" w:hAnsi="Segoe UI" w:cs="Segoe UI"/>
          <w:sz w:val="21"/>
          <w:szCs w:val="21"/>
        </w:rPr>
        <w:t xml:space="preserve"> below.</w:t>
      </w:r>
    </w:p>
    <w:p w14:paraId="23CA9177" w14:textId="77777777" w:rsidR="00F77F6D" w:rsidRPr="00CB1E53" w:rsidRDefault="00F77F6D" w:rsidP="00FD11D9">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sz w:val="21"/>
          <w:szCs w:val="21"/>
        </w:rPr>
        <w:t xml:space="preserve">Deductibility of contributions made to non-state pensions funds, both domestic and foreign. Contrary to state pensions, pensions received from non-state pension funds (domestic and </w:t>
      </w:r>
      <w:r w:rsidRPr="00CB1E53">
        <w:rPr>
          <w:rFonts w:ascii="Segoe UI" w:hAnsi="Segoe UI" w:cs="Segoe UI"/>
          <w:sz w:val="21"/>
          <w:szCs w:val="21"/>
        </w:rPr>
        <w:lastRenderedPageBreak/>
        <w:t>foreign) are taxable. However, according to the authorities, the group of taxpayers who obtain income from that source is negligible.</w:t>
      </w:r>
    </w:p>
    <w:p w14:paraId="2D3B53D4" w14:textId="77777777" w:rsidR="00F77F6D" w:rsidRPr="00CB1E53" w:rsidRDefault="00F77F6D" w:rsidP="00FD11D9">
      <w:pPr>
        <w:pStyle w:val="ParagraphNumbering"/>
        <w:numPr>
          <w:ilvl w:val="0"/>
          <w:numId w:val="13"/>
        </w:numPr>
        <w:spacing w:before="240" w:after="120" w:line="264" w:lineRule="auto"/>
        <w:jc w:val="both"/>
        <w:rPr>
          <w:rFonts w:ascii="Segoe UI" w:hAnsi="Segoe UI" w:cs="Segoe UI"/>
          <w:sz w:val="21"/>
          <w:szCs w:val="21"/>
        </w:rPr>
      </w:pPr>
      <w:r w:rsidRPr="00CB1E53">
        <w:rPr>
          <w:rFonts w:ascii="Segoe UI" w:hAnsi="Segoe UI" w:cs="Segoe UI"/>
          <w:sz w:val="21"/>
          <w:szCs w:val="21"/>
        </w:rPr>
        <w:t>Measures that provide relief for international double taxation. According to art. 82 of the Tax Code, an ordinary credit is granted to income taxes paid abroad (which is benchmark).</w:t>
      </w:r>
    </w:p>
    <w:p w14:paraId="580BBE70" w14:textId="77777777" w:rsidR="00F77F6D" w:rsidRPr="00CB1E53" w:rsidRDefault="00F77F6D" w:rsidP="00FD11D9">
      <w:pPr>
        <w:autoSpaceDE w:val="0"/>
        <w:autoSpaceDN w:val="0"/>
        <w:adjustRightInd w:val="0"/>
        <w:spacing w:after="0" w:line="240" w:lineRule="auto"/>
        <w:jc w:val="both"/>
        <w:rPr>
          <w:rFonts w:ascii="Segoe UI" w:hAnsi="Segoe UI" w:cs="Segoe UI"/>
          <w:b/>
          <w:bCs/>
          <w:color w:val="953634"/>
          <w:sz w:val="20"/>
          <w:szCs w:val="20"/>
        </w:rPr>
      </w:pPr>
    </w:p>
    <w:p w14:paraId="5595A108" w14:textId="770B6545" w:rsidR="00F77F6D" w:rsidRPr="00CB1E53" w:rsidRDefault="001413B7" w:rsidP="00FD11D9">
      <w:pPr>
        <w:autoSpaceDE w:val="0"/>
        <w:autoSpaceDN w:val="0"/>
        <w:adjustRightInd w:val="0"/>
        <w:spacing w:after="120" w:line="240" w:lineRule="auto"/>
        <w:jc w:val="both"/>
        <w:rPr>
          <w:rFonts w:ascii="Segoe UI" w:hAnsi="Segoe UI" w:cs="Segoe UI"/>
          <w:b/>
          <w:bCs/>
          <w:sz w:val="21"/>
          <w:szCs w:val="21"/>
        </w:rPr>
      </w:pPr>
      <w:r w:rsidRPr="00CB1E53">
        <w:rPr>
          <w:rFonts w:ascii="Segoe UI" w:hAnsi="Segoe UI" w:cs="Segoe UI"/>
          <w:sz w:val="21"/>
          <w:szCs w:val="21"/>
        </w:rPr>
        <w:fldChar w:fldCharType="begin"/>
      </w:r>
      <w:r w:rsidRPr="00CB1E53">
        <w:rPr>
          <w:rFonts w:ascii="Segoe UI" w:hAnsi="Segoe UI" w:cs="Segoe UI"/>
          <w:sz w:val="21"/>
          <w:szCs w:val="21"/>
        </w:rPr>
        <w:instrText xml:space="preserve"> TC "</w:instrText>
      </w:r>
      <w:r w:rsidR="00AB7911">
        <w:rPr>
          <w:rFonts w:ascii="Segoe UI" w:hAnsi="Segoe UI" w:cs="Segoe UI"/>
          <w:sz w:val="21"/>
          <w:szCs w:val="21"/>
        </w:rPr>
        <w:instrText>3</w:instrText>
      </w:r>
      <w:r w:rsidRPr="00CB1E53">
        <w:rPr>
          <w:rFonts w:ascii="Segoe UI" w:hAnsi="Segoe UI" w:cs="Segoe UI"/>
          <w:sz w:val="21"/>
          <w:szCs w:val="21"/>
        </w:rPr>
        <w:instrText xml:space="preserve">. Main Income Categories Subject to PIT in Moldova"\f B </w:instrText>
      </w:r>
      <w:r w:rsidRPr="00CB1E53">
        <w:rPr>
          <w:rFonts w:ascii="Segoe UI" w:hAnsi="Segoe UI" w:cs="Segoe UI"/>
          <w:sz w:val="21"/>
          <w:szCs w:val="21"/>
        </w:rPr>
        <w:fldChar w:fldCharType="end"/>
      </w:r>
      <w:r w:rsidRPr="00CB1E53">
        <w:rPr>
          <w:rFonts w:ascii="Segoe UI" w:hAnsi="Segoe UI" w:cs="Segoe UI"/>
          <w:b/>
          <w:bCs/>
          <w:sz w:val="21"/>
          <w:szCs w:val="21"/>
        </w:rPr>
        <w:t xml:space="preserve"> </w:t>
      </w:r>
      <w:r w:rsidR="00F77F6D" w:rsidRPr="00CB1E53">
        <w:rPr>
          <w:rFonts w:ascii="Segoe UI" w:hAnsi="Segoe UI" w:cs="Segoe UI"/>
          <w:b/>
          <w:bCs/>
          <w:sz w:val="21"/>
          <w:szCs w:val="21"/>
        </w:rPr>
        <w:t xml:space="preserve">Table </w:t>
      </w:r>
      <w:r w:rsidR="00AB7911">
        <w:rPr>
          <w:rFonts w:ascii="Segoe UI" w:hAnsi="Segoe UI" w:cs="Segoe UI"/>
          <w:b/>
          <w:bCs/>
          <w:sz w:val="21"/>
          <w:szCs w:val="21"/>
        </w:rPr>
        <w:t>3</w:t>
      </w:r>
      <w:r w:rsidR="00F77F6D" w:rsidRPr="00CB1E53">
        <w:rPr>
          <w:rFonts w:ascii="Segoe UI" w:hAnsi="Segoe UI" w:cs="Segoe UI"/>
          <w:b/>
          <w:bCs/>
          <w:sz w:val="21"/>
          <w:szCs w:val="21"/>
        </w:rPr>
        <w:t>. Social Security Contributions and Medical Contributions</w:t>
      </w:r>
      <w:r w:rsidR="001C27C2">
        <w:rPr>
          <w:rFonts w:ascii="Segoe UI" w:hAnsi="Segoe UI" w:cs="Segoe UI"/>
          <w:b/>
          <w:bCs/>
          <w:sz w:val="21"/>
          <w:szCs w:val="21"/>
        </w:rPr>
        <w:t>, 2022</w:t>
      </w:r>
    </w:p>
    <w:tbl>
      <w:tblPr>
        <w:tblStyle w:val="TableGrid"/>
        <w:tblW w:w="0" w:type="auto"/>
        <w:tblLook w:val="04A0" w:firstRow="1" w:lastRow="0" w:firstColumn="1" w:lastColumn="0" w:noHBand="0" w:noVBand="1"/>
      </w:tblPr>
      <w:tblGrid>
        <w:gridCol w:w="3775"/>
        <w:gridCol w:w="1858"/>
        <w:gridCol w:w="1858"/>
        <w:gridCol w:w="1859"/>
      </w:tblGrid>
      <w:tr w:rsidR="00F77F6D" w:rsidRPr="00CB1E53" w14:paraId="5F38A9F5" w14:textId="77777777" w:rsidTr="002344C6">
        <w:trPr>
          <w:trHeight w:val="305"/>
        </w:trPr>
        <w:tc>
          <w:tcPr>
            <w:tcW w:w="3775" w:type="dxa"/>
            <w:shd w:val="clear" w:color="auto" w:fill="D9D9D9" w:themeFill="background1" w:themeFillShade="D9"/>
          </w:tcPr>
          <w:p w14:paraId="684FA1A5"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b/>
                <w:bCs/>
                <w:sz w:val="18"/>
                <w:szCs w:val="18"/>
              </w:rPr>
              <w:t>Social Security Contribution</w:t>
            </w:r>
          </w:p>
        </w:tc>
        <w:tc>
          <w:tcPr>
            <w:tcW w:w="5575" w:type="dxa"/>
            <w:gridSpan w:val="3"/>
            <w:shd w:val="clear" w:color="auto" w:fill="D9D9D9" w:themeFill="background1" w:themeFillShade="D9"/>
          </w:tcPr>
          <w:p w14:paraId="51F92CCE"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b/>
                <w:bCs/>
                <w:sz w:val="18"/>
                <w:szCs w:val="18"/>
              </w:rPr>
              <w:t>Contribution Amount</w:t>
            </w:r>
          </w:p>
        </w:tc>
      </w:tr>
      <w:tr w:rsidR="00F77F6D" w:rsidRPr="00CB1E53" w14:paraId="7300E58A" w14:textId="77777777" w:rsidTr="001413B7">
        <w:tc>
          <w:tcPr>
            <w:tcW w:w="3775" w:type="dxa"/>
          </w:tcPr>
          <w:p w14:paraId="1BDD1504"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i/>
                <w:iCs/>
                <w:color w:val="000000"/>
                <w:sz w:val="18"/>
                <w:szCs w:val="18"/>
              </w:rPr>
              <w:t>(rates applicable to gross wage)</w:t>
            </w:r>
          </w:p>
        </w:tc>
        <w:tc>
          <w:tcPr>
            <w:tcW w:w="1858" w:type="dxa"/>
          </w:tcPr>
          <w:p w14:paraId="0B7BFB58"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Employer</w:t>
            </w:r>
          </w:p>
        </w:tc>
        <w:tc>
          <w:tcPr>
            <w:tcW w:w="1858" w:type="dxa"/>
          </w:tcPr>
          <w:p w14:paraId="2E661DFC"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Employee</w:t>
            </w:r>
          </w:p>
        </w:tc>
        <w:tc>
          <w:tcPr>
            <w:tcW w:w="1859" w:type="dxa"/>
            <w:vAlign w:val="center"/>
          </w:tcPr>
          <w:p w14:paraId="1E991D2C"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State</w:t>
            </w:r>
          </w:p>
        </w:tc>
      </w:tr>
      <w:tr w:rsidR="00F77F6D" w:rsidRPr="00CB1E53" w14:paraId="6C2B823B" w14:textId="77777777" w:rsidTr="001413B7">
        <w:tc>
          <w:tcPr>
            <w:tcW w:w="3775" w:type="dxa"/>
            <w:vAlign w:val="center"/>
          </w:tcPr>
          <w:p w14:paraId="0472E70F" w14:textId="77777777" w:rsidR="00F77F6D" w:rsidRPr="00CB1E53" w:rsidRDefault="00F77F6D" w:rsidP="00FD11D9">
            <w:pPr>
              <w:autoSpaceDE w:val="0"/>
              <w:autoSpaceDN w:val="0"/>
              <w:adjustRightInd w:val="0"/>
              <w:spacing w:before="20" w:after="20"/>
              <w:jc w:val="both"/>
              <w:rPr>
                <w:rFonts w:ascii="Segoe UI" w:hAnsi="Segoe UI" w:cs="Segoe UI"/>
                <w:color w:val="000000"/>
                <w:sz w:val="18"/>
                <w:szCs w:val="18"/>
              </w:rPr>
            </w:pPr>
            <w:r w:rsidRPr="00CB1E53">
              <w:rPr>
                <w:rFonts w:ascii="Segoe UI" w:hAnsi="Segoe UI" w:cs="Segoe UI"/>
                <w:color w:val="000000"/>
                <w:sz w:val="18"/>
                <w:szCs w:val="18"/>
              </w:rPr>
              <w:t>Employees with individual employment contract</w:t>
            </w:r>
          </w:p>
          <w:p w14:paraId="4716CABE" w14:textId="77777777" w:rsidR="00F77F6D" w:rsidRPr="00CB1E53" w:rsidRDefault="00F77F6D" w:rsidP="00FD11D9">
            <w:pPr>
              <w:autoSpaceDE w:val="0"/>
              <w:autoSpaceDN w:val="0"/>
              <w:adjustRightInd w:val="0"/>
              <w:spacing w:before="20" w:after="20"/>
              <w:jc w:val="both"/>
              <w:rPr>
                <w:rFonts w:ascii="Segoe UI" w:hAnsi="Segoe UI" w:cs="Segoe UI"/>
                <w:color w:val="000000"/>
                <w:sz w:val="18"/>
                <w:szCs w:val="18"/>
              </w:rPr>
            </w:pPr>
            <w:r w:rsidRPr="00CB1E53">
              <w:rPr>
                <w:rFonts w:ascii="Segoe UI" w:hAnsi="Segoe UI" w:cs="Segoe UI"/>
                <w:color w:val="000000"/>
                <w:sz w:val="18"/>
                <w:szCs w:val="18"/>
              </w:rPr>
              <w:t>‐ In private sector</w:t>
            </w:r>
          </w:p>
          <w:p w14:paraId="506CBFE0"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 In public sector</w:t>
            </w:r>
          </w:p>
        </w:tc>
        <w:tc>
          <w:tcPr>
            <w:tcW w:w="1858" w:type="dxa"/>
            <w:vAlign w:val="center"/>
          </w:tcPr>
          <w:p w14:paraId="0CBA78E0" w14:textId="66D79EB9" w:rsidR="002344C6" w:rsidRPr="00CB1E53" w:rsidRDefault="00D75D26" w:rsidP="00FD11D9">
            <w:pPr>
              <w:autoSpaceDE w:val="0"/>
              <w:autoSpaceDN w:val="0"/>
              <w:adjustRightInd w:val="0"/>
              <w:spacing w:before="360" w:after="20"/>
              <w:jc w:val="both"/>
              <w:rPr>
                <w:rFonts w:ascii="Segoe UI" w:hAnsi="Segoe UI" w:cs="Segoe UI"/>
                <w:color w:val="000000"/>
                <w:sz w:val="18"/>
                <w:szCs w:val="18"/>
              </w:rPr>
            </w:pPr>
            <w:r>
              <w:rPr>
                <w:rFonts w:ascii="Segoe UI" w:hAnsi="Segoe UI" w:cs="Segoe UI"/>
                <w:color w:val="000000"/>
                <w:sz w:val="18"/>
                <w:szCs w:val="18"/>
              </w:rPr>
              <w:t>24</w:t>
            </w:r>
            <w:r w:rsidR="002E05E5">
              <w:rPr>
                <w:rFonts w:ascii="Segoe UI" w:hAnsi="Segoe UI" w:cs="Segoe UI"/>
                <w:color w:val="000000"/>
                <w:sz w:val="18"/>
                <w:szCs w:val="18"/>
              </w:rPr>
              <w:t xml:space="preserve"> </w:t>
            </w:r>
            <w:r w:rsidR="00F77F6D" w:rsidRPr="00CB1E53">
              <w:rPr>
                <w:rFonts w:ascii="Segoe UI" w:hAnsi="Segoe UI" w:cs="Segoe UI"/>
                <w:color w:val="000000"/>
                <w:sz w:val="18"/>
                <w:szCs w:val="18"/>
              </w:rPr>
              <w:t>percent</w:t>
            </w:r>
          </w:p>
          <w:p w14:paraId="289279BA" w14:textId="78F10987" w:rsidR="00F77F6D" w:rsidRPr="00CB1E53" w:rsidRDefault="00D75D26" w:rsidP="00FD11D9">
            <w:pPr>
              <w:autoSpaceDE w:val="0"/>
              <w:autoSpaceDN w:val="0"/>
              <w:adjustRightInd w:val="0"/>
              <w:spacing w:before="20" w:after="20"/>
              <w:jc w:val="both"/>
              <w:rPr>
                <w:rFonts w:ascii="Segoe UI" w:hAnsi="Segoe UI" w:cs="Segoe UI"/>
                <w:color w:val="000000"/>
                <w:sz w:val="18"/>
                <w:szCs w:val="18"/>
              </w:rPr>
            </w:pPr>
            <w:r>
              <w:rPr>
                <w:rFonts w:ascii="Segoe UI" w:hAnsi="Segoe UI" w:cs="Segoe UI"/>
                <w:color w:val="000000"/>
                <w:sz w:val="18"/>
                <w:szCs w:val="18"/>
              </w:rPr>
              <w:t>29</w:t>
            </w:r>
            <w:r w:rsidR="002E05E5">
              <w:rPr>
                <w:rFonts w:ascii="Segoe UI" w:hAnsi="Segoe UI" w:cs="Segoe UI"/>
                <w:color w:val="000000"/>
                <w:sz w:val="18"/>
                <w:szCs w:val="18"/>
              </w:rPr>
              <w:t xml:space="preserve"> </w:t>
            </w:r>
            <w:r w:rsidR="00F77F6D" w:rsidRPr="00CB1E53">
              <w:rPr>
                <w:rFonts w:ascii="Segoe UI" w:hAnsi="Segoe UI" w:cs="Segoe UI"/>
                <w:color w:val="000000"/>
                <w:sz w:val="18"/>
                <w:szCs w:val="18"/>
              </w:rPr>
              <w:t>percent</w:t>
            </w:r>
          </w:p>
        </w:tc>
        <w:tc>
          <w:tcPr>
            <w:tcW w:w="1858" w:type="dxa"/>
            <w:vAlign w:val="center"/>
          </w:tcPr>
          <w:p w14:paraId="44C01CD9" w14:textId="3C52D53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9" w:type="dxa"/>
            <w:vAlign w:val="center"/>
          </w:tcPr>
          <w:p w14:paraId="191F9889"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5486D006" w14:textId="77777777" w:rsidTr="001413B7">
        <w:tc>
          <w:tcPr>
            <w:tcW w:w="3775" w:type="dxa"/>
            <w:vAlign w:val="center"/>
          </w:tcPr>
          <w:p w14:paraId="5C2FEFB1"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Employees in the agriculture sector</w:t>
            </w:r>
          </w:p>
        </w:tc>
        <w:tc>
          <w:tcPr>
            <w:tcW w:w="1858" w:type="dxa"/>
            <w:vAlign w:val="center"/>
          </w:tcPr>
          <w:p w14:paraId="360B469F" w14:textId="50CA63C4" w:rsidR="00F77F6D" w:rsidRPr="00CB1E53" w:rsidRDefault="005C529B" w:rsidP="00FD11D9">
            <w:pPr>
              <w:autoSpaceDE w:val="0"/>
              <w:autoSpaceDN w:val="0"/>
              <w:adjustRightInd w:val="0"/>
              <w:spacing w:before="20" w:after="20"/>
              <w:jc w:val="both"/>
              <w:rPr>
                <w:rFonts w:ascii="Segoe UI" w:hAnsi="Segoe UI" w:cs="Segoe UI"/>
                <w:b/>
                <w:bCs/>
                <w:sz w:val="18"/>
                <w:szCs w:val="18"/>
              </w:rPr>
            </w:pPr>
            <w:r>
              <w:rPr>
                <w:rFonts w:ascii="Segoe UI" w:hAnsi="Segoe UI" w:cs="Segoe UI"/>
                <w:color w:val="000000"/>
                <w:sz w:val="18"/>
                <w:szCs w:val="18"/>
                <w:lang w:val="ro-RO"/>
              </w:rPr>
              <w:t>18</w:t>
            </w:r>
            <w:r w:rsidR="00F77F6D" w:rsidRPr="00CB1E53">
              <w:rPr>
                <w:rFonts w:ascii="Segoe UI" w:hAnsi="Segoe UI" w:cs="Segoe UI"/>
                <w:color w:val="000000"/>
                <w:sz w:val="18"/>
                <w:szCs w:val="18"/>
              </w:rPr>
              <w:t xml:space="preserve"> percent</w:t>
            </w:r>
          </w:p>
        </w:tc>
        <w:tc>
          <w:tcPr>
            <w:tcW w:w="1858" w:type="dxa"/>
            <w:vAlign w:val="center"/>
          </w:tcPr>
          <w:p w14:paraId="69A11C1F" w14:textId="7F62264C"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9" w:type="dxa"/>
            <w:vAlign w:val="center"/>
          </w:tcPr>
          <w:p w14:paraId="64C0D3B6"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6 percent</w:t>
            </w:r>
          </w:p>
        </w:tc>
      </w:tr>
      <w:tr w:rsidR="00F77F6D" w:rsidRPr="00CB1E53" w14:paraId="4019B180" w14:textId="77777777" w:rsidTr="001413B7">
        <w:tc>
          <w:tcPr>
            <w:tcW w:w="3775" w:type="dxa"/>
            <w:vAlign w:val="center"/>
          </w:tcPr>
          <w:p w14:paraId="52E74707"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Individuals, self-employed persons</w:t>
            </w:r>
          </w:p>
        </w:tc>
        <w:tc>
          <w:tcPr>
            <w:tcW w:w="1858" w:type="dxa"/>
            <w:vAlign w:val="center"/>
          </w:tcPr>
          <w:p w14:paraId="0D9CB103"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8" w:type="dxa"/>
            <w:vAlign w:val="center"/>
          </w:tcPr>
          <w:p w14:paraId="4F3F6EEB" w14:textId="730C0468"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 xml:space="preserve">MDL </w:t>
            </w:r>
            <w:r w:rsidR="00531AC0" w:rsidRPr="00531AC0">
              <w:rPr>
                <w:rFonts w:ascii="Segoe UI" w:hAnsi="Segoe UI" w:cs="Segoe UI"/>
                <w:color w:val="000000"/>
                <w:sz w:val="18"/>
                <w:szCs w:val="18"/>
              </w:rPr>
              <w:t>12</w:t>
            </w:r>
            <w:r w:rsidR="00D83E71">
              <w:rPr>
                <w:rFonts w:ascii="Segoe UI" w:hAnsi="Segoe UI" w:cs="Segoe UI"/>
                <w:color w:val="000000"/>
                <w:sz w:val="18"/>
                <w:szCs w:val="18"/>
              </w:rPr>
              <w:t>,</w:t>
            </w:r>
            <w:r w:rsidR="00531AC0" w:rsidRPr="00531AC0">
              <w:rPr>
                <w:rFonts w:ascii="Segoe UI" w:hAnsi="Segoe UI" w:cs="Segoe UI"/>
                <w:color w:val="000000"/>
                <w:sz w:val="18"/>
                <w:szCs w:val="18"/>
              </w:rPr>
              <w:t>838</w:t>
            </w:r>
          </w:p>
        </w:tc>
        <w:tc>
          <w:tcPr>
            <w:tcW w:w="1859" w:type="dxa"/>
            <w:vAlign w:val="center"/>
          </w:tcPr>
          <w:p w14:paraId="4F8F1B5D"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42828611" w14:textId="77777777" w:rsidTr="001413B7">
        <w:tc>
          <w:tcPr>
            <w:tcW w:w="3775" w:type="dxa"/>
            <w:vAlign w:val="center"/>
          </w:tcPr>
          <w:p w14:paraId="34BB58DD" w14:textId="3EE480CE" w:rsidR="00F77F6D" w:rsidRPr="0004545B" w:rsidRDefault="002E05E5" w:rsidP="00FD11D9">
            <w:pPr>
              <w:autoSpaceDE w:val="0"/>
              <w:autoSpaceDN w:val="0"/>
              <w:adjustRightInd w:val="0"/>
              <w:spacing w:before="20" w:after="20"/>
              <w:jc w:val="both"/>
              <w:rPr>
                <w:rFonts w:ascii="Segoe UI" w:hAnsi="Segoe UI" w:cs="Segoe UI"/>
                <w:b/>
                <w:bCs/>
                <w:sz w:val="18"/>
                <w:szCs w:val="18"/>
              </w:rPr>
            </w:pPr>
            <w:r w:rsidRPr="0004545B">
              <w:rPr>
                <w:rFonts w:ascii="Segoe UI" w:hAnsi="Segoe UI" w:cs="Segoe UI"/>
                <w:color w:val="000000"/>
                <w:sz w:val="18"/>
                <w:szCs w:val="18"/>
              </w:rPr>
              <w:t>Farming</w:t>
            </w:r>
            <w:r w:rsidR="00F77F6D" w:rsidRPr="0004545B">
              <w:rPr>
                <w:rFonts w:ascii="Segoe UI" w:hAnsi="Segoe UI" w:cs="Segoe UI"/>
                <w:color w:val="000000"/>
                <w:sz w:val="18"/>
                <w:szCs w:val="18"/>
              </w:rPr>
              <w:t xml:space="preserve"> households</w:t>
            </w:r>
          </w:p>
        </w:tc>
        <w:tc>
          <w:tcPr>
            <w:tcW w:w="1858" w:type="dxa"/>
            <w:vAlign w:val="center"/>
          </w:tcPr>
          <w:p w14:paraId="124CD634" w14:textId="77777777" w:rsidR="00F77F6D" w:rsidRPr="0004545B" w:rsidRDefault="00F77F6D" w:rsidP="00FD11D9">
            <w:pPr>
              <w:autoSpaceDE w:val="0"/>
              <w:autoSpaceDN w:val="0"/>
              <w:adjustRightInd w:val="0"/>
              <w:spacing w:before="20" w:after="20"/>
              <w:jc w:val="both"/>
              <w:rPr>
                <w:rFonts w:ascii="Segoe UI" w:hAnsi="Segoe UI" w:cs="Segoe UI"/>
                <w:b/>
                <w:bCs/>
                <w:sz w:val="18"/>
                <w:szCs w:val="18"/>
              </w:rPr>
            </w:pPr>
          </w:p>
        </w:tc>
        <w:tc>
          <w:tcPr>
            <w:tcW w:w="1858" w:type="dxa"/>
            <w:vAlign w:val="center"/>
          </w:tcPr>
          <w:p w14:paraId="28C23A0C" w14:textId="6094AB9F" w:rsidR="00F77F6D" w:rsidRPr="0004545B" w:rsidRDefault="00F77F6D" w:rsidP="00FD11D9">
            <w:pPr>
              <w:autoSpaceDE w:val="0"/>
              <w:autoSpaceDN w:val="0"/>
              <w:adjustRightInd w:val="0"/>
              <w:spacing w:before="20" w:after="20"/>
              <w:jc w:val="both"/>
              <w:rPr>
                <w:rFonts w:ascii="Segoe UI" w:hAnsi="Segoe UI" w:cs="Segoe UI"/>
                <w:b/>
                <w:bCs/>
                <w:sz w:val="18"/>
                <w:szCs w:val="18"/>
              </w:rPr>
            </w:pPr>
            <w:r w:rsidRPr="0004545B">
              <w:rPr>
                <w:rFonts w:ascii="Segoe UI" w:hAnsi="Segoe UI" w:cs="Segoe UI"/>
                <w:color w:val="000000"/>
                <w:sz w:val="18"/>
                <w:szCs w:val="18"/>
              </w:rPr>
              <w:t xml:space="preserve">MDL </w:t>
            </w:r>
            <w:r w:rsidR="00531AC0" w:rsidRPr="0004545B">
              <w:rPr>
                <w:rFonts w:ascii="Segoe UI" w:hAnsi="Segoe UI" w:cs="Segoe UI"/>
                <w:color w:val="000000"/>
                <w:sz w:val="18"/>
                <w:szCs w:val="18"/>
              </w:rPr>
              <w:t>12</w:t>
            </w:r>
            <w:r w:rsidR="00D83E71">
              <w:rPr>
                <w:rFonts w:ascii="Segoe UI" w:hAnsi="Segoe UI" w:cs="Segoe UI"/>
                <w:color w:val="000000"/>
                <w:sz w:val="18"/>
                <w:szCs w:val="18"/>
              </w:rPr>
              <w:t>,</w:t>
            </w:r>
            <w:r w:rsidR="00531AC0" w:rsidRPr="0004545B">
              <w:rPr>
                <w:rFonts w:ascii="Segoe UI" w:hAnsi="Segoe UI" w:cs="Segoe UI"/>
                <w:color w:val="000000"/>
                <w:sz w:val="18"/>
                <w:szCs w:val="18"/>
              </w:rPr>
              <w:t>838</w:t>
            </w:r>
          </w:p>
        </w:tc>
        <w:tc>
          <w:tcPr>
            <w:tcW w:w="1859" w:type="dxa"/>
            <w:vAlign w:val="center"/>
          </w:tcPr>
          <w:p w14:paraId="3E3997D4" w14:textId="77777777" w:rsidR="00F77F6D" w:rsidRPr="0004545B"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489A3280" w14:textId="77777777" w:rsidTr="001413B7">
        <w:tc>
          <w:tcPr>
            <w:tcW w:w="3775" w:type="dxa"/>
            <w:vAlign w:val="center"/>
          </w:tcPr>
          <w:p w14:paraId="245E2327"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Voluntary insurance</w:t>
            </w:r>
          </w:p>
        </w:tc>
        <w:tc>
          <w:tcPr>
            <w:tcW w:w="1858" w:type="dxa"/>
            <w:vAlign w:val="center"/>
          </w:tcPr>
          <w:p w14:paraId="4A775500"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8" w:type="dxa"/>
            <w:vAlign w:val="center"/>
          </w:tcPr>
          <w:p w14:paraId="5F04C5ED" w14:textId="185CBC3F"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 xml:space="preserve">MDL </w:t>
            </w:r>
            <w:r w:rsidR="002B262A" w:rsidRPr="002B262A">
              <w:rPr>
                <w:rFonts w:ascii="Segoe UI" w:hAnsi="Segoe UI" w:cs="Segoe UI"/>
                <w:color w:val="000000"/>
                <w:sz w:val="18"/>
                <w:szCs w:val="18"/>
              </w:rPr>
              <w:t>12</w:t>
            </w:r>
            <w:r w:rsidR="00D83E71">
              <w:rPr>
                <w:rFonts w:ascii="Segoe UI" w:hAnsi="Segoe UI" w:cs="Segoe UI"/>
                <w:color w:val="000000"/>
                <w:sz w:val="18"/>
                <w:szCs w:val="18"/>
              </w:rPr>
              <w:t>,</w:t>
            </w:r>
            <w:r w:rsidR="002B262A" w:rsidRPr="002B262A">
              <w:rPr>
                <w:rFonts w:ascii="Segoe UI" w:hAnsi="Segoe UI" w:cs="Segoe UI"/>
                <w:color w:val="000000"/>
                <w:sz w:val="18"/>
                <w:szCs w:val="18"/>
              </w:rPr>
              <w:t>838</w:t>
            </w:r>
          </w:p>
        </w:tc>
        <w:tc>
          <w:tcPr>
            <w:tcW w:w="1859" w:type="dxa"/>
            <w:vAlign w:val="center"/>
          </w:tcPr>
          <w:p w14:paraId="552A08A3"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5A8BD2A9" w14:textId="77777777" w:rsidTr="001413B7">
        <w:tc>
          <w:tcPr>
            <w:tcW w:w="3775" w:type="dxa"/>
            <w:vAlign w:val="center"/>
          </w:tcPr>
          <w:p w14:paraId="5E9037CF" w14:textId="77777777" w:rsidR="00F77F6D" w:rsidRPr="00CB1E53" w:rsidRDefault="00F77F6D" w:rsidP="00FD11D9">
            <w:pPr>
              <w:autoSpaceDE w:val="0"/>
              <w:autoSpaceDN w:val="0"/>
              <w:adjustRightInd w:val="0"/>
              <w:spacing w:before="20" w:after="20"/>
              <w:jc w:val="both"/>
              <w:rPr>
                <w:rFonts w:ascii="Segoe UI" w:hAnsi="Segoe UI" w:cs="Segoe UI"/>
                <w:color w:val="000000"/>
                <w:sz w:val="18"/>
                <w:szCs w:val="18"/>
              </w:rPr>
            </w:pPr>
            <w:r w:rsidRPr="00CB1E53">
              <w:rPr>
                <w:rFonts w:ascii="Segoe UI" w:hAnsi="Segoe UI" w:cs="Segoe UI"/>
                <w:color w:val="000000"/>
                <w:sz w:val="18"/>
                <w:szCs w:val="18"/>
              </w:rPr>
              <w:t>Residents of information technology parks</w:t>
            </w:r>
          </w:p>
        </w:tc>
        <w:tc>
          <w:tcPr>
            <w:tcW w:w="1858" w:type="dxa"/>
            <w:vAlign w:val="center"/>
          </w:tcPr>
          <w:p w14:paraId="5DB9DBD6"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8" w:type="dxa"/>
            <w:vAlign w:val="center"/>
          </w:tcPr>
          <w:p w14:paraId="3E338034" w14:textId="6ABCCD20"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54</w:t>
            </w:r>
            <w:r w:rsidR="001413B7" w:rsidRPr="00CB1E53">
              <w:rPr>
                <w:rFonts w:ascii="Segoe UI" w:hAnsi="Segoe UI" w:cs="Segoe UI"/>
                <w:color w:val="000000"/>
                <w:sz w:val="18"/>
                <w:szCs w:val="18"/>
              </w:rPr>
              <w:t>.</w:t>
            </w:r>
            <w:r w:rsidRPr="00CB1E53">
              <w:rPr>
                <w:rFonts w:ascii="Segoe UI" w:hAnsi="Segoe UI" w:cs="Segoe UI"/>
                <w:color w:val="000000"/>
                <w:sz w:val="18"/>
                <w:szCs w:val="18"/>
              </w:rPr>
              <w:t>7</w:t>
            </w:r>
            <w:r w:rsidR="001413B7" w:rsidRPr="00CB1E53">
              <w:rPr>
                <w:rFonts w:ascii="Segoe UI" w:hAnsi="Segoe UI" w:cs="Segoe UI"/>
                <w:color w:val="000000"/>
                <w:sz w:val="18"/>
                <w:szCs w:val="18"/>
              </w:rPr>
              <w:t xml:space="preserve"> percent</w:t>
            </w:r>
            <w:r w:rsidRPr="00CB1E53">
              <w:rPr>
                <w:rFonts w:ascii="Segoe UI" w:hAnsi="Segoe UI" w:cs="Segoe UI"/>
                <w:color w:val="000000"/>
                <w:sz w:val="18"/>
                <w:szCs w:val="18"/>
              </w:rPr>
              <w:t xml:space="preserve"> </w:t>
            </w:r>
            <w:r w:rsidR="008431E9" w:rsidRPr="00382BDA">
              <w:rPr>
                <w:rFonts w:ascii="Segoe UI" w:hAnsi="Segoe UI" w:cs="Segoe UI"/>
                <w:bCs/>
                <w:sz w:val="18"/>
                <w:szCs w:val="18"/>
              </w:rPr>
              <w:t>from a reduced unified tax rate of 7</w:t>
            </w:r>
            <w:r w:rsidR="00215F5D">
              <w:rPr>
                <w:rFonts w:ascii="Segoe UI" w:hAnsi="Segoe UI" w:cs="Segoe UI"/>
                <w:bCs/>
                <w:sz w:val="18"/>
                <w:szCs w:val="18"/>
              </w:rPr>
              <w:t xml:space="preserve"> percent</w:t>
            </w:r>
            <w:r w:rsidR="008431E9" w:rsidRPr="00382BDA">
              <w:rPr>
                <w:rFonts w:ascii="Segoe UI" w:hAnsi="Segoe UI" w:cs="Segoe UI"/>
                <w:bCs/>
                <w:sz w:val="18"/>
                <w:szCs w:val="18"/>
              </w:rPr>
              <w:t>.</w:t>
            </w:r>
          </w:p>
        </w:tc>
        <w:tc>
          <w:tcPr>
            <w:tcW w:w="1859" w:type="dxa"/>
            <w:vAlign w:val="center"/>
          </w:tcPr>
          <w:p w14:paraId="58CA0E1A"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7C14DFDC" w14:textId="77777777" w:rsidTr="001413B7">
        <w:tc>
          <w:tcPr>
            <w:tcW w:w="3775" w:type="dxa"/>
            <w:vAlign w:val="center"/>
          </w:tcPr>
          <w:p w14:paraId="411D87B8"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b/>
                <w:bCs/>
                <w:color w:val="000000"/>
                <w:sz w:val="18"/>
                <w:szCs w:val="18"/>
              </w:rPr>
              <w:t>Medical contributions</w:t>
            </w:r>
          </w:p>
        </w:tc>
        <w:tc>
          <w:tcPr>
            <w:tcW w:w="1858" w:type="dxa"/>
            <w:vAlign w:val="center"/>
          </w:tcPr>
          <w:p w14:paraId="24EC6E05"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8" w:type="dxa"/>
            <w:vAlign w:val="center"/>
          </w:tcPr>
          <w:p w14:paraId="1D4576EE"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c>
          <w:tcPr>
            <w:tcW w:w="1859" w:type="dxa"/>
            <w:vAlign w:val="center"/>
          </w:tcPr>
          <w:p w14:paraId="0CF05C62"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r w:rsidR="00F77F6D" w:rsidRPr="00CB1E53" w14:paraId="385D9177" w14:textId="77777777" w:rsidTr="002D18AE">
        <w:tc>
          <w:tcPr>
            <w:tcW w:w="3775" w:type="dxa"/>
          </w:tcPr>
          <w:p w14:paraId="47DCE6F8"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r w:rsidRPr="00CB1E53">
              <w:rPr>
                <w:rFonts w:ascii="Segoe UI" w:hAnsi="Segoe UI" w:cs="Segoe UI"/>
                <w:color w:val="000000"/>
                <w:sz w:val="18"/>
                <w:szCs w:val="18"/>
              </w:rPr>
              <w:t>Employees with individual employment contract</w:t>
            </w:r>
          </w:p>
        </w:tc>
        <w:tc>
          <w:tcPr>
            <w:tcW w:w="1858" w:type="dxa"/>
            <w:vAlign w:val="center"/>
          </w:tcPr>
          <w:p w14:paraId="00958F3D" w14:textId="2E524884" w:rsidR="00F77F6D" w:rsidRPr="00CB1E53" w:rsidRDefault="00F77F6D" w:rsidP="00FD11D9">
            <w:pPr>
              <w:autoSpaceDE w:val="0"/>
              <w:autoSpaceDN w:val="0"/>
              <w:adjustRightInd w:val="0"/>
              <w:spacing w:before="20" w:after="20"/>
              <w:jc w:val="both"/>
              <w:rPr>
                <w:rFonts w:ascii="Segoe UI" w:hAnsi="Segoe UI" w:cs="Segoe UI"/>
                <w:color w:val="000000"/>
                <w:sz w:val="18"/>
                <w:szCs w:val="18"/>
              </w:rPr>
            </w:pPr>
          </w:p>
        </w:tc>
        <w:tc>
          <w:tcPr>
            <w:tcW w:w="1858" w:type="dxa"/>
            <w:vAlign w:val="center"/>
          </w:tcPr>
          <w:p w14:paraId="04A4D428" w14:textId="202A8AE6" w:rsidR="00F77F6D" w:rsidRPr="00CB1E53" w:rsidRDefault="00420468" w:rsidP="00FD11D9">
            <w:pPr>
              <w:autoSpaceDE w:val="0"/>
              <w:autoSpaceDN w:val="0"/>
              <w:adjustRightInd w:val="0"/>
              <w:spacing w:before="20" w:after="20"/>
              <w:jc w:val="both"/>
              <w:rPr>
                <w:rFonts w:ascii="Segoe UI" w:hAnsi="Segoe UI" w:cs="Segoe UI"/>
                <w:b/>
                <w:bCs/>
                <w:sz w:val="18"/>
                <w:szCs w:val="18"/>
              </w:rPr>
            </w:pPr>
            <w:r>
              <w:rPr>
                <w:rFonts w:ascii="Segoe UI" w:hAnsi="Segoe UI" w:cs="Segoe UI"/>
                <w:color w:val="000000"/>
                <w:sz w:val="18"/>
                <w:szCs w:val="18"/>
              </w:rPr>
              <w:t>9</w:t>
            </w:r>
            <w:r w:rsidR="002E05E5">
              <w:rPr>
                <w:rFonts w:ascii="Segoe UI" w:hAnsi="Segoe UI" w:cs="Segoe UI"/>
                <w:color w:val="000000"/>
                <w:sz w:val="18"/>
                <w:szCs w:val="18"/>
              </w:rPr>
              <w:t xml:space="preserve"> </w:t>
            </w:r>
            <w:r w:rsidR="00F77F6D" w:rsidRPr="00CB1E53">
              <w:rPr>
                <w:rFonts w:ascii="Segoe UI" w:hAnsi="Segoe UI" w:cs="Segoe UI"/>
                <w:color w:val="000000"/>
                <w:sz w:val="18"/>
                <w:szCs w:val="18"/>
              </w:rPr>
              <w:t>percent</w:t>
            </w:r>
          </w:p>
        </w:tc>
        <w:tc>
          <w:tcPr>
            <w:tcW w:w="1859" w:type="dxa"/>
          </w:tcPr>
          <w:p w14:paraId="426BB077" w14:textId="77777777" w:rsidR="00F77F6D" w:rsidRPr="00CB1E53" w:rsidRDefault="00F77F6D" w:rsidP="00FD11D9">
            <w:pPr>
              <w:autoSpaceDE w:val="0"/>
              <w:autoSpaceDN w:val="0"/>
              <w:adjustRightInd w:val="0"/>
              <w:spacing w:before="20" w:after="20"/>
              <w:jc w:val="both"/>
              <w:rPr>
                <w:rFonts w:ascii="Segoe UI" w:hAnsi="Segoe UI" w:cs="Segoe UI"/>
                <w:b/>
                <w:bCs/>
                <w:sz w:val="18"/>
                <w:szCs w:val="18"/>
              </w:rPr>
            </w:pPr>
          </w:p>
        </w:tc>
      </w:tr>
    </w:tbl>
    <w:p w14:paraId="08652832" w14:textId="77777777" w:rsidR="00F77F6D" w:rsidRPr="00CB1E53" w:rsidRDefault="00F77F6D" w:rsidP="00FD11D9">
      <w:pPr>
        <w:autoSpaceDE w:val="0"/>
        <w:autoSpaceDN w:val="0"/>
        <w:adjustRightInd w:val="0"/>
        <w:spacing w:after="0" w:line="240" w:lineRule="auto"/>
        <w:jc w:val="both"/>
        <w:rPr>
          <w:rFonts w:ascii="Segoe UI" w:hAnsi="Segoe UI" w:cs="Segoe UI"/>
          <w:b/>
          <w:bCs/>
          <w:color w:val="FFFFFF"/>
          <w:sz w:val="20"/>
          <w:szCs w:val="20"/>
        </w:rPr>
      </w:pPr>
      <w:r w:rsidRPr="00CB1E53">
        <w:rPr>
          <w:rFonts w:ascii="Segoe UI" w:hAnsi="Segoe UI" w:cs="Segoe UI"/>
          <w:b/>
          <w:bCs/>
          <w:color w:val="FFFFFF"/>
          <w:sz w:val="20"/>
          <w:szCs w:val="20"/>
        </w:rPr>
        <w:t>al Security Contributions Contribution amount</w:t>
      </w:r>
    </w:p>
    <w:p w14:paraId="2BC3C63B" w14:textId="77777777" w:rsidR="00F77F6D" w:rsidRPr="00CB1E53" w:rsidRDefault="00F77F6D" w:rsidP="00FD11D9">
      <w:pPr>
        <w:autoSpaceDE w:val="0"/>
        <w:autoSpaceDN w:val="0"/>
        <w:adjustRightInd w:val="0"/>
        <w:spacing w:after="240" w:line="264" w:lineRule="auto"/>
        <w:jc w:val="both"/>
        <w:rPr>
          <w:rFonts w:ascii="Segoe UI" w:hAnsi="Segoe UI" w:cs="Segoe UI"/>
          <w:i/>
          <w:iCs/>
          <w:sz w:val="21"/>
          <w:szCs w:val="21"/>
        </w:rPr>
      </w:pPr>
      <w:r w:rsidRPr="00CB1E53">
        <w:rPr>
          <w:rFonts w:ascii="Segoe UI" w:hAnsi="Segoe UI" w:cs="Segoe UI"/>
          <w:i/>
          <w:iCs/>
          <w:sz w:val="21"/>
          <w:szCs w:val="21"/>
        </w:rPr>
        <w:t>Investment Income</w:t>
      </w:r>
    </w:p>
    <w:p w14:paraId="10988487"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Unit of taxation:</w:t>
      </w:r>
      <w:r w:rsidRPr="00CB1E53">
        <w:rPr>
          <w:rFonts w:ascii="Segoe UI" w:hAnsi="Segoe UI" w:cs="Segoe UI"/>
          <w:color w:val="000000"/>
          <w:sz w:val="21"/>
          <w:szCs w:val="21"/>
        </w:rPr>
        <w:t xml:space="preserve"> The benchmark unit of taxation is a single individual that is a resident in Moldova.</w:t>
      </w:r>
    </w:p>
    <w:p w14:paraId="4620E045"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Taxation period:</w:t>
      </w:r>
      <w:r w:rsidRPr="00CB1E53">
        <w:rPr>
          <w:rFonts w:ascii="Segoe UI" w:hAnsi="Segoe UI" w:cs="Segoe UI"/>
          <w:color w:val="000000"/>
          <w:sz w:val="21"/>
          <w:szCs w:val="21"/>
        </w:rPr>
        <w:t xml:space="preserve"> The benchmark tax period is the calendar year.</w:t>
      </w:r>
    </w:p>
    <w:p w14:paraId="76489DDD" w14:textId="77B38DE6"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 base:</w:t>
      </w:r>
      <w:r w:rsidRPr="00CB1E53">
        <w:rPr>
          <w:rFonts w:ascii="Segoe UI" w:hAnsi="Segoe UI" w:cs="Segoe UI"/>
          <w:color w:val="000000"/>
          <w:sz w:val="21"/>
          <w:szCs w:val="21"/>
        </w:rPr>
        <w:t xml:space="preserve"> Amounts received domestically in the following forms</w:t>
      </w:r>
      <w:r w:rsidR="007C2B84"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dividends, Interest, </w:t>
      </w:r>
      <w:r w:rsidR="007C2B84" w:rsidRPr="00CB1E53">
        <w:rPr>
          <w:rFonts w:ascii="Segoe UI" w:hAnsi="Segoe UI" w:cs="Segoe UI"/>
          <w:color w:val="000000"/>
          <w:sz w:val="21"/>
          <w:szCs w:val="21"/>
        </w:rPr>
        <w:t>r</w:t>
      </w:r>
      <w:r w:rsidRPr="00CB1E53">
        <w:rPr>
          <w:rFonts w:ascii="Segoe UI" w:hAnsi="Segoe UI" w:cs="Segoe UI"/>
          <w:color w:val="000000"/>
          <w:sz w:val="21"/>
          <w:szCs w:val="21"/>
        </w:rPr>
        <w:t xml:space="preserve">oyalties, </w:t>
      </w:r>
      <w:r w:rsidR="007C2B84" w:rsidRPr="00CB1E53">
        <w:rPr>
          <w:rFonts w:ascii="Segoe UI" w:hAnsi="Segoe UI" w:cs="Segoe UI"/>
          <w:color w:val="000000"/>
          <w:sz w:val="21"/>
          <w:szCs w:val="21"/>
        </w:rPr>
        <w:t>r</w:t>
      </w:r>
      <w:r w:rsidRPr="00CB1E53">
        <w:rPr>
          <w:rFonts w:ascii="Segoe UI" w:hAnsi="Segoe UI" w:cs="Segoe UI"/>
          <w:color w:val="000000"/>
          <w:sz w:val="21"/>
          <w:szCs w:val="21"/>
        </w:rPr>
        <w:t>ental income.</w:t>
      </w:r>
    </w:p>
    <w:p w14:paraId="5ADD2F94" w14:textId="3163268D"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 rate structure:</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 xml:space="preserve">various </w:t>
      </w:r>
      <w:r w:rsidR="00675299" w:rsidRPr="00CB1E53">
        <w:rPr>
          <w:rFonts w:ascii="Segoe UI" w:hAnsi="Segoe UI" w:cs="Segoe UI"/>
          <w:color w:val="000000"/>
          <w:sz w:val="21"/>
          <w:szCs w:val="21"/>
        </w:rPr>
        <w:t>withholding tax</w:t>
      </w:r>
      <w:r w:rsidRPr="00CB1E53">
        <w:rPr>
          <w:rFonts w:ascii="Segoe UI" w:hAnsi="Segoe UI" w:cs="Segoe UI"/>
          <w:color w:val="000000"/>
          <w:sz w:val="21"/>
          <w:szCs w:val="21"/>
        </w:rPr>
        <w:t xml:space="preserve"> rates are applied to different types of income:</w:t>
      </w:r>
    </w:p>
    <w:p w14:paraId="609A6314"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Dividends paid out to individuals who are residents of Moldova are taxed at a 6 percent tax rate. That can be understood as an alleviation (relief) of economic double taxation – the withholding tax is final, which implies that the dividends are not subject to the standard tax rate of 12 percent.</w:t>
      </w:r>
    </w:p>
    <w:p w14:paraId="1DD7E8FC" w14:textId="602BC3F8"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A higher withholding tax of 15 percent applies to dividends related to the non-distributed profit obtained during the fiscal periods 2008-2011. While the latter provides an example of a negative </w:t>
      </w:r>
      <w:r w:rsidR="009430CA" w:rsidRPr="00CB1E53">
        <w:rPr>
          <w:rFonts w:ascii="Segoe UI" w:hAnsi="Segoe UI" w:cs="Segoe UI"/>
          <w:sz w:val="21"/>
          <w:szCs w:val="21"/>
        </w:rPr>
        <w:t>TE</w:t>
      </w:r>
      <w:r w:rsidRPr="00CB1E53">
        <w:rPr>
          <w:rFonts w:ascii="Segoe UI" w:hAnsi="Segoe UI" w:cs="Segoe UI"/>
          <w:sz w:val="21"/>
          <w:szCs w:val="21"/>
        </w:rPr>
        <w:t xml:space="preserve"> (the tax levied on dividend payouts exceeds the standard PIT rate), this rule is currently of limited importance.</w:t>
      </w:r>
    </w:p>
    <w:p w14:paraId="7F11C28A"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 xml:space="preserve">Interest and royalty income are taxed at 12 percent tax rate. </w:t>
      </w:r>
    </w:p>
    <w:p w14:paraId="676134C5"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lastRenderedPageBreak/>
        <w:t>Rental income is taxed at a rate of 10 percent (in case of rental to legal entities) and 7 percent (rental to natural persons).</w:t>
      </w:r>
    </w:p>
    <w:p w14:paraId="03BA401F"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The following specific rule may be regarded as benchmark for investment income:</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double taxation relief for the final withholding tax on dividends in form of the reduced tax rate of 6 percent.</w:t>
      </w:r>
    </w:p>
    <w:p w14:paraId="3338CE5E" w14:textId="75C2601B" w:rsidR="00F77F6D" w:rsidRPr="00CB1E53" w:rsidRDefault="001C5875" w:rsidP="00FD11D9">
      <w:pPr>
        <w:pStyle w:val="Heading3"/>
        <w:jc w:val="both"/>
        <w:rPr>
          <w:rStyle w:val="RegularDKB"/>
          <w:caps w:val="0"/>
        </w:rPr>
      </w:pPr>
      <w:bookmarkStart w:id="21" w:name="_Toc99298768"/>
      <w:bookmarkStart w:id="22" w:name="_Hlk95891799"/>
      <w:r w:rsidRPr="00CB1E53">
        <w:rPr>
          <w:rStyle w:val="RegularDKB"/>
          <w:caps w:val="0"/>
        </w:rPr>
        <w:t>Business</w:t>
      </w:r>
      <w:r w:rsidR="00F77F6D" w:rsidRPr="00CB1E53">
        <w:rPr>
          <w:rStyle w:val="RegularDKB"/>
          <w:caps w:val="0"/>
        </w:rPr>
        <w:t xml:space="preserve"> income tax</w:t>
      </w:r>
      <w:bookmarkEnd w:id="21"/>
    </w:p>
    <w:p w14:paraId="2551AE76" w14:textId="194C15CD" w:rsidR="00F77F6D" w:rsidRPr="00CB1E53" w:rsidRDefault="001C5875" w:rsidP="00FD11D9">
      <w:pPr>
        <w:pStyle w:val="Heading4"/>
        <w:spacing w:after="120" w:line="264" w:lineRule="auto"/>
        <w:jc w:val="both"/>
        <w:rPr>
          <w:rFonts w:ascii="Segoe UI" w:hAnsi="Segoe UI" w:cs="Segoe UI"/>
          <w:i w:val="0"/>
          <w:iCs/>
          <w:sz w:val="21"/>
          <w:szCs w:val="21"/>
        </w:rPr>
      </w:pPr>
      <w:r w:rsidRPr="00CB1E53">
        <w:rPr>
          <w:rFonts w:ascii="Segoe UI" w:hAnsi="Segoe UI" w:cs="Segoe UI"/>
          <w:color w:val="004C97" w:themeColor="text2"/>
          <w:sz w:val="21"/>
          <w:szCs w:val="21"/>
        </w:rPr>
        <w:t>C</w:t>
      </w:r>
      <w:r w:rsidR="00F77F6D" w:rsidRPr="00CB1E53">
        <w:rPr>
          <w:rFonts w:ascii="Segoe UI" w:hAnsi="Segoe UI" w:cs="Segoe UI"/>
          <w:color w:val="004C97" w:themeColor="text2"/>
          <w:sz w:val="21"/>
          <w:szCs w:val="21"/>
        </w:rPr>
        <w:t>ommon approach</w:t>
      </w:r>
    </w:p>
    <w:p w14:paraId="499EB531" w14:textId="2154EB67"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iCs/>
          <w:sz w:val="21"/>
          <w:szCs w:val="21"/>
        </w:rPr>
        <w:t xml:space="preserve">Under a standard CIT, the </w:t>
      </w:r>
      <w:r w:rsidRPr="00CB1E53">
        <w:rPr>
          <w:rFonts w:ascii="Segoe UI" w:hAnsi="Segoe UI" w:cs="Segoe UI"/>
          <w:sz w:val="21"/>
          <w:szCs w:val="21"/>
        </w:rPr>
        <w:t>benchmark should be based on the prevailing tax on profits with a single rate of tax and no tax relief, other than for usual business expenses. However, if a higher corporate tax rate (or rates) applies on some sectors because of location-specific rent (for example, for extractive industries), this should be disregarded when identifying the highest rate for defining the benchmark applied to sectors without location-specific rent.</w:t>
      </w:r>
      <w:r w:rsidR="00E5565E">
        <w:rPr>
          <w:rStyle w:val="FootnoteReference"/>
          <w:rFonts w:ascii="Segoe UI" w:hAnsi="Segoe UI" w:cs="Segoe UI"/>
          <w:szCs w:val="21"/>
        </w:rPr>
        <w:footnoteReference w:id="13"/>
      </w:r>
      <w:r w:rsidRPr="00CB1E53">
        <w:rPr>
          <w:rFonts w:ascii="Segoe UI" w:hAnsi="Segoe UI" w:cs="Segoe UI"/>
          <w:sz w:val="21"/>
          <w:szCs w:val="21"/>
        </w:rPr>
        <w:t xml:space="preserve"> Certain business expenses pose challenges in defining the benchmark. For example, should depreciation allowances be based on economic depreciation or accelerated (tax) depreciation, which provides a timing advantage? Should financing costs, such as interest expenses, be allowed without limit, or should limits on interest deductibility be accounted for as a “negative </w:t>
      </w:r>
      <w:r w:rsidR="009430CA" w:rsidRPr="00CB1E53">
        <w:rPr>
          <w:rFonts w:ascii="Segoe UI" w:hAnsi="Segoe UI" w:cs="Segoe UI"/>
          <w:sz w:val="21"/>
          <w:szCs w:val="21"/>
        </w:rPr>
        <w:t>TE</w:t>
      </w:r>
      <w:r w:rsidRPr="00CB1E53">
        <w:rPr>
          <w:rFonts w:ascii="Segoe UI" w:hAnsi="Segoe UI" w:cs="Segoe UI"/>
          <w:sz w:val="21"/>
          <w:szCs w:val="21"/>
        </w:rPr>
        <w:t>”?</w:t>
      </w:r>
      <w:r w:rsidRPr="00CB1E53">
        <w:rPr>
          <w:rStyle w:val="FootnoteReference"/>
          <w:rFonts w:ascii="Segoe UI" w:hAnsi="Segoe UI" w:cs="Segoe UI"/>
          <w:sz w:val="21"/>
          <w:szCs w:val="21"/>
        </w:rPr>
        <w:footnoteReference w:id="14"/>
      </w:r>
      <w:r w:rsidRPr="00CB1E53">
        <w:rPr>
          <w:rFonts w:ascii="Segoe UI" w:hAnsi="Segoe UI" w:cs="Segoe UI"/>
          <w:sz w:val="21"/>
          <w:szCs w:val="21"/>
        </w:rPr>
        <w:t xml:space="preserve"> There is no globally uniform approach, but it is important to be consistent, irrespective of the expenses incurred. Moldova favors a reasonable decision whereby we consider all timing issues as TEs, but all provisions against tax avoidance or base erosion as part of the benchmark. </w:t>
      </w:r>
    </w:p>
    <w:p w14:paraId="736061DF" w14:textId="47AFBE7E" w:rsidR="00F77F6D" w:rsidRPr="00CB1E53" w:rsidRDefault="00F77F6D" w:rsidP="00FD11D9">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BIT design</w:t>
      </w:r>
    </w:p>
    <w:p w14:paraId="53979362" w14:textId="0D4B4786" w:rsidR="00F77F6D" w:rsidRPr="00CB1E53" w:rsidRDefault="00F77F6D" w:rsidP="00FD11D9">
      <w:pPr>
        <w:autoSpaceDE w:val="0"/>
        <w:autoSpaceDN w:val="0"/>
        <w:adjustRightInd w:val="0"/>
        <w:spacing w:after="240" w:line="264" w:lineRule="auto"/>
        <w:jc w:val="both"/>
        <w:rPr>
          <w:rFonts w:ascii="Segoe UI" w:hAnsi="Segoe UI" w:cs="Segoe UI"/>
          <w:sz w:val="21"/>
          <w:szCs w:val="21"/>
        </w:rPr>
      </w:pPr>
      <w:r w:rsidRPr="00CB1E53">
        <w:rPr>
          <w:rFonts w:ascii="Segoe UI" w:hAnsi="Segoe UI" w:cs="Segoe UI"/>
          <w:sz w:val="21"/>
          <w:szCs w:val="21"/>
        </w:rPr>
        <w:t>In Moldova, business income regardless of the legal form is subject to a single income tax, referred to in this report as the business income tax</w:t>
      </w:r>
      <w:r w:rsidR="00CF2AB8">
        <w:rPr>
          <w:rFonts w:ascii="Segoe UI" w:hAnsi="Segoe UI" w:cs="Segoe UI"/>
          <w:sz w:val="21"/>
          <w:szCs w:val="21"/>
        </w:rPr>
        <w:t xml:space="preserve">, or </w:t>
      </w:r>
      <w:r w:rsidRPr="00CB1E53">
        <w:rPr>
          <w:rFonts w:ascii="Segoe UI" w:hAnsi="Segoe UI" w:cs="Segoe UI"/>
          <w:sz w:val="21"/>
          <w:szCs w:val="21"/>
        </w:rPr>
        <w:t>BIT. Individuals carrying out business activity in different legal forms as well as companies are subject to BIT and file the same tax form (VEN12). It applies to various categories of taxpayers: legal entities (limited liability and joint stock companies), individual enterprises (VAT taxpayers), farming households (VAT taxpayers)</w:t>
      </w:r>
      <w:r w:rsidR="000D1D07">
        <w:rPr>
          <w:rFonts w:ascii="Segoe UI" w:hAnsi="Segoe UI" w:cs="Segoe UI"/>
          <w:sz w:val="21"/>
          <w:szCs w:val="21"/>
        </w:rPr>
        <w:t>,</w:t>
      </w:r>
      <w:r w:rsidRPr="00CB1E53">
        <w:rPr>
          <w:rFonts w:ascii="Segoe UI" w:hAnsi="Segoe UI" w:cs="Segoe UI"/>
          <w:sz w:val="21"/>
          <w:szCs w:val="21"/>
        </w:rPr>
        <w:t xml:space="preserve"> and natural persons carrying out professional activities, including those provided in legal area. </w:t>
      </w:r>
    </w:p>
    <w:p w14:paraId="42AD1D53" w14:textId="7A37CCB3"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In line with the approach proposed for PIT, the benchmark tax system for </w:t>
      </w:r>
      <w:r w:rsidR="000D1D07">
        <w:rPr>
          <w:rFonts w:ascii="Segoe UI" w:hAnsi="Segoe UI" w:cs="Segoe UI"/>
          <w:color w:val="000000"/>
          <w:sz w:val="21"/>
          <w:szCs w:val="21"/>
        </w:rPr>
        <w:t>BIT</w:t>
      </w:r>
      <w:r w:rsidRPr="00CB1E53">
        <w:rPr>
          <w:rFonts w:ascii="Segoe UI" w:hAnsi="Segoe UI" w:cs="Segoe UI"/>
          <w:color w:val="000000"/>
          <w:sz w:val="21"/>
          <w:szCs w:val="21"/>
        </w:rPr>
        <w:t xml:space="preserve"> is defined as the current tax system without provisions favoring certain categories of income, activities</w:t>
      </w:r>
      <w:r w:rsidR="00AB5C51" w:rsidRPr="00CB1E53">
        <w:rPr>
          <w:rFonts w:ascii="Segoe UI" w:hAnsi="Segoe UI" w:cs="Segoe UI"/>
          <w:color w:val="000000"/>
          <w:sz w:val="21"/>
          <w:szCs w:val="21"/>
        </w:rPr>
        <w:t>,</w:t>
      </w:r>
      <w:r w:rsidRPr="00CB1E53">
        <w:rPr>
          <w:rFonts w:ascii="Segoe UI" w:hAnsi="Segoe UI" w:cs="Segoe UI"/>
          <w:color w:val="000000"/>
          <w:sz w:val="21"/>
          <w:szCs w:val="21"/>
        </w:rPr>
        <w:t xml:space="preserve"> or groups of businesses. The elements of the benchmark also include unit of taxation, taxation period, the tax base and tax rates.</w:t>
      </w:r>
    </w:p>
    <w:p w14:paraId="064ACE33" w14:textId="444A6330"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lastRenderedPageBreak/>
        <w:t>Unit of taxation</w:t>
      </w:r>
      <w:r w:rsidRPr="00CB1E53">
        <w:rPr>
          <w:rFonts w:ascii="Segoe UI" w:hAnsi="Segoe UI" w:cs="Segoe UI"/>
          <w:color w:val="000000"/>
          <w:sz w:val="21"/>
          <w:szCs w:val="21"/>
        </w:rPr>
        <w:t>: The following entities fall under the BIT: single natural person carrying out business activity (sole proprietorship) single natural person carrying out independent (trade) activity; single natural person carrying out professional activity (in different areas); farming household (homestead): partnership (transparent entity – profit shares from a partnership); corporation (legal entity – limited liability company, joint stock company).</w:t>
      </w:r>
    </w:p>
    <w:p w14:paraId="5441434D"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Taxation period</w:t>
      </w:r>
      <w:r w:rsidRPr="00CB1E53">
        <w:rPr>
          <w:rFonts w:ascii="Segoe UI" w:hAnsi="Segoe UI" w:cs="Segoe UI"/>
          <w:color w:val="000000"/>
          <w:sz w:val="21"/>
          <w:szCs w:val="21"/>
        </w:rPr>
        <w:t>:</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The benchmark tax period is a calendar year. A qualifying taxpayer is eligible to apply any other twelve-month period as a tax period.</w:t>
      </w:r>
    </w:p>
    <w:p w14:paraId="64DBCA51" w14:textId="7777777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 base</w:t>
      </w:r>
      <w:r w:rsidRPr="00CB1E53">
        <w:rPr>
          <w:rFonts w:ascii="Segoe UI" w:hAnsi="Segoe UI" w:cs="Segoe UI"/>
          <w:color w:val="000000"/>
          <w:sz w:val="21"/>
          <w:szCs w:val="21"/>
        </w:rPr>
        <w:t>:</w:t>
      </w:r>
      <w:r w:rsidRPr="00CB1E53">
        <w:rPr>
          <w:rFonts w:ascii="Segoe UI" w:hAnsi="Segoe UI" w:cs="Segoe UI"/>
          <w:b/>
          <w:bCs/>
          <w:color w:val="000000"/>
          <w:sz w:val="21"/>
          <w:szCs w:val="21"/>
        </w:rPr>
        <w:t xml:space="preserve"> </w:t>
      </w:r>
      <w:r w:rsidRPr="00CB1E53">
        <w:rPr>
          <w:rFonts w:ascii="Segoe UI" w:hAnsi="Segoe UI" w:cs="Segoe UI"/>
          <w:color w:val="000000"/>
          <w:sz w:val="21"/>
          <w:szCs w:val="21"/>
        </w:rPr>
        <w:t>Worldwide income from entrepreneurial activity defined as revenues minus business expenses incurred to earn these revenues. Capital gains are included in taxable income upon realization, without indexing for inflation.</w:t>
      </w:r>
    </w:p>
    <w:p w14:paraId="529A9603" w14:textId="77777777" w:rsidR="00F77F6D" w:rsidRPr="00CB1E53" w:rsidRDefault="00F77F6D" w:rsidP="00FD11D9">
      <w:pPr>
        <w:autoSpaceDE w:val="0"/>
        <w:autoSpaceDN w:val="0"/>
        <w:adjustRightInd w:val="0"/>
        <w:spacing w:after="240" w:line="264" w:lineRule="auto"/>
        <w:jc w:val="both"/>
        <w:rPr>
          <w:rFonts w:ascii="Segoe UI" w:hAnsi="Segoe UI" w:cs="Segoe UI"/>
          <w:i/>
          <w:iCs/>
          <w:color w:val="000000"/>
          <w:sz w:val="21"/>
          <w:szCs w:val="21"/>
        </w:rPr>
      </w:pPr>
      <w:r w:rsidRPr="00CB1E53">
        <w:rPr>
          <w:rFonts w:ascii="Segoe UI" w:hAnsi="Segoe UI" w:cs="Segoe UI"/>
          <w:i/>
          <w:iCs/>
          <w:color w:val="000000"/>
          <w:sz w:val="21"/>
          <w:szCs w:val="21"/>
        </w:rPr>
        <w:t xml:space="preserve">The following specific rules are </w:t>
      </w:r>
      <w:r w:rsidRPr="00BE5883">
        <w:rPr>
          <w:rFonts w:ascii="Segoe UI" w:hAnsi="Segoe UI"/>
          <w:bCs/>
          <w:i/>
          <w:color w:val="000000"/>
          <w:sz w:val="21"/>
        </w:rPr>
        <w:t>part of the benchmark</w:t>
      </w:r>
      <w:r w:rsidRPr="00CB1E53">
        <w:rPr>
          <w:rFonts w:ascii="Segoe UI" w:hAnsi="Segoe UI" w:cs="Segoe UI"/>
          <w:i/>
          <w:iCs/>
          <w:color w:val="000000"/>
          <w:sz w:val="21"/>
          <w:szCs w:val="21"/>
        </w:rPr>
        <w:t xml:space="preserve"> for business income: </w:t>
      </w:r>
    </w:p>
    <w:p w14:paraId="0F79CC6E" w14:textId="3DA0B84D"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color w:val="000000"/>
          <w:sz w:val="21"/>
          <w:szCs w:val="21"/>
        </w:rPr>
        <w:t xml:space="preserve">Straight-line depreciation of fixed and intangible assets. Conceptually, depreciation based on an asset’s useful life should be considered a benchmark and any deviations from it would be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An accelerated depreciation (accelerated vis-à-vis the current depreciation rates) should be, however, considered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w:t>
      </w:r>
      <w:r w:rsidRPr="00CB1E53">
        <w:rPr>
          <w:rFonts w:ascii="Segoe UI" w:hAnsi="Segoe UI" w:cs="Segoe UI"/>
          <w:sz w:val="21"/>
          <w:szCs w:val="21"/>
        </w:rPr>
        <w:t xml:space="preserve">had Moldova decided to introduce it. Differently put, Moldova has not introduced accelerated depreciation and, hence, in this respect no TEs exists. Also, </w:t>
      </w:r>
      <w:r w:rsidR="007E36EC">
        <w:rPr>
          <w:rFonts w:ascii="Segoe UI" w:hAnsi="Segoe UI" w:cs="Segoe UI"/>
          <w:sz w:val="21"/>
          <w:szCs w:val="21"/>
        </w:rPr>
        <w:t xml:space="preserve">the </w:t>
      </w:r>
      <w:r w:rsidRPr="00CB1E53">
        <w:rPr>
          <w:rFonts w:ascii="Segoe UI" w:hAnsi="Segoe UI" w:cs="Segoe UI"/>
          <w:sz w:val="21"/>
          <w:szCs w:val="21"/>
        </w:rPr>
        <w:t>immediate expensing of low-value assets</w:t>
      </w:r>
      <w:r w:rsidR="007E36EC">
        <w:rPr>
          <w:rFonts w:ascii="Segoe UI" w:hAnsi="Segoe UI" w:cs="Segoe UI"/>
          <w:sz w:val="21"/>
          <w:szCs w:val="21"/>
        </w:rPr>
        <w:t>,</w:t>
      </w:r>
      <w:r w:rsidRPr="00CB1E53">
        <w:rPr>
          <w:rFonts w:ascii="Segoe UI" w:hAnsi="Segoe UI" w:cs="Segoe UI"/>
          <w:sz w:val="21"/>
          <w:szCs w:val="21"/>
        </w:rPr>
        <w:t xml:space="preserve"> wh</w:t>
      </w:r>
      <w:r w:rsidR="007E36EC">
        <w:rPr>
          <w:rFonts w:ascii="Segoe UI" w:hAnsi="Segoe UI" w:cs="Segoe UI"/>
          <w:sz w:val="21"/>
          <w:szCs w:val="21"/>
        </w:rPr>
        <w:t>en</w:t>
      </w:r>
      <w:r w:rsidRPr="00CB1E53">
        <w:rPr>
          <w:rFonts w:ascii="Segoe UI" w:hAnsi="Segoe UI" w:cs="Segoe UI"/>
          <w:sz w:val="21"/>
          <w:szCs w:val="21"/>
        </w:rPr>
        <w:t xml:space="preserve"> value does not exceed MDL 6,000 and the period of exploitation is no longer than one year</w:t>
      </w:r>
      <w:r w:rsidR="007E36EC">
        <w:rPr>
          <w:rFonts w:ascii="Segoe UI" w:hAnsi="Segoe UI" w:cs="Segoe UI"/>
          <w:sz w:val="21"/>
          <w:szCs w:val="21"/>
        </w:rPr>
        <w:t>,</w:t>
      </w:r>
      <w:r w:rsidRPr="00CB1E53">
        <w:rPr>
          <w:rFonts w:ascii="Segoe UI" w:hAnsi="Segoe UI" w:cs="Segoe UI"/>
          <w:sz w:val="21"/>
          <w:szCs w:val="21"/>
        </w:rPr>
        <w:t xml:space="preserve"> is part of the benchmark.</w:t>
      </w:r>
    </w:p>
    <w:p w14:paraId="4EA45B8C" w14:textId="7544CEE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Tax loss carry-forward provisions. Business losses can be carried forward up to five consecutive years without any limits regarding the amount which can be deducted each year. There is no immediate refund of losses in periods when losses are incurred. No adjustment for inflation or discount rate for losses carried forward are provided.</w:t>
      </w:r>
    </w:p>
    <w:p w14:paraId="1258DD8F"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that eliminate double taxation of dividends paid between resident companies. The income tax levied on dividends paid out is credited against the business income tax on the receiving company (tax form VEN12 and annexes).</w:t>
      </w:r>
    </w:p>
    <w:p w14:paraId="7638664D"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that provide relief for international double taxation (ordinary credit granted to income taxes paid abroad).</w:t>
      </w:r>
    </w:p>
    <w:p w14:paraId="6CB99061" w14:textId="77777777" w:rsidR="00F77F6D"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sz w:val="21"/>
          <w:szCs w:val="21"/>
        </w:rPr>
        <w:t>Measures against tax avoidance. There are no typical thin-capitalization or earnings stripping rules which would limit the deductibility of interest expenses based on a fixed debt-to-equity ratio or on firm’s profitability. However, interest expenses are deductible for business income tax only up to the limit of the average weighted interest rate set by the National Bank of Moldova. There are neither controlled foreign-company provisions nor specific transfer pricing regulations in Moldova although the arm’s length principle should be applied to transactions with related parties.</w:t>
      </w:r>
    </w:p>
    <w:p w14:paraId="56E11C85" w14:textId="27B9F6BB" w:rsidR="00F77F6D" w:rsidRPr="007E36EC" w:rsidRDefault="00F77F6D" w:rsidP="00FD11D9">
      <w:pPr>
        <w:pStyle w:val="ParagraphNumbering"/>
        <w:numPr>
          <w:ilvl w:val="0"/>
          <w:numId w:val="0"/>
        </w:numPr>
        <w:spacing w:after="240" w:line="264" w:lineRule="auto"/>
        <w:jc w:val="both"/>
        <w:rPr>
          <w:rFonts w:ascii="Segoe UI" w:hAnsi="Segoe UI" w:cs="Segoe UI"/>
          <w:i/>
          <w:iCs/>
          <w:sz w:val="21"/>
          <w:szCs w:val="21"/>
        </w:rPr>
      </w:pPr>
      <w:r w:rsidRPr="007E36EC">
        <w:rPr>
          <w:rFonts w:ascii="Segoe UI" w:hAnsi="Segoe UI" w:cs="Segoe UI"/>
          <w:i/>
          <w:iCs/>
          <w:sz w:val="21"/>
          <w:szCs w:val="21"/>
        </w:rPr>
        <w:t xml:space="preserve">Presumptive tax regimes for independent trade activities performed by natural persons and for small and medium sized enterprises (SMEs). </w:t>
      </w:r>
      <w:r w:rsidR="007E36EC">
        <w:rPr>
          <w:rFonts w:ascii="Segoe UI" w:hAnsi="Segoe UI" w:cs="Segoe UI"/>
          <w:sz w:val="21"/>
          <w:szCs w:val="21"/>
        </w:rPr>
        <w:t>U</w:t>
      </w:r>
      <w:r w:rsidRPr="00CB1E53">
        <w:rPr>
          <w:rFonts w:ascii="Segoe UI" w:hAnsi="Segoe UI" w:cs="Segoe UI"/>
          <w:sz w:val="21"/>
          <w:szCs w:val="21"/>
        </w:rPr>
        <w:t xml:space="preserve">nder both regimes, turnover is subject to taxation, rather than </w:t>
      </w:r>
      <w:r w:rsidRPr="00CB1E53">
        <w:rPr>
          <w:rFonts w:ascii="Segoe UI" w:hAnsi="Segoe UI" w:cs="Segoe UI"/>
          <w:sz w:val="21"/>
          <w:szCs w:val="21"/>
        </w:rPr>
        <w:lastRenderedPageBreak/>
        <w:t xml:space="preserve">profits. Business expenses are not deductible, and a reduced tax rate is applied. Typically, if the intention behind such presumptive tax regimes is to reduce the compliance burden of smaller entities they are included in the benchmark. However, this </w:t>
      </w:r>
      <w:r w:rsidR="007E36EC">
        <w:rPr>
          <w:rFonts w:ascii="Segoe UI" w:hAnsi="Segoe UI" w:cs="Segoe UI"/>
          <w:sz w:val="21"/>
          <w:szCs w:val="21"/>
        </w:rPr>
        <w:t>i</w:t>
      </w:r>
      <w:r w:rsidRPr="00CB1E53">
        <w:rPr>
          <w:rFonts w:ascii="Segoe UI" w:hAnsi="Segoe UI" w:cs="Segoe UI"/>
          <w:sz w:val="21"/>
          <w:szCs w:val="21"/>
        </w:rPr>
        <w:t>s disputable in the case of Moldova. Only limited liability companies are eligible for the SMEs regime, and they are already subject to standard accounting rules (hence compliance argument does not seem to apply). Moreover, not all taxpayers automatically benefit from a lower tax rate if it is applied to their turnover. Rather, the tax burden depends on firm’s margin benefiting sectors with higher margins and fewer inputs. Another factor affecting the tax burden is to what extent the taxpayers are given the right to elect that regime which is most beneficial to them and thus are given the possibility for tax arbitrage.</w:t>
      </w:r>
    </w:p>
    <w:p w14:paraId="223582D5" w14:textId="5FD775E5"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Tax rate structure</w:t>
      </w:r>
      <w:r w:rsidR="00713FA2">
        <w:rPr>
          <w:rFonts w:ascii="Segoe UI" w:hAnsi="Segoe UI" w:cs="Segoe UI"/>
          <w:i/>
          <w:iCs/>
          <w:color w:val="000000"/>
          <w:sz w:val="21"/>
          <w:szCs w:val="21"/>
        </w:rPr>
        <w:t>.</w:t>
      </w:r>
      <w:r w:rsidRPr="00CB1E53">
        <w:rPr>
          <w:rFonts w:ascii="Segoe UI" w:hAnsi="Segoe UI" w:cs="Segoe UI"/>
          <w:color w:val="000000"/>
          <w:sz w:val="21"/>
          <w:szCs w:val="21"/>
        </w:rPr>
        <w:t xml:space="preserve"> The benchmark business income tax rate is a single tax rate of 12</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percent applied to the tax base as defined above. Thus, income obtained by farming households</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(homesteads) which is subject to a 7 percent tax rate is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Conversely, income</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from professional activity performed in legal area is taxed at 18 percent and thus represents a</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w:t>
      </w:r>
    </w:p>
    <w:p w14:paraId="7549F5ED" w14:textId="392E1155" w:rsidR="00F77F6D" w:rsidRPr="00CB1E53" w:rsidRDefault="00F77F6D" w:rsidP="00FD11D9">
      <w:pPr>
        <w:pStyle w:val="Heading3"/>
        <w:keepNext/>
        <w:keepLines/>
        <w:jc w:val="both"/>
        <w:rPr>
          <w:rStyle w:val="RegularDKB"/>
          <w:caps w:val="0"/>
        </w:rPr>
      </w:pPr>
      <w:bookmarkStart w:id="23" w:name="_Toc99298769"/>
      <w:bookmarkEnd w:id="22"/>
      <w:r w:rsidRPr="00CB1E53">
        <w:rPr>
          <w:rStyle w:val="RegularDKB"/>
          <w:caps w:val="0"/>
        </w:rPr>
        <w:t>V</w:t>
      </w:r>
      <w:r w:rsidR="00881400" w:rsidRPr="00CB1E53">
        <w:rPr>
          <w:rStyle w:val="RegularDKB"/>
          <w:caps w:val="0"/>
        </w:rPr>
        <w:t>alue-added tax</w:t>
      </w:r>
      <w:r w:rsidR="00881400" w:rsidRPr="00CB1E53">
        <w:rPr>
          <w:rStyle w:val="FootnoteReference"/>
          <w:caps w:val="0"/>
          <w:color w:val="004C97" w:themeColor="text2"/>
        </w:rPr>
        <w:footnoteReference w:id="15"/>
      </w:r>
      <w:bookmarkEnd w:id="23"/>
    </w:p>
    <w:p w14:paraId="7E529D28" w14:textId="77777777" w:rsidR="00881400" w:rsidRPr="00CB1E53" w:rsidRDefault="00881400" w:rsidP="00FD11D9">
      <w:pPr>
        <w:pStyle w:val="Heading4"/>
        <w:keepLines/>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 xml:space="preserve">Common approach </w:t>
      </w:r>
    </w:p>
    <w:p w14:paraId="316C756B" w14:textId="2B120652"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color w:val="000000"/>
          <w:sz w:val="21"/>
          <w:szCs w:val="21"/>
        </w:rPr>
        <w:t xml:space="preserve">To analyze a benchmark VAT system, one needs to be reminded about the elements of a broad-based modern VAT that consists of four components—taxable, zero-rated, and exempt supplies, and taxed purchases potentially subject to credit in determining tax liability. The VAT is charged at each stage </w:t>
      </w:r>
      <w:r w:rsidR="009A4992">
        <w:rPr>
          <w:rFonts w:ascii="Segoe UI" w:hAnsi="Segoe UI" w:cs="Segoe UI"/>
          <w:color w:val="000000"/>
          <w:sz w:val="21"/>
          <w:szCs w:val="21"/>
        </w:rPr>
        <w:t>of</w:t>
      </w:r>
      <w:r w:rsidRPr="00CB1E53">
        <w:rPr>
          <w:rFonts w:ascii="Segoe UI" w:hAnsi="Segoe UI" w:cs="Segoe UI"/>
          <w:color w:val="000000"/>
          <w:sz w:val="21"/>
          <w:szCs w:val="21"/>
        </w:rPr>
        <w:t xml:space="preserve"> the production chain and businesses that subsequently sell their commodity or service can claim an input tax credit for the VAT they paid on the inputs they purchased. After deducting the VAT paid on their purchases from the VAT collected on their supplies, businesses remit the difference to the government, or they register an excess credit position that potentially qualifies for a VAT refund.</w:t>
      </w:r>
      <w:r w:rsidR="00881400" w:rsidRPr="00CB1E53">
        <w:rPr>
          <w:rFonts w:ascii="Segoe UI" w:hAnsi="Segoe UI" w:cs="Segoe UI"/>
          <w:color w:val="000000"/>
          <w:sz w:val="21"/>
          <w:szCs w:val="21"/>
        </w:rPr>
        <w:t xml:space="preserve"> </w:t>
      </w:r>
    </w:p>
    <w:p w14:paraId="744F0A8B" w14:textId="77777777" w:rsidR="00881400"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i/>
          <w:iCs/>
          <w:sz w:val="21"/>
          <w:szCs w:val="21"/>
        </w:rPr>
        <w:t>Zero-rated supplies</w:t>
      </w:r>
      <w:r w:rsidRPr="00CB1E53">
        <w:rPr>
          <w:rFonts w:ascii="Segoe UI" w:hAnsi="Segoe UI" w:cs="Segoe UI"/>
          <w:sz w:val="21"/>
          <w:szCs w:val="21"/>
        </w:rPr>
        <w:t xml:space="preserve"> have a VAT rate of 0 percent, which means businesses do not charge VAT on their output and can claim input tax credits on all their inputs. The total amount of VAT collected by the government on zero-rated commodities (like exports) across all taxpayers in the supply chain, in zero.</w:t>
      </w:r>
    </w:p>
    <w:p w14:paraId="383D4671" w14:textId="77777777" w:rsidR="00881400" w:rsidRPr="00CB1E53" w:rsidRDefault="00F77F6D" w:rsidP="00FD11D9">
      <w:pPr>
        <w:pStyle w:val="ParagraphNumbering"/>
        <w:numPr>
          <w:ilvl w:val="0"/>
          <w:numId w:val="13"/>
        </w:numPr>
        <w:spacing w:after="240" w:line="264" w:lineRule="auto"/>
        <w:jc w:val="both"/>
        <w:rPr>
          <w:rFonts w:ascii="Segoe UI" w:hAnsi="Segoe UI" w:cs="Segoe UI"/>
          <w:sz w:val="21"/>
          <w:szCs w:val="21"/>
        </w:rPr>
      </w:pPr>
      <w:r w:rsidRPr="00CB1E53">
        <w:rPr>
          <w:rFonts w:ascii="Segoe UI" w:hAnsi="Segoe UI" w:cs="Segoe UI"/>
          <w:i/>
          <w:iCs/>
          <w:color w:val="000000"/>
          <w:sz w:val="21"/>
          <w:szCs w:val="21"/>
        </w:rPr>
        <w:t>Exempt supplies</w:t>
      </w:r>
      <w:r w:rsidRPr="00CB1E53">
        <w:rPr>
          <w:rFonts w:ascii="Segoe UI" w:hAnsi="Segoe UI" w:cs="Segoe UI"/>
          <w:color w:val="000000"/>
          <w:sz w:val="21"/>
          <w:szCs w:val="21"/>
        </w:rPr>
        <w:t xml:space="preserve"> of goods or services also have no VAT charged by businesses; however, they cannot claim input tax credits for tax paid on purchases that were used to produce the exempt supplies. In these instances, the government’s net revenue along the entire supply chain is the amount of VAT paid by the business on its purchases.</w:t>
      </w:r>
    </w:p>
    <w:p w14:paraId="31C9138A" w14:textId="5968C0A7" w:rsidR="00F77F6D" w:rsidRPr="00CB1E53" w:rsidRDefault="00F77F6D" w:rsidP="00B61344">
      <w:pPr>
        <w:pStyle w:val="ParagraphNumbering"/>
        <w:numPr>
          <w:ilvl w:val="0"/>
          <w:numId w:val="13"/>
        </w:numPr>
        <w:spacing w:after="240" w:line="264" w:lineRule="auto"/>
        <w:ind w:left="0" w:firstLine="360"/>
        <w:jc w:val="both"/>
        <w:rPr>
          <w:rFonts w:ascii="Segoe UI" w:hAnsi="Segoe UI" w:cs="Segoe UI"/>
          <w:sz w:val="21"/>
          <w:szCs w:val="21"/>
        </w:rPr>
      </w:pPr>
      <w:r w:rsidRPr="00CB1E53">
        <w:rPr>
          <w:rFonts w:ascii="Segoe UI" w:hAnsi="Segoe UI" w:cs="Segoe UI"/>
          <w:color w:val="000000"/>
          <w:sz w:val="21"/>
          <w:szCs w:val="21"/>
        </w:rPr>
        <w:t xml:space="preserve">The effect of a </w:t>
      </w:r>
      <w:r w:rsidRPr="00CB1E53">
        <w:rPr>
          <w:rFonts w:ascii="Segoe UI" w:hAnsi="Segoe UI" w:cs="Segoe UI"/>
          <w:i/>
          <w:iCs/>
          <w:color w:val="000000"/>
          <w:sz w:val="21"/>
          <w:szCs w:val="21"/>
        </w:rPr>
        <w:t>VAT exemption on imports</w:t>
      </w:r>
      <w:r w:rsidRPr="00CB1E53">
        <w:rPr>
          <w:rFonts w:ascii="Segoe UI" w:hAnsi="Segoe UI" w:cs="Segoe UI"/>
          <w:color w:val="000000"/>
          <w:sz w:val="21"/>
          <w:szCs w:val="21"/>
        </w:rPr>
        <w:t xml:space="preserve"> (a common policy for certain imports in many</w:t>
      </w:r>
      <w:r w:rsidR="00881400" w:rsidRPr="00CB1E53">
        <w:rPr>
          <w:rFonts w:ascii="Segoe UI" w:hAnsi="Segoe UI" w:cs="Segoe UI"/>
          <w:color w:val="000000"/>
          <w:sz w:val="21"/>
          <w:szCs w:val="21"/>
        </w:rPr>
        <w:t xml:space="preserve"> </w:t>
      </w:r>
      <w:r w:rsidRPr="00CB1E53">
        <w:rPr>
          <w:rFonts w:ascii="Segoe UI" w:hAnsi="Segoe UI" w:cs="Segoe UI"/>
          <w:color w:val="000000"/>
          <w:sz w:val="21"/>
          <w:szCs w:val="21"/>
        </w:rPr>
        <w:t xml:space="preserve">countries) is different, as no input tax credits are available. In the case of imported goods or </w:t>
      </w:r>
      <w:bookmarkStart w:id="24" w:name="_GoBack"/>
      <w:r w:rsidRPr="00CB1E53">
        <w:rPr>
          <w:rFonts w:ascii="Segoe UI" w:hAnsi="Segoe UI" w:cs="Segoe UI"/>
          <w:color w:val="000000"/>
          <w:sz w:val="21"/>
          <w:szCs w:val="21"/>
        </w:rPr>
        <w:t xml:space="preserve">services, </w:t>
      </w:r>
      <w:r w:rsidRPr="00CB1E53">
        <w:rPr>
          <w:rFonts w:ascii="Segoe UI" w:hAnsi="Segoe UI" w:cs="Segoe UI"/>
          <w:color w:val="000000"/>
          <w:sz w:val="21"/>
          <w:szCs w:val="21"/>
        </w:rPr>
        <w:lastRenderedPageBreak/>
        <w:t>VAT relief at customs is forgone revenue when the goods are being directly supplied to final consumers; in other instances, VAT relief at Customs is equivalent to an input tax credit.</w:t>
      </w:r>
    </w:p>
    <w:bookmarkEnd w:id="24"/>
    <w:p w14:paraId="5CA9F1A2" w14:textId="77777777" w:rsidR="00F77F6D" w:rsidRPr="00CB1E53" w:rsidRDefault="00F77F6D" w:rsidP="00FD11D9">
      <w:pPr>
        <w:autoSpaceDE w:val="0"/>
        <w:autoSpaceDN w:val="0"/>
        <w:adjustRightInd w:val="0"/>
        <w:spacing w:after="240" w:line="264" w:lineRule="auto"/>
        <w:jc w:val="both"/>
        <w:rPr>
          <w:rFonts w:ascii="Segoe UI" w:hAnsi="Segoe UI" w:cs="Segoe UI"/>
          <w:sz w:val="21"/>
          <w:szCs w:val="21"/>
          <w:shd w:val="clear" w:color="auto" w:fill="FFFFFF" w:themeFill="background1"/>
        </w:rPr>
      </w:pPr>
      <w:r w:rsidRPr="00CB1E53">
        <w:rPr>
          <w:rFonts w:ascii="Segoe UI" w:hAnsi="Segoe UI" w:cs="Segoe UI"/>
          <w:sz w:val="21"/>
          <w:szCs w:val="21"/>
        </w:rPr>
        <w:t xml:space="preserve">A best practice VAT includes all goods and services in the base and covers all stages of production and distribution. It operates as a multi-stage transaction tax with offsetting of tax paid on inputs against output tax through a credit and refund mechanism. If applied at a single rate to all goods and services, it does not change relative prices. It does not burden savings and investment and is neutral in its impact on economic growth. It operates on a destination basis, taxing imports and domestic transactions but relieving exports from tax, thus also preserving neutrality in international trade. It does not violate </w:t>
      </w:r>
      <w:r w:rsidRPr="00CB1E53">
        <w:rPr>
          <w:rFonts w:ascii="Segoe UI" w:hAnsi="Segoe UI" w:cs="Segoe UI"/>
          <w:i/>
          <w:sz w:val="21"/>
          <w:szCs w:val="21"/>
        </w:rPr>
        <w:t>horizontal equity</w:t>
      </w:r>
      <w:r w:rsidRPr="00CB1E53">
        <w:rPr>
          <w:rFonts w:ascii="Segoe UI" w:hAnsi="Segoe UI" w:cs="Segoe UI"/>
          <w:sz w:val="21"/>
          <w:szCs w:val="21"/>
        </w:rPr>
        <w:t xml:space="preserve"> as individuals with similar levels of consumption expenditures bear the same tax burden. VAT does not, however, deal with </w:t>
      </w:r>
      <w:r w:rsidRPr="00CB1E53">
        <w:rPr>
          <w:rFonts w:ascii="Segoe UI" w:hAnsi="Segoe UI" w:cs="Segoe UI"/>
          <w:i/>
          <w:sz w:val="21"/>
          <w:szCs w:val="21"/>
        </w:rPr>
        <w:t>vertical equity</w:t>
      </w:r>
      <w:r w:rsidRPr="00CB1E53">
        <w:rPr>
          <w:rFonts w:ascii="Segoe UI" w:hAnsi="Segoe UI" w:cs="Segoe UI"/>
          <w:sz w:val="21"/>
          <w:szCs w:val="21"/>
        </w:rPr>
        <w:t>. The VAT is a good revenue raising tool and not the right instrument for dealing with major equity concerns. It eliminates cascading by granting taxable firms a full and immediate tax credit or deduction for the tax paid on purchases (inputs) from other taxable firms against the tax payable on sales</w:t>
      </w:r>
      <w:r w:rsidRPr="00CB1E53">
        <w:rPr>
          <w:rFonts w:ascii="Segoe UI" w:hAnsi="Segoe UI" w:cs="Segoe UI"/>
          <w:sz w:val="21"/>
          <w:szCs w:val="21"/>
          <w:shd w:val="clear" w:color="auto" w:fill="FFFFFF" w:themeFill="background1"/>
        </w:rPr>
        <w:t xml:space="preserve">. </w:t>
      </w:r>
    </w:p>
    <w:p w14:paraId="7EA7B448" w14:textId="5F2D3E7E" w:rsidR="00F77F6D" w:rsidRPr="00CB1E53" w:rsidRDefault="00F77F6D" w:rsidP="00FD11D9">
      <w:pPr>
        <w:pStyle w:val="ParagraphNumbering"/>
        <w:numPr>
          <w:ilvl w:val="0"/>
          <w:numId w:val="0"/>
        </w:numPr>
        <w:spacing w:after="240" w:line="264" w:lineRule="auto"/>
        <w:jc w:val="both"/>
        <w:rPr>
          <w:rFonts w:ascii="Segoe UI" w:hAnsi="Segoe UI" w:cs="Segoe UI"/>
          <w:sz w:val="21"/>
          <w:szCs w:val="21"/>
        </w:rPr>
      </w:pPr>
      <w:r w:rsidRPr="00CB1E53">
        <w:rPr>
          <w:rFonts w:ascii="Segoe UI" w:hAnsi="Segoe UI" w:cs="Segoe UI"/>
          <w:sz w:val="21"/>
          <w:szCs w:val="21"/>
        </w:rPr>
        <w:t>One of the simplest taxes from a design perspective, the VAT should have as a benchmark the broadest measure of final consumption (public and private) at a single tax rate.</w:t>
      </w:r>
      <w:r w:rsidRPr="00CB1E53">
        <w:rPr>
          <w:rStyle w:val="FootnoteReference"/>
          <w:rFonts w:ascii="Segoe UI" w:hAnsi="Segoe UI" w:cs="Segoe UI"/>
          <w:sz w:val="21"/>
          <w:szCs w:val="21"/>
        </w:rPr>
        <w:footnoteReference w:id="16"/>
      </w:r>
      <w:r w:rsidRPr="00CB1E53">
        <w:rPr>
          <w:rFonts w:ascii="Segoe UI" w:hAnsi="Segoe UI" w:cs="Segoe UI"/>
          <w:sz w:val="21"/>
          <w:szCs w:val="21"/>
        </w:rPr>
        <w:t xml:space="preserve"> There should be no exemptions in the benchmark system. Low or reduced rates should also be excluded from the benchmark, except for the zero rate on exports, which is intended to neutralize the effect of the VAT on exports—it is the mechanism by which VATs are designed to be destination-based. In systems with VAT rates higher than the standard rate, which are used as substitutes for excise taxes, these should not be scored as negative </w:t>
      </w:r>
      <w:r w:rsidR="009430CA" w:rsidRPr="00CB1E53">
        <w:rPr>
          <w:rFonts w:ascii="Segoe UI" w:hAnsi="Segoe UI" w:cs="Segoe UI"/>
          <w:sz w:val="21"/>
          <w:szCs w:val="21"/>
        </w:rPr>
        <w:t>TEs</w:t>
      </w:r>
      <w:r w:rsidRPr="00CB1E53">
        <w:rPr>
          <w:rFonts w:ascii="Segoe UI" w:hAnsi="Segoe UI" w:cs="Segoe UI"/>
          <w:sz w:val="21"/>
          <w:szCs w:val="21"/>
        </w:rPr>
        <w:t xml:space="preserve">. However, other forms of negative </w:t>
      </w:r>
      <w:r w:rsidR="009430CA" w:rsidRPr="00CB1E53">
        <w:rPr>
          <w:rFonts w:ascii="Segoe UI" w:hAnsi="Segoe UI" w:cs="Segoe UI"/>
          <w:sz w:val="21"/>
          <w:szCs w:val="21"/>
        </w:rPr>
        <w:t>TEs</w:t>
      </w:r>
      <w:r w:rsidRPr="00CB1E53">
        <w:rPr>
          <w:rFonts w:ascii="Segoe UI" w:hAnsi="Segoe UI" w:cs="Segoe UI"/>
          <w:sz w:val="21"/>
          <w:szCs w:val="21"/>
        </w:rPr>
        <w:t xml:space="preserve">, such as revenue arising from exemptions or taxation of inputs, should be considered carefully and further discussion in the future will be needed. </w:t>
      </w:r>
    </w:p>
    <w:p w14:paraId="02BC2599" w14:textId="738A52EB" w:rsidR="00F77F6D" w:rsidRPr="00CB1E53" w:rsidRDefault="00881400" w:rsidP="00FD11D9">
      <w:pPr>
        <w:pStyle w:val="Heading4"/>
        <w:spacing w:after="120" w:line="264" w:lineRule="auto"/>
        <w:jc w:val="both"/>
        <w:rPr>
          <w:rFonts w:ascii="Segoe UI" w:hAnsi="Segoe UI" w:cs="Segoe UI"/>
          <w:color w:val="004C97" w:themeColor="text2"/>
          <w:sz w:val="21"/>
          <w:szCs w:val="21"/>
        </w:rPr>
      </w:pPr>
      <w:r w:rsidRPr="00CB1E53">
        <w:rPr>
          <w:rFonts w:ascii="Segoe UI" w:hAnsi="Segoe UI" w:cs="Segoe UI"/>
          <w:color w:val="004C97" w:themeColor="text2"/>
          <w:sz w:val="21"/>
          <w:szCs w:val="21"/>
        </w:rPr>
        <w:t>Moldovan VAT design</w:t>
      </w:r>
    </w:p>
    <w:p w14:paraId="664A39A4" w14:textId="4FCE11B9" w:rsidR="00F77F6D" w:rsidRPr="00BE5883" w:rsidRDefault="00F77F6D" w:rsidP="00FD11D9">
      <w:pPr>
        <w:pStyle w:val="ParagraphNumbering"/>
        <w:numPr>
          <w:ilvl w:val="0"/>
          <w:numId w:val="0"/>
        </w:numPr>
        <w:spacing w:after="120" w:line="264" w:lineRule="auto"/>
        <w:jc w:val="both"/>
        <w:rPr>
          <w:rFonts w:ascii="Segoe UI" w:hAnsi="Segoe UI" w:cs="Segoe UI"/>
          <w:i/>
          <w:iCs/>
          <w:sz w:val="21"/>
          <w:szCs w:val="21"/>
        </w:rPr>
      </w:pPr>
      <w:r w:rsidRPr="00CB1E53">
        <w:rPr>
          <w:rFonts w:ascii="Segoe UI" w:hAnsi="Segoe UI" w:cs="Segoe UI"/>
          <w:i/>
          <w:iCs/>
          <w:sz w:val="21"/>
          <w:szCs w:val="21"/>
        </w:rPr>
        <w:t>Reduced rates</w:t>
      </w:r>
      <w:r w:rsidR="00BE5883">
        <w:rPr>
          <w:rFonts w:ascii="Segoe UI" w:hAnsi="Segoe UI" w:cs="Segoe UI"/>
          <w:i/>
          <w:iCs/>
          <w:sz w:val="21"/>
          <w:szCs w:val="21"/>
        </w:rPr>
        <w:t xml:space="preserve">. </w:t>
      </w:r>
      <w:r w:rsidRPr="00CB1E53">
        <w:rPr>
          <w:rFonts w:ascii="Segoe UI" w:hAnsi="Segoe UI" w:cs="Segoe UI"/>
          <w:sz w:val="21"/>
          <w:szCs w:val="21"/>
        </w:rPr>
        <w:t xml:space="preserve">Some countries consider low or reduced VAT rates as part of the benchmark on social objectives grounds—believing that the low rates benefit low-income individuals and lessen the regressivity (relative to revenue) of the VAT. Moldova does not intend to follow this approach and treats reduced rates as genuine/indisputable tax relief as the cost of such policies must be properly reported; otherwise, the </w:t>
      </w:r>
      <w:r w:rsidR="009430CA" w:rsidRPr="00CB1E53">
        <w:rPr>
          <w:rFonts w:ascii="Segoe UI" w:hAnsi="Segoe UI" w:cs="Segoe UI"/>
          <w:sz w:val="21"/>
          <w:szCs w:val="21"/>
        </w:rPr>
        <w:t>TE</w:t>
      </w:r>
      <w:r w:rsidRPr="00CB1E53">
        <w:rPr>
          <w:rFonts w:ascii="Segoe UI" w:hAnsi="Segoe UI" w:cs="Segoe UI"/>
          <w:sz w:val="21"/>
          <w:szCs w:val="21"/>
        </w:rPr>
        <w:t xml:space="preserve"> accounting exercise becomes meaningless. This position is informed by leaning towards a modern VAT design, whereby tax benefits granted through multiple lower rates should be scored as </w:t>
      </w:r>
      <w:r w:rsidR="009430CA" w:rsidRPr="00CB1E53">
        <w:rPr>
          <w:rFonts w:ascii="Segoe UI" w:hAnsi="Segoe UI" w:cs="Segoe UI"/>
          <w:sz w:val="21"/>
          <w:szCs w:val="21"/>
        </w:rPr>
        <w:t>TEs</w:t>
      </w:r>
      <w:r w:rsidRPr="00CB1E53">
        <w:rPr>
          <w:rFonts w:ascii="Segoe UI" w:hAnsi="Segoe UI" w:cs="Segoe UI"/>
          <w:sz w:val="21"/>
          <w:szCs w:val="21"/>
        </w:rPr>
        <w:t>. Multiple rates affect the structure of production, the allocation of resources and reduce economic efficiency. The benefit from a lower rate does not always reach its target as vendors may not pass on the price reduction (e.g., when foodstuffs are taxed at a lower rate); or the rich may turn out to benefit more (e.g., they spend more on food in absolute terms than the poor).</w:t>
      </w:r>
      <w:r w:rsidRPr="00CB1E53">
        <w:rPr>
          <w:rStyle w:val="FootnoteReference"/>
          <w:rFonts w:ascii="Segoe UI" w:hAnsi="Segoe UI" w:cs="Segoe UI"/>
          <w:sz w:val="21"/>
          <w:szCs w:val="21"/>
        </w:rPr>
        <w:footnoteReference w:id="17"/>
      </w:r>
      <w:r w:rsidRPr="00CB1E53">
        <w:rPr>
          <w:rFonts w:ascii="Segoe UI" w:hAnsi="Segoe UI" w:cs="Segoe UI"/>
          <w:sz w:val="21"/>
          <w:szCs w:val="21"/>
        </w:rPr>
        <w:t xml:space="preserve"> </w:t>
      </w:r>
    </w:p>
    <w:p w14:paraId="48924673" w14:textId="77777777" w:rsidR="00F77F6D" w:rsidRPr="00CB1E53" w:rsidRDefault="00F77F6D" w:rsidP="00FD11D9">
      <w:pPr>
        <w:pStyle w:val="ListBullet"/>
        <w:numPr>
          <w:ilvl w:val="0"/>
          <w:numId w:val="0"/>
        </w:numPr>
        <w:spacing w:after="240" w:line="264" w:lineRule="auto"/>
        <w:jc w:val="both"/>
        <w:rPr>
          <w:rFonts w:ascii="Segoe UI" w:hAnsi="Segoe UI" w:cs="Segoe UI"/>
          <w:sz w:val="21"/>
          <w:szCs w:val="21"/>
        </w:rPr>
      </w:pPr>
      <w:r w:rsidRPr="00CB1E53">
        <w:rPr>
          <w:rFonts w:ascii="Segoe UI" w:hAnsi="Segoe UI" w:cs="Segoe UI"/>
          <w:iCs/>
          <w:sz w:val="21"/>
          <w:szCs w:val="21"/>
        </w:rPr>
        <w:t>Also, multiple rates increase risk of non-compliance and tax evasion</w:t>
      </w:r>
      <w:r w:rsidRPr="00CB1E53">
        <w:rPr>
          <w:rFonts w:ascii="Segoe UI" w:hAnsi="Segoe UI" w:cs="Segoe UI"/>
          <w:sz w:val="21"/>
          <w:szCs w:val="21"/>
        </w:rPr>
        <w:t xml:space="preserve"> and may require a higher standard rate. First, a reduced rate increases the risk of misclassification and thus raises the cost of </w:t>
      </w:r>
      <w:r w:rsidRPr="00CB1E53">
        <w:rPr>
          <w:rFonts w:ascii="Segoe UI" w:hAnsi="Segoe UI" w:cs="Segoe UI"/>
          <w:sz w:val="21"/>
          <w:szCs w:val="21"/>
        </w:rPr>
        <w:lastRenderedPageBreak/>
        <w:t xml:space="preserve">administration and compliance. For a reduced rate to relieve the tax burden on the consumer for particular items, it must apply at the retail level. If for instance, food items are subject to a reduced rate, supplies of such items would be subject to the reduced rate throughout the supply chain up to and including the retail stage. However, the risk of misclassification and the associated administration and compliance burden are more acute at the retail level. Retailers are also more likely to be small businesses, which generally have lower levels of compliance and are more difficult to administer. Secondly and importantly, traders with output taxed at the lower rate but with inputs taxed at the higher standard rate are more likely to be in an excess credit position, leading to more refund claims. </w:t>
      </w:r>
    </w:p>
    <w:p w14:paraId="1D52A61C" w14:textId="34211FAB" w:rsidR="00F77F6D" w:rsidRPr="00BE5883" w:rsidRDefault="00F77F6D" w:rsidP="00FD11D9">
      <w:pPr>
        <w:pStyle w:val="ParagraphNumbering"/>
        <w:numPr>
          <w:ilvl w:val="0"/>
          <w:numId w:val="0"/>
        </w:numPr>
        <w:spacing w:after="240" w:line="264" w:lineRule="auto"/>
        <w:jc w:val="both"/>
        <w:rPr>
          <w:rFonts w:ascii="Segoe UI" w:hAnsi="Segoe UI" w:cs="Segoe UI"/>
          <w:i/>
          <w:iCs/>
          <w:sz w:val="21"/>
          <w:szCs w:val="21"/>
        </w:rPr>
      </w:pPr>
      <w:r w:rsidRPr="00CB1E53">
        <w:rPr>
          <w:rFonts w:ascii="Segoe UI" w:hAnsi="Segoe UI" w:cs="Segoe UI"/>
          <w:i/>
          <w:iCs/>
          <w:sz w:val="21"/>
          <w:szCs w:val="21"/>
        </w:rPr>
        <w:t>Exemption for capital and intermediate inputs</w:t>
      </w:r>
      <w:r w:rsidR="00BE5883">
        <w:rPr>
          <w:rFonts w:ascii="Segoe UI" w:hAnsi="Segoe UI" w:cs="Segoe UI"/>
          <w:i/>
          <w:iCs/>
          <w:sz w:val="21"/>
          <w:szCs w:val="21"/>
        </w:rPr>
        <w:t xml:space="preserve">. </w:t>
      </w:r>
      <w:r w:rsidRPr="00CB1E53">
        <w:rPr>
          <w:rFonts w:ascii="Segoe UI" w:hAnsi="Segoe UI" w:cs="Segoe UI"/>
          <w:sz w:val="21"/>
          <w:szCs w:val="21"/>
        </w:rPr>
        <w:t xml:space="preserve">Several developing economies frequently use VAT exemptions for capital and intermediate inputs, as an alternative policy to providing input tax credit or refunds. These should not be considered </w:t>
      </w:r>
      <w:r w:rsidR="009430CA" w:rsidRPr="00CB1E53">
        <w:rPr>
          <w:rFonts w:ascii="Segoe UI" w:hAnsi="Segoe UI" w:cs="Segoe UI"/>
          <w:sz w:val="21"/>
          <w:szCs w:val="21"/>
        </w:rPr>
        <w:t>TEs</w:t>
      </w:r>
      <w:r w:rsidRPr="00CB1E53">
        <w:rPr>
          <w:rFonts w:ascii="Segoe UI" w:hAnsi="Segoe UI" w:cs="Segoe UI"/>
          <w:sz w:val="21"/>
          <w:szCs w:val="21"/>
        </w:rPr>
        <w:t xml:space="preserve">, to the extent that they do not produce tax cascading along the value chain. For instance, an exemption for an imported machine used directly by a mining company (which is also the importer of the machine) should not be counted as a </w:t>
      </w:r>
      <w:r w:rsidR="009430CA" w:rsidRPr="00CB1E53">
        <w:rPr>
          <w:rFonts w:ascii="Segoe UI" w:hAnsi="Segoe UI" w:cs="Segoe UI"/>
          <w:sz w:val="21"/>
          <w:szCs w:val="21"/>
        </w:rPr>
        <w:t>TE</w:t>
      </w:r>
      <w:r w:rsidRPr="00CB1E53">
        <w:rPr>
          <w:rFonts w:ascii="Segoe UI" w:hAnsi="Segoe UI" w:cs="Segoe UI"/>
          <w:sz w:val="21"/>
          <w:szCs w:val="21"/>
        </w:rPr>
        <w:t xml:space="preserve">. </w:t>
      </w:r>
    </w:p>
    <w:p w14:paraId="587F648B" w14:textId="280E67A9" w:rsidR="00F77F6D" w:rsidRPr="00CB1E53" w:rsidRDefault="00F77F6D" w:rsidP="00FD11D9">
      <w:pPr>
        <w:spacing w:after="240" w:line="264" w:lineRule="auto"/>
        <w:jc w:val="both"/>
        <w:rPr>
          <w:rFonts w:ascii="Segoe UI" w:hAnsi="Segoe UI" w:cs="Segoe UI"/>
          <w:sz w:val="21"/>
          <w:szCs w:val="21"/>
        </w:rPr>
      </w:pPr>
      <w:r w:rsidRPr="00CB1E53">
        <w:rPr>
          <w:rFonts w:ascii="Segoe UI" w:hAnsi="Segoe UI" w:cs="Segoe UI"/>
          <w:i/>
          <w:iCs/>
          <w:color w:val="000000"/>
          <w:sz w:val="21"/>
          <w:szCs w:val="21"/>
        </w:rPr>
        <w:t>Basic foods, goods and services consumed by low-income households</w:t>
      </w:r>
      <w:r w:rsidR="007D4994">
        <w:rPr>
          <w:rFonts w:ascii="Segoe UI" w:hAnsi="Segoe UI" w:cs="Segoe UI"/>
          <w:i/>
          <w:iCs/>
          <w:color w:val="000000"/>
          <w:sz w:val="21"/>
          <w:szCs w:val="21"/>
        </w:rPr>
        <w:t xml:space="preserve">. </w:t>
      </w:r>
      <w:r w:rsidRPr="00CB1E53">
        <w:rPr>
          <w:rFonts w:ascii="Segoe UI" w:hAnsi="Segoe UI" w:cs="Segoe UI"/>
          <w:sz w:val="21"/>
          <w:szCs w:val="21"/>
        </w:rPr>
        <w:t xml:space="preserve">As in Moldova, often consumption of these goods receives preferential treatment under the VAT, in consideration of the burden of the taxation of these purchases on lower-income households. However, recent research across numerous countries has shown that measures of this form are very poorly targeted </w:t>
      </w:r>
      <w:r w:rsidR="009C4E96" w:rsidRPr="00CB1E53">
        <w:rPr>
          <w:rFonts w:ascii="Segoe UI" w:hAnsi="Segoe UI" w:cs="Segoe UI"/>
          <w:sz w:val="21"/>
          <w:szCs w:val="21"/>
        </w:rPr>
        <w:t>since</w:t>
      </w:r>
      <w:r w:rsidRPr="00CB1E53">
        <w:rPr>
          <w:rFonts w:ascii="Segoe UI" w:hAnsi="Segoe UI" w:cs="Segoe UI"/>
          <w:sz w:val="21"/>
          <w:szCs w:val="21"/>
        </w:rPr>
        <w:t xml:space="preserve"> the bulk of the income transfer </w:t>
      </w:r>
      <w:r w:rsidR="009C4E96" w:rsidRPr="00CB1E53">
        <w:rPr>
          <w:rFonts w:ascii="Segoe UI" w:hAnsi="Segoe UI" w:cs="Segoe UI"/>
          <w:sz w:val="21"/>
          <w:szCs w:val="21"/>
        </w:rPr>
        <w:t xml:space="preserve">in fact </w:t>
      </w:r>
      <w:r w:rsidRPr="00CB1E53">
        <w:rPr>
          <w:rFonts w:ascii="Segoe UI" w:hAnsi="Segoe UI" w:cs="Segoe UI"/>
          <w:sz w:val="21"/>
          <w:szCs w:val="21"/>
        </w:rPr>
        <w:t>accrues to higher-income households</w:t>
      </w:r>
      <w:r w:rsidR="00AC7CD1" w:rsidRPr="00CB1E53">
        <w:rPr>
          <w:rFonts w:ascii="Segoe UI" w:hAnsi="Segoe UI" w:cs="Segoe UI"/>
          <w:sz w:val="21"/>
          <w:szCs w:val="21"/>
        </w:rPr>
        <w:t xml:space="preserve">, which makes these measures </w:t>
      </w:r>
      <w:r w:rsidRPr="00CB1E53">
        <w:rPr>
          <w:rFonts w:ascii="Segoe UI" w:hAnsi="Segoe UI" w:cs="Segoe UI"/>
          <w:sz w:val="21"/>
          <w:szCs w:val="21"/>
        </w:rPr>
        <w:t xml:space="preserve">a very inefficient means to assist poorer families. For this reason, full taxation of these commodities is included in the benchmark, so that any preferential treatments under the tax are considered </w:t>
      </w:r>
      <w:r w:rsidR="009430CA" w:rsidRPr="00CB1E53">
        <w:rPr>
          <w:rFonts w:ascii="Segoe UI" w:hAnsi="Segoe UI" w:cs="Segoe UI"/>
          <w:sz w:val="21"/>
          <w:szCs w:val="21"/>
        </w:rPr>
        <w:t>TEs</w:t>
      </w:r>
      <w:r w:rsidRPr="00CB1E53">
        <w:rPr>
          <w:rFonts w:ascii="Segoe UI" w:hAnsi="Segoe UI" w:cs="Segoe UI"/>
          <w:sz w:val="21"/>
          <w:szCs w:val="21"/>
        </w:rPr>
        <w:t>.</w:t>
      </w:r>
    </w:p>
    <w:p w14:paraId="1B1A6DE2" w14:textId="6474CFB9" w:rsidR="00F77F6D" w:rsidRPr="00CB1E53" w:rsidRDefault="00F77F6D" w:rsidP="00FD11D9">
      <w:pPr>
        <w:pStyle w:val="ParagraphNumbering"/>
        <w:numPr>
          <w:ilvl w:val="0"/>
          <w:numId w:val="0"/>
        </w:numPr>
        <w:tabs>
          <w:tab w:val="num" w:pos="6030"/>
        </w:tabs>
        <w:spacing w:after="240" w:line="264" w:lineRule="auto"/>
        <w:jc w:val="both"/>
        <w:rPr>
          <w:rFonts w:ascii="Segoe UI" w:hAnsi="Segoe UI" w:cs="Segoe UI"/>
          <w:sz w:val="21"/>
          <w:szCs w:val="21"/>
        </w:rPr>
      </w:pPr>
      <w:r w:rsidRPr="00CB1E53">
        <w:rPr>
          <w:rFonts w:ascii="Segoe UI" w:hAnsi="Segoe UI" w:cs="Segoe UI"/>
          <w:i/>
          <w:iCs/>
          <w:color w:val="000000"/>
          <w:sz w:val="21"/>
          <w:szCs w:val="21"/>
        </w:rPr>
        <w:t xml:space="preserve">Utility services (electricity, water, telecommunication, </w:t>
      </w:r>
      <w:r w:rsidR="00F948F3" w:rsidRPr="00CB1E53">
        <w:rPr>
          <w:rFonts w:ascii="Segoe UI" w:hAnsi="Segoe UI" w:cs="Segoe UI"/>
          <w:i/>
          <w:iCs/>
          <w:color w:val="000000"/>
          <w:sz w:val="21"/>
          <w:szCs w:val="21"/>
        </w:rPr>
        <w:t>transportation)</w:t>
      </w:r>
      <w:r w:rsidR="00F948F3">
        <w:rPr>
          <w:rFonts w:ascii="Segoe UI" w:hAnsi="Segoe UI" w:cs="Segoe UI"/>
          <w:i/>
          <w:iCs/>
          <w:color w:val="000000"/>
          <w:sz w:val="21"/>
          <w:szCs w:val="21"/>
        </w:rPr>
        <w:t>.</w:t>
      </w:r>
      <w:r w:rsidR="00F948F3" w:rsidRPr="00CB1E53">
        <w:rPr>
          <w:rFonts w:ascii="Segoe UI" w:hAnsi="Segoe UI" w:cs="Segoe UI"/>
          <w:bCs/>
          <w:sz w:val="21"/>
          <w:szCs w:val="21"/>
        </w:rPr>
        <w:t xml:space="preserve"> The</w:t>
      </w:r>
      <w:r w:rsidRPr="00CB1E53">
        <w:rPr>
          <w:rFonts w:ascii="Segoe UI" w:hAnsi="Segoe UI" w:cs="Segoe UI"/>
          <w:bCs/>
          <w:sz w:val="21"/>
          <w:szCs w:val="21"/>
        </w:rPr>
        <w:t xml:space="preserve"> taxation of as many supplies by </w:t>
      </w:r>
      <w:r w:rsidRPr="00CB1E53">
        <w:rPr>
          <w:rFonts w:ascii="Segoe UI" w:hAnsi="Segoe UI" w:cs="Segoe UI"/>
          <w:bCs/>
          <w:i/>
          <w:iCs/>
          <w:sz w:val="21"/>
          <w:szCs w:val="21"/>
        </w:rPr>
        <w:t>public utilities</w:t>
      </w:r>
      <w:r w:rsidRPr="00CB1E53">
        <w:rPr>
          <w:rFonts w:ascii="Segoe UI" w:hAnsi="Segoe UI" w:cs="Segoe UI"/>
          <w:bCs/>
          <w:sz w:val="21"/>
          <w:szCs w:val="21"/>
        </w:rPr>
        <w:t xml:space="preserve"> as possible promotes simplicity, accountability, transparency, and the workings of the VAT—</w:t>
      </w:r>
      <w:r w:rsidR="00D57411">
        <w:rPr>
          <w:rFonts w:ascii="Segoe UI" w:hAnsi="Segoe UI" w:cs="Segoe UI"/>
          <w:bCs/>
          <w:sz w:val="21"/>
          <w:szCs w:val="21"/>
        </w:rPr>
        <w:t xml:space="preserve">hence, being part of </w:t>
      </w:r>
      <w:r w:rsidRPr="00CB1E53">
        <w:rPr>
          <w:rFonts w:ascii="Segoe UI" w:hAnsi="Segoe UI" w:cs="Segoe UI"/>
          <w:bCs/>
          <w:sz w:val="21"/>
          <w:szCs w:val="21"/>
        </w:rPr>
        <w:t>the benchmark.</w:t>
      </w:r>
      <w:r w:rsidRPr="00CB1E53">
        <w:rPr>
          <w:rFonts w:ascii="Segoe UI" w:hAnsi="Segoe UI" w:cs="Segoe UI"/>
          <w:sz w:val="21"/>
          <w:szCs w:val="21"/>
        </w:rPr>
        <w:t xml:space="preserve"> Public utilities fall under the definition of enterprise. Important public utilities include the supply of water, electricity, passenger transport, postal services, telecommunications, and radio and television broadcasts. In a modern VAT, these utilities must register for VAT purposes and are deemed to supply a taxable service for grants or subsidies received from public authorities, which is taxed at the standard rate. Delineation issues regarding taxable versus non-taxable activities become redundant and the VAT chain remains intact through to the consumer level. Taxing these services at the standard rate reduces distortions of input and outsourcing choices and so are administrative costs because the VAT on taxable purchases does not have to be allocated between taxable and exempt supplies. Hence, any deviation from that model is reported as </w:t>
      </w:r>
      <w:r w:rsidR="009430CA" w:rsidRPr="00CB1E53">
        <w:rPr>
          <w:rFonts w:ascii="Segoe UI" w:hAnsi="Segoe UI" w:cs="Segoe UI"/>
          <w:sz w:val="21"/>
          <w:szCs w:val="21"/>
        </w:rPr>
        <w:t>TEs</w:t>
      </w:r>
      <w:r w:rsidRPr="00CB1E53">
        <w:rPr>
          <w:rFonts w:ascii="Segoe UI" w:hAnsi="Segoe UI" w:cs="Segoe UI"/>
          <w:sz w:val="21"/>
          <w:szCs w:val="21"/>
        </w:rPr>
        <w:t xml:space="preserve">. </w:t>
      </w:r>
    </w:p>
    <w:p w14:paraId="5FF62F85" w14:textId="77777777" w:rsidR="00F77F6D" w:rsidRPr="00CB1E53" w:rsidRDefault="00F77F6D" w:rsidP="00FD11D9">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bCs/>
          <w:sz w:val="21"/>
          <w:szCs w:val="21"/>
        </w:rPr>
        <w:t xml:space="preserve">Supplies of </w:t>
      </w:r>
      <w:r w:rsidRPr="00CB1E53">
        <w:rPr>
          <w:rFonts w:ascii="Segoe UI" w:hAnsi="Segoe UI" w:cs="Segoe UI"/>
          <w:bCs/>
          <w:i/>
          <w:sz w:val="21"/>
          <w:szCs w:val="21"/>
        </w:rPr>
        <w:t>electricity and water</w:t>
      </w:r>
      <w:r w:rsidRPr="00CB1E53">
        <w:rPr>
          <w:rFonts w:ascii="Segoe UI" w:hAnsi="Segoe UI" w:cs="Segoe UI"/>
          <w:bCs/>
          <w:sz w:val="21"/>
          <w:szCs w:val="21"/>
        </w:rPr>
        <w:t xml:space="preserve"> should attract VAT, irrespective of whether supplied by state-owned enterprises or private operators.</w:t>
      </w:r>
      <w:r w:rsidRPr="00CB1E53">
        <w:rPr>
          <w:rFonts w:ascii="Segoe UI" w:hAnsi="Segoe UI" w:cs="Segoe UI"/>
          <w:b/>
          <w:sz w:val="21"/>
          <w:szCs w:val="21"/>
        </w:rPr>
        <w:t xml:space="preserve"> </w:t>
      </w:r>
      <w:r w:rsidRPr="00CB1E53">
        <w:rPr>
          <w:rFonts w:ascii="Segoe UI" w:hAnsi="Segoe UI" w:cs="Segoe UI"/>
          <w:sz w:val="21"/>
          <w:szCs w:val="21"/>
        </w:rPr>
        <w:t xml:space="preserve">Exempting electricity and water would lead to tax cascading and over-taxation of business users. The income elasticity of electricity demand is high—as incomes rise, electricity consumption grows. Taxing electricity and water at the standard rate thus reduces VAT regressivity since high-income households consume more power and water. </w:t>
      </w:r>
    </w:p>
    <w:p w14:paraId="0289F8E8" w14:textId="77777777" w:rsidR="00F77F6D" w:rsidRPr="00CB1E53" w:rsidRDefault="00F77F6D" w:rsidP="00FD11D9">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bCs/>
          <w:sz w:val="21"/>
          <w:szCs w:val="21"/>
        </w:rPr>
        <w:t xml:space="preserve">Demand for </w:t>
      </w:r>
      <w:r w:rsidRPr="00CB1E53">
        <w:rPr>
          <w:rFonts w:ascii="Segoe UI" w:hAnsi="Segoe UI" w:cs="Segoe UI"/>
          <w:bCs/>
          <w:i/>
          <w:sz w:val="21"/>
          <w:szCs w:val="21"/>
        </w:rPr>
        <w:t>telecommunications services</w:t>
      </w:r>
      <w:r w:rsidRPr="00CB1E53">
        <w:rPr>
          <w:rFonts w:ascii="Segoe UI" w:hAnsi="Segoe UI" w:cs="Segoe UI"/>
          <w:bCs/>
          <w:sz w:val="21"/>
          <w:szCs w:val="21"/>
        </w:rPr>
        <w:t xml:space="preserve"> is also associated with high income elasticity</w:t>
      </w:r>
      <w:r w:rsidRPr="00D57411">
        <w:rPr>
          <w:rFonts w:ascii="Segoe UI" w:hAnsi="Segoe UI" w:cs="Segoe UI"/>
          <w:bCs/>
          <w:sz w:val="21"/>
          <w:szCs w:val="21"/>
        </w:rPr>
        <w:t xml:space="preserve">. </w:t>
      </w:r>
      <w:r w:rsidRPr="00CB1E53">
        <w:rPr>
          <w:rFonts w:ascii="Segoe UI" w:hAnsi="Segoe UI" w:cs="Segoe UI"/>
          <w:sz w:val="21"/>
          <w:szCs w:val="21"/>
        </w:rPr>
        <w:t xml:space="preserve">Taxing these services at the standard VAT rate improves the distributional fairness, whether supplied by privately or publicly owned operators. </w:t>
      </w:r>
    </w:p>
    <w:p w14:paraId="021E8BDD" w14:textId="0D2EBA5C" w:rsidR="00F77F6D" w:rsidRPr="00CB1E53" w:rsidRDefault="00F77F6D" w:rsidP="00FD11D9">
      <w:pPr>
        <w:autoSpaceDE w:val="0"/>
        <w:autoSpaceDN w:val="0"/>
        <w:adjustRightInd w:val="0"/>
        <w:spacing w:after="240" w:line="264" w:lineRule="auto"/>
        <w:jc w:val="both"/>
        <w:rPr>
          <w:rFonts w:ascii="Segoe UI" w:hAnsi="Segoe UI" w:cs="Segoe UI"/>
          <w:i/>
          <w:iCs/>
          <w:color w:val="000000"/>
          <w:sz w:val="21"/>
          <w:szCs w:val="21"/>
        </w:rPr>
      </w:pPr>
      <w:r w:rsidRPr="00CB1E53">
        <w:rPr>
          <w:rFonts w:ascii="Segoe UI" w:hAnsi="Segoe UI" w:cs="Segoe UI"/>
          <w:bCs/>
          <w:sz w:val="21"/>
          <w:szCs w:val="21"/>
        </w:rPr>
        <w:lastRenderedPageBreak/>
        <w:t xml:space="preserve">Taxing </w:t>
      </w:r>
      <w:r w:rsidRPr="00CB1E53">
        <w:rPr>
          <w:rFonts w:ascii="Segoe UI" w:hAnsi="Segoe UI" w:cs="Segoe UI"/>
          <w:bCs/>
          <w:i/>
          <w:sz w:val="21"/>
          <w:szCs w:val="21"/>
        </w:rPr>
        <w:t>domestic transport of passengers</w:t>
      </w:r>
      <w:r w:rsidRPr="00CB1E53">
        <w:rPr>
          <w:rFonts w:ascii="Segoe UI" w:hAnsi="Segoe UI" w:cs="Segoe UI"/>
          <w:bCs/>
          <w:sz w:val="21"/>
          <w:szCs w:val="21"/>
        </w:rPr>
        <w:t xml:space="preserve"> is the first best option, irrespective of whether it is provided by public or private operators.</w:t>
      </w:r>
      <w:r w:rsidRPr="00CB1E53">
        <w:rPr>
          <w:rFonts w:ascii="Segoe UI" w:hAnsi="Segoe UI" w:cs="Segoe UI"/>
          <w:sz w:val="21"/>
          <w:szCs w:val="21"/>
        </w:rPr>
        <w:t xml:space="preserve"> However, many countries exempt mass transport mainly used by low-income households. It is common practice, however, to zero-rate international passenger transport (=this is benchmark treatment), and in particular air transport. Taxi services should be taxed, while individually owned and operated taxis (and taxi motor bikes) are often subjected to a flat license fee in lieu of VAT. Domestic transportation of goods and storage should be fully taxed and is therefore the benchmark. Incoming and outgoing international transport of goods is commonly zero-rated, whether by air, sea</w:t>
      </w:r>
      <w:r w:rsidR="00F948F3">
        <w:rPr>
          <w:rFonts w:ascii="Segoe UI" w:hAnsi="Segoe UI" w:cs="Segoe UI"/>
          <w:sz w:val="21"/>
          <w:szCs w:val="21"/>
        </w:rPr>
        <w:t>,</w:t>
      </w:r>
      <w:r w:rsidRPr="00CB1E53">
        <w:rPr>
          <w:rFonts w:ascii="Segoe UI" w:hAnsi="Segoe UI" w:cs="Segoe UI"/>
          <w:sz w:val="21"/>
          <w:szCs w:val="21"/>
        </w:rPr>
        <w:t xml:space="preserve"> or road. Outgoing international transport is treated as export while the value of inbound international transport is already taxed as part of the CIF value of the goods at import. Trucks and other commercial vehicles should be fully taxable, and business users should be allowed input tax credits to the extent they are used for making taxable supplies</w:t>
      </w:r>
      <w:r w:rsidR="00BE5883">
        <w:rPr>
          <w:rFonts w:ascii="Segoe UI" w:hAnsi="Segoe UI" w:cs="Segoe UI"/>
          <w:sz w:val="21"/>
          <w:szCs w:val="21"/>
        </w:rPr>
        <w:t>.</w:t>
      </w:r>
    </w:p>
    <w:p w14:paraId="35663AE1" w14:textId="7BDA4462"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Vehicles</w:t>
      </w:r>
      <w:r w:rsidR="00BE5883">
        <w:rPr>
          <w:rFonts w:ascii="Segoe UI" w:hAnsi="Segoe UI" w:cs="Segoe UI"/>
          <w:i/>
          <w:iCs/>
          <w:color w:val="000000"/>
          <w:sz w:val="21"/>
          <w:szCs w:val="21"/>
        </w:rPr>
        <w:t xml:space="preserve"> </w:t>
      </w:r>
      <w:r w:rsidRPr="00CB1E53">
        <w:rPr>
          <w:rFonts w:ascii="Segoe UI" w:hAnsi="Segoe UI" w:cs="Segoe UI"/>
          <w:color w:val="000000"/>
          <w:sz w:val="21"/>
          <w:szCs w:val="21"/>
        </w:rPr>
        <w:t>As to passenger vehicles, the full VAT taxation of vehicles is included in the benchmark, as there is no compelling case to exclude them. Excise taxes (which can be included in the benchmark as a supplemental tax, in particular as a mechanism to account for environmental and other impacts of vehicle usage) are not a substitute. Vehicles that are used by businesses will receive an input tax credit</w:t>
      </w:r>
      <w:r w:rsidR="006645DD">
        <w:rPr>
          <w:rFonts w:ascii="Segoe UI" w:hAnsi="Segoe UI" w:cs="Segoe UI"/>
          <w:color w:val="000000"/>
          <w:sz w:val="21"/>
          <w:szCs w:val="21"/>
        </w:rPr>
        <w:t>.</w:t>
      </w:r>
      <w:r w:rsidRPr="00CB1E53">
        <w:rPr>
          <w:rFonts w:ascii="Segoe UI" w:hAnsi="Segoe UI" w:cs="Segoe UI"/>
          <w:color w:val="000000"/>
          <w:sz w:val="21"/>
          <w:szCs w:val="21"/>
        </w:rPr>
        <w:t xml:space="preserve"> See above the VAT treatment of commercial vehicle as the benchmark—deviations are therefore scored as TEs in this TEAR.</w:t>
      </w:r>
    </w:p>
    <w:p w14:paraId="0F3F06BC" w14:textId="7A5CC0F6"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Financial services</w:t>
      </w:r>
      <w:r w:rsidR="0030449E">
        <w:rPr>
          <w:rFonts w:ascii="Segoe UI" w:hAnsi="Segoe UI" w:cs="Segoe UI"/>
          <w:i/>
          <w:iCs/>
          <w:color w:val="000000"/>
          <w:sz w:val="21"/>
          <w:szCs w:val="21"/>
        </w:rPr>
        <w:t xml:space="preserve">. </w:t>
      </w:r>
      <w:r w:rsidRPr="00CB1E53">
        <w:rPr>
          <w:rFonts w:ascii="Segoe UI" w:hAnsi="Segoe UI" w:cs="Segoe UI"/>
          <w:color w:val="000000"/>
          <w:sz w:val="21"/>
          <w:szCs w:val="21"/>
        </w:rPr>
        <w:t>Fee-based financial services are considered part of the benchmark VAT base since they are in principle easily taxable under the standard invoice-credit VAT mechanism. On the other hand, margin-based financial services are exempted under many VATs. However value-added for financial services could be measured by the sum of payroll plus profits generated by financial businesses. This “addition method” under VAT as an approximation to the value-added is not common. Because this approach is well defined, and the data should be available, VAT on financial services is included in the definition of the benchmark tax base. For property and casualty insurance (including term life insurance), the net margin can be measured and taxed, and so it is also included in the benchmark tax base. Whole life insurance is primarily a mechanism for long-term saving and estate planning rather than a good or service that is consumed, and an exemption for this type of life insurance is part of the VAT benchmark tax base.</w:t>
      </w:r>
      <w:r w:rsidRPr="00CB1E53">
        <w:rPr>
          <w:rStyle w:val="FootnoteReference"/>
          <w:rFonts w:ascii="Segoe UI" w:hAnsi="Segoe UI" w:cs="Segoe UI"/>
          <w:color w:val="000000"/>
          <w:sz w:val="21"/>
          <w:szCs w:val="21"/>
        </w:rPr>
        <w:footnoteReference w:id="18"/>
      </w:r>
    </w:p>
    <w:p w14:paraId="070993F2" w14:textId="7527E0C2"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lastRenderedPageBreak/>
        <w:t>Gaming</w:t>
      </w:r>
      <w:r w:rsidR="00BE5883">
        <w:rPr>
          <w:rFonts w:ascii="Segoe UI" w:hAnsi="Segoe UI" w:cs="Segoe UI"/>
          <w:i/>
          <w:iCs/>
          <w:color w:val="000000"/>
          <w:sz w:val="21"/>
          <w:szCs w:val="21"/>
        </w:rPr>
        <w:t xml:space="preserve">. </w:t>
      </w:r>
      <w:r w:rsidRPr="00CB1E53">
        <w:rPr>
          <w:rFonts w:ascii="Segoe UI" w:hAnsi="Segoe UI" w:cs="Segoe UI"/>
          <w:color w:val="000000"/>
          <w:sz w:val="21"/>
          <w:szCs w:val="21"/>
        </w:rPr>
        <w:t xml:space="preserve">Gambling is structurally similar to property and casualty insurance and should be included in the benchmark tax base. The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can be estimated using the margin method, with data available from regulators, taxation authorities, and financial records of businesses in the sector.</w:t>
      </w:r>
    </w:p>
    <w:p w14:paraId="712A8204" w14:textId="7AEBA797"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Buildings and land</w:t>
      </w:r>
      <w:r w:rsidR="0030449E">
        <w:rPr>
          <w:rFonts w:ascii="Segoe UI" w:hAnsi="Segoe UI" w:cs="Segoe UI"/>
          <w:i/>
          <w:iCs/>
          <w:color w:val="000000"/>
          <w:sz w:val="21"/>
          <w:szCs w:val="21"/>
        </w:rPr>
        <w:t xml:space="preserve">. </w:t>
      </w:r>
      <w:r w:rsidRPr="00CB1E53">
        <w:rPr>
          <w:rFonts w:ascii="Segoe UI" w:hAnsi="Segoe UI" w:cs="Segoe UI"/>
          <w:color w:val="000000"/>
          <w:sz w:val="21"/>
          <w:szCs w:val="21"/>
        </w:rPr>
        <w:t xml:space="preserve">The benchmark VAT tax base includes tax paid on the entire purchase price of newly constructed buildings and land by consumers for their own use (thus the asset value is taxed, rather than the flow of services from the asset, similar to the tax treatment of consumer durables). To the extent that the purchase of buildings and land is for use in a business activity, any VAT paid would be eligible for input tax credit and therefore does </w:t>
      </w:r>
      <w:r w:rsidR="0030449E">
        <w:rPr>
          <w:rFonts w:ascii="Segoe UI" w:hAnsi="Segoe UI" w:cs="Segoe UI"/>
          <w:color w:val="000000"/>
          <w:sz w:val="21"/>
          <w:szCs w:val="21"/>
        </w:rPr>
        <w:t>not</w:t>
      </w:r>
      <w:r w:rsidR="00185884">
        <w:rPr>
          <w:rFonts w:ascii="Segoe UI" w:hAnsi="Segoe UI" w:cs="Segoe UI"/>
          <w:color w:val="000000"/>
          <w:sz w:val="21"/>
          <w:szCs w:val="21"/>
        </w:rPr>
        <w:t xml:space="preserve"> </w:t>
      </w:r>
      <w:r w:rsidRPr="00CB1E53">
        <w:rPr>
          <w:rFonts w:ascii="Segoe UI" w:hAnsi="Segoe UI" w:cs="Segoe UI"/>
          <w:color w:val="000000"/>
          <w:sz w:val="21"/>
          <w:szCs w:val="21"/>
        </w:rPr>
        <w:t>form part of the benchmark VAT tax base. In the case of mixed-use property, for example a working farm that includes a personal residence, the portion intended for personal use is final consumption that forms part of the benchmark, while any VAT paid on the portion intended for business use would be eligible for input tax credits and therefor</w:t>
      </w:r>
      <w:r w:rsidR="006645DD">
        <w:rPr>
          <w:rFonts w:ascii="Segoe UI" w:hAnsi="Segoe UI" w:cs="Segoe UI"/>
          <w:color w:val="000000"/>
          <w:sz w:val="21"/>
          <w:szCs w:val="21"/>
        </w:rPr>
        <w:t>e</w:t>
      </w:r>
      <w:r w:rsidRPr="00CB1E53">
        <w:rPr>
          <w:rFonts w:ascii="Segoe UI" w:hAnsi="Segoe UI" w:cs="Segoe UI"/>
          <w:color w:val="000000"/>
          <w:sz w:val="21"/>
          <w:szCs w:val="21"/>
        </w:rPr>
        <w:t xml:space="preserve"> </w:t>
      </w:r>
      <w:r w:rsidRPr="00575724">
        <w:rPr>
          <w:rFonts w:ascii="Segoe UI" w:hAnsi="Segoe UI" w:cs="Segoe UI"/>
          <w:color w:val="000000"/>
          <w:sz w:val="21"/>
          <w:szCs w:val="21"/>
        </w:rPr>
        <w:t xml:space="preserve">does </w:t>
      </w:r>
      <w:r w:rsidRPr="00575724">
        <w:rPr>
          <w:rFonts w:ascii="Segoe UI" w:hAnsi="Segoe UI"/>
          <w:color w:val="000000"/>
          <w:sz w:val="21"/>
        </w:rPr>
        <w:t>not</w:t>
      </w:r>
      <w:r w:rsidRPr="00CB1E53">
        <w:rPr>
          <w:rFonts w:ascii="Segoe UI" w:hAnsi="Segoe UI" w:cs="Segoe UI"/>
          <w:color w:val="000000"/>
          <w:sz w:val="21"/>
          <w:szCs w:val="21"/>
        </w:rPr>
        <w:t xml:space="preserve"> form part of the benchmark VAT base.</w:t>
      </w:r>
    </w:p>
    <w:p w14:paraId="4940F5DA" w14:textId="3314A882" w:rsidR="00F77F6D" w:rsidRPr="00CB1E53" w:rsidRDefault="00F77F6D" w:rsidP="00FD11D9">
      <w:pPr>
        <w:autoSpaceDE w:val="0"/>
        <w:autoSpaceDN w:val="0"/>
        <w:adjustRightInd w:val="0"/>
        <w:spacing w:after="240" w:line="264" w:lineRule="auto"/>
        <w:jc w:val="both"/>
        <w:rPr>
          <w:rFonts w:ascii="Segoe UI" w:hAnsi="Segoe UI" w:cs="Segoe UI"/>
          <w:color w:val="000000"/>
          <w:sz w:val="21"/>
          <w:szCs w:val="21"/>
        </w:rPr>
      </w:pPr>
      <w:r w:rsidRPr="00CB1E53">
        <w:rPr>
          <w:rFonts w:ascii="Segoe UI" w:hAnsi="Segoe UI" w:cs="Segoe UI"/>
          <w:i/>
          <w:iCs/>
          <w:color w:val="000000"/>
          <w:sz w:val="21"/>
          <w:szCs w:val="21"/>
        </w:rPr>
        <w:t>Treatment of tourism</w:t>
      </w:r>
      <w:r w:rsidR="00BE5883">
        <w:rPr>
          <w:rFonts w:ascii="Segoe UI" w:hAnsi="Segoe UI" w:cs="Segoe UI"/>
          <w:i/>
          <w:iCs/>
          <w:color w:val="000000"/>
          <w:sz w:val="21"/>
          <w:szCs w:val="21"/>
        </w:rPr>
        <w:t xml:space="preserve">. </w:t>
      </w:r>
      <w:r w:rsidRPr="00CB1E53">
        <w:rPr>
          <w:rFonts w:ascii="Segoe UI" w:hAnsi="Segoe UI" w:cs="Segoe UI"/>
          <w:color w:val="000000"/>
          <w:sz w:val="21"/>
          <w:szCs w:val="21"/>
        </w:rPr>
        <w:t>From an economic perspective goods and services consumed by visitors to Moldova are exported (and in fact tourism is so considered in the balance of payments). Accordingly, these supplies should in principle be zero-rated under the VAT. A problem arises however when, as is often the case, the consumption would not be taxed when “imported” into the visitor’s home country. Rather than having this consumption go completely untaxed, it is common to tax tourist purchases (although a number of countries also zero-rate some purchases by tourists, in particular hotel bills). For this reason, supplies to tourists are</w:t>
      </w:r>
      <w:r w:rsidR="00BE0F40" w:rsidRPr="00CB1E53">
        <w:rPr>
          <w:rFonts w:ascii="Segoe UI" w:hAnsi="Segoe UI" w:cs="Segoe UI"/>
          <w:color w:val="000000"/>
          <w:sz w:val="21"/>
          <w:szCs w:val="21"/>
        </w:rPr>
        <w:t xml:space="preserve"> </w:t>
      </w:r>
      <w:r w:rsidRPr="00CB1E53">
        <w:rPr>
          <w:rFonts w:ascii="Segoe UI" w:hAnsi="Segoe UI" w:cs="Segoe UI"/>
          <w:color w:val="000000"/>
          <w:sz w:val="21"/>
          <w:szCs w:val="21"/>
        </w:rPr>
        <w:t>included in the benchmark tax base for VAT.</w:t>
      </w:r>
    </w:p>
    <w:p w14:paraId="0C08DC4B" w14:textId="4A9C4450" w:rsidR="00F77F6D" w:rsidRPr="00CB1E53" w:rsidRDefault="00F77F6D" w:rsidP="00FD11D9">
      <w:pPr>
        <w:pStyle w:val="ParagraphNumbering"/>
        <w:numPr>
          <w:ilvl w:val="0"/>
          <w:numId w:val="0"/>
        </w:numPr>
        <w:tabs>
          <w:tab w:val="left" w:pos="720"/>
        </w:tabs>
        <w:spacing w:after="240" w:line="264" w:lineRule="auto"/>
        <w:jc w:val="both"/>
        <w:rPr>
          <w:rFonts w:ascii="Segoe UI" w:hAnsi="Segoe UI" w:cs="Segoe UI"/>
          <w:sz w:val="21"/>
          <w:szCs w:val="21"/>
        </w:rPr>
      </w:pPr>
      <w:r w:rsidRPr="00CB1E53">
        <w:rPr>
          <w:rFonts w:ascii="Segoe UI" w:hAnsi="Segoe UI" w:cs="Segoe UI"/>
          <w:i/>
          <w:iCs/>
          <w:color w:val="000000"/>
          <w:sz w:val="21"/>
          <w:szCs w:val="21"/>
        </w:rPr>
        <w:t>Government and non-government organizations</w:t>
      </w:r>
      <w:r w:rsidR="00974F62">
        <w:rPr>
          <w:rFonts w:ascii="Segoe UI" w:hAnsi="Segoe UI" w:cs="Segoe UI"/>
          <w:i/>
          <w:iCs/>
          <w:color w:val="000000"/>
          <w:sz w:val="21"/>
          <w:szCs w:val="21"/>
        </w:rPr>
        <w:t xml:space="preserve"> (NGOs)</w:t>
      </w:r>
      <w:r w:rsidR="0030449E">
        <w:rPr>
          <w:rFonts w:ascii="Segoe UI" w:hAnsi="Segoe UI" w:cs="Segoe UI"/>
          <w:i/>
          <w:iCs/>
          <w:color w:val="000000"/>
          <w:sz w:val="21"/>
          <w:szCs w:val="21"/>
        </w:rPr>
        <w:t xml:space="preserve">. </w:t>
      </w:r>
      <w:r w:rsidRPr="00CB1E53">
        <w:rPr>
          <w:rFonts w:ascii="Segoe UI" w:hAnsi="Segoe UI" w:cs="Segoe UI"/>
          <w:bCs/>
          <w:sz w:val="21"/>
          <w:szCs w:val="21"/>
        </w:rPr>
        <w:t>If government as supplier and purchaser of goods and services were</w:t>
      </w:r>
      <w:r w:rsidRPr="00CB1E53">
        <w:rPr>
          <w:rFonts w:ascii="Segoe UI" w:hAnsi="Segoe UI" w:cs="Segoe UI"/>
          <w:sz w:val="21"/>
          <w:szCs w:val="21"/>
        </w:rPr>
        <w:t xml:space="preserve"> fully VAT-able or taxable under the VAT regime it is entitled to input tax credits for its purchases while all goods and </w:t>
      </w:r>
      <w:r w:rsidR="00185884" w:rsidRPr="00CB1E53">
        <w:rPr>
          <w:rFonts w:ascii="Segoe UI" w:hAnsi="Segoe UI" w:cs="Segoe UI"/>
          <w:sz w:val="21"/>
          <w:szCs w:val="21"/>
        </w:rPr>
        <w:t>services,</w:t>
      </w:r>
      <w:r w:rsidRPr="00CB1E53">
        <w:rPr>
          <w:rFonts w:ascii="Segoe UI" w:hAnsi="Segoe UI" w:cs="Segoe UI"/>
          <w:sz w:val="21"/>
          <w:szCs w:val="21"/>
        </w:rPr>
        <w:t xml:space="preserve"> it supplies are taxable. Such a “pure” VAT treatment of government is only operated by New Zealand as it requires appropriate and complex government accounting systems, and all government subdivisions must be registered for VAT. A common “second best” approach is then to exclude “pure” government activities from VAT (being benchmark) so that government becomes “input taxed” on its imports and purchases. Of course, the government collects that input tax again in the form of tax revenue paid over to itself by its suppliers. If, however, government engages in activities that are or can also be carried out by private businesses (i.e., public sector enterprises), it should be fully subject to VAT</w:t>
      </w:r>
      <w:r w:rsidR="0030449E">
        <w:rPr>
          <w:rFonts w:ascii="Segoe UI" w:hAnsi="Segoe UI" w:cs="Segoe UI"/>
          <w:sz w:val="21"/>
          <w:szCs w:val="21"/>
        </w:rPr>
        <w:t>.</w:t>
      </w:r>
    </w:p>
    <w:p w14:paraId="4AF7DCF3" w14:textId="6D2C6D5E" w:rsidR="00F77F6D" w:rsidRPr="00706F15" w:rsidRDefault="00F77F6D" w:rsidP="00FD11D9">
      <w:pPr>
        <w:autoSpaceDE w:val="0"/>
        <w:autoSpaceDN w:val="0"/>
        <w:adjustRightInd w:val="0"/>
        <w:spacing w:after="240" w:line="264" w:lineRule="auto"/>
        <w:jc w:val="both"/>
        <w:rPr>
          <w:rFonts w:ascii="Segoe UI" w:hAnsi="Segoe UI" w:cs="Segoe UI"/>
          <w:color w:val="000000"/>
          <w:sz w:val="21"/>
          <w:szCs w:val="21"/>
          <w:lang w:val="en-GB"/>
        </w:rPr>
      </w:pPr>
      <w:r w:rsidRPr="00CB1E53">
        <w:rPr>
          <w:rFonts w:ascii="Segoe UI" w:hAnsi="Segoe UI" w:cs="Segoe UI"/>
          <w:bCs/>
          <w:sz w:val="21"/>
          <w:szCs w:val="21"/>
        </w:rPr>
        <w:t>Many VAT systems provide for the concessionary treatment of charities and other non-profits on equity and practical grounds.</w:t>
      </w:r>
      <w:r w:rsidRPr="00CB1E53">
        <w:rPr>
          <w:rStyle w:val="FootnoteReference"/>
          <w:rFonts w:ascii="Segoe UI" w:hAnsi="Segoe UI" w:cs="Segoe UI"/>
          <w:sz w:val="21"/>
          <w:szCs w:val="21"/>
        </w:rPr>
        <w:footnoteReference w:id="19"/>
      </w:r>
      <w:r w:rsidRPr="00CB1E53">
        <w:rPr>
          <w:rFonts w:ascii="Segoe UI" w:hAnsi="Segoe UI" w:cs="Segoe UI"/>
          <w:sz w:val="21"/>
          <w:szCs w:val="21"/>
        </w:rPr>
        <w:t xml:space="preserve"> While VAT does not generally distinguish between “for profit” and “charitable” activities, many VAT systems award some form of concessionary VAT treatment to supplies of qualifying charities ranging from exemption to zero-rating. Some VATs include charitable activities into the VAT base to allow input credits and refunds (e.g., New Zealand) while others exempt charities </w:t>
      </w:r>
      <w:r w:rsidRPr="00CB1E53">
        <w:rPr>
          <w:rFonts w:ascii="Segoe UI" w:hAnsi="Segoe UI" w:cs="Segoe UI"/>
          <w:sz w:val="21"/>
          <w:szCs w:val="21"/>
        </w:rPr>
        <w:lastRenderedPageBreak/>
        <w:t>but operate a VAT compensation or rebate scheme to compensate charities for input tax (e.g., Denmark, Canada). A jurisdiction with lower capacity and weaker institutions, VAT exemption may be a second-best option.</w:t>
      </w:r>
      <w:r w:rsidRPr="00CB1E53">
        <w:rPr>
          <w:rFonts w:ascii="Segoe UI" w:hAnsi="Segoe UI" w:cs="Segoe UI"/>
          <w:b/>
          <w:sz w:val="21"/>
          <w:szCs w:val="21"/>
        </w:rPr>
        <w:t xml:space="preserve"> </w:t>
      </w:r>
      <w:r w:rsidRPr="00CB1E53">
        <w:rPr>
          <w:rFonts w:ascii="Segoe UI" w:hAnsi="Segoe UI" w:cs="Segoe UI"/>
          <w:sz w:val="21"/>
          <w:szCs w:val="21"/>
        </w:rPr>
        <w:t>Concessionary treatment in the form of zero-rating and VAT compensation or rebate schemes are administratively complex to manage and add risk. In a weak institutional environment with very little VAT experience, the exemption approach is likely to be the best alternative</w:t>
      </w:r>
      <w:r w:rsidR="0030449E">
        <w:rPr>
          <w:rFonts w:ascii="Segoe UI" w:hAnsi="Segoe UI" w:cs="Segoe UI"/>
          <w:sz w:val="21"/>
          <w:szCs w:val="21"/>
        </w:rPr>
        <w:t xml:space="preserve">. </w:t>
      </w:r>
    </w:p>
    <w:p w14:paraId="49B1C916" w14:textId="77777777" w:rsidR="00F77F6D" w:rsidRPr="00CB1E53" w:rsidRDefault="00F77F6D" w:rsidP="00FD11D9">
      <w:pPr>
        <w:autoSpaceDE w:val="0"/>
        <w:autoSpaceDN w:val="0"/>
        <w:adjustRightInd w:val="0"/>
        <w:spacing w:after="240" w:line="264" w:lineRule="auto"/>
        <w:jc w:val="both"/>
        <w:rPr>
          <w:rFonts w:ascii="Segoe UI" w:hAnsi="Segoe UI" w:cs="Segoe UI"/>
          <w:b/>
          <w:bCs/>
          <w:color w:val="000000"/>
          <w:sz w:val="21"/>
          <w:szCs w:val="21"/>
        </w:rPr>
      </w:pPr>
      <w:r w:rsidRPr="00CB1E53">
        <w:rPr>
          <w:rFonts w:ascii="Segoe UI" w:hAnsi="Segoe UI" w:cs="Segoe UI"/>
          <w:i/>
          <w:iCs/>
          <w:color w:val="000000"/>
          <w:sz w:val="21"/>
          <w:szCs w:val="21"/>
        </w:rPr>
        <w:t>Issues arising from the failure to pay refunds in a timely manner</w:t>
      </w:r>
      <w:r w:rsidRPr="00CB1E53">
        <w:rPr>
          <w:rFonts w:ascii="Segoe UI" w:hAnsi="Segoe UI" w:cs="Segoe UI"/>
          <w:b/>
          <w:bCs/>
          <w:color w:val="000000"/>
          <w:sz w:val="21"/>
          <w:szCs w:val="21"/>
        </w:rPr>
        <w:t xml:space="preserve"> </w:t>
      </w:r>
    </w:p>
    <w:p w14:paraId="43AD7E47" w14:textId="3D3F73E3" w:rsidR="00F77F6D" w:rsidRPr="00BE5883" w:rsidRDefault="00F77F6D" w:rsidP="00FD11D9">
      <w:pPr>
        <w:autoSpaceDE w:val="0"/>
        <w:autoSpaceDN w:val="0"/>
        <w:adjustRightInd w:val="0"/>
        <w:spacing w:after="240" w:line="264" w:lineRule="auto"/>
        <w:jc w:val="both"/>
        <w:rPr>
          <w:rFonts w:ascii="Segoe UI" w:hAnsi="Segoe UI"/>
          <w:color w:val="000000"/>
          <w:sz w:val="21"/>
        </w:rPr>
      </w:pPr>
      <w:r w:rsidRPr="00CB1E53">
        <w:rPr>
          <w:rFonts w:ascii="Segoe UI" w:hAnsi="Segoe UI" w:cs="Segoe UI"/>
          <w:color w:val="000000"/>
          <w:sz w:val="21"/>
          <w:szCs w:val="21"/>
        </w:rPr>
        <w:t xml:space="preserve">In some cases, preferential tax treatment that generates a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can also place the taxpayer in a</w:t>
      </w:r>
      <w:r w:rsidR="00C357C0">
        <w:rPr>
          <w:rFonts w:ascii="Segoe UI" w:hAnsi="Segoe UI" w:cs="Segoe UI"/>
          <w:color w:val="000000"/>
          <w:sz w:val="21"/>
          <w:szCs w:val="21"/>
        </w:rPr>
        <w:t xml:space="preserve"> </w:t>
      </w:r>
      <w:r w:rsidRPr="00CB1E53">
        <w:rPr>
          <w:rFonts w:ascii="Segoe UI" w:hAnsi="Segoe UI" w:cs="Segoe UI"/>
          <w:color w:val="000000"/>
          <w:sz w:val="21"/>
          <w:szCs w:val="21"/>
        </w:rPr>
        <w:t xml:space="preserve">persistent excess credit position that requires the payment of VAT refunds in a timely manner. In Moldova in many cases some businesses have high levels of excess credits accumulated over time for which no VAT refunds have been paid. In a sense this is a “negative”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since it reduces the true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generated. However, unpaid refunds should not be included in the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xml:space="preserve"> assessment as a negative </w:t>
      </w:r>
      <w:r w:rsidR="009430CA" w:rsidRPr="00CB1E53">
        <w:rPr>
          <w:rFonts w:ascii="Segoe UI" w:hAnsi="Segoe UI" w:cs="Segoe UI"/>
          <w:color w:val="000000"/>
          <w:sz w:val="21"/>
          <w:szCs w:val="21"/>
        </w:rPr>
        <w:t>TE</w:t>
      </w:r>
      <w:r w:rsidRPr="00CB1E53">
        <w:rPr>
          <w:rFonts w:ascii="Segoe UI" w:hAnsi="Segoe UI" w:cs="Segoe UI"/>
          <w:color w:val="000000"/>
          <w:sz w:val="21"/>
          <w:szCs w:val="21"/>
        </w:rPr>
        <w:t>. Rather, failure to pay refunds undermines the credibility of the VAT, and the practice imposes effectively random and capricious tax burdens on commodities and taxpayers. In addition, large stocks of excess credits held by businesses provide incentives for horizontal and vertical integration of businesses and can place domestic firms at a competitive disadvantage relative to imports (which effectively receive refunds from the country of production when earned). The appropriate policy is to pay verifiable refund claims in a timely manner, and the benchmark tax system should recognize that as the practice.</w:t>
      </w:r>
    </w:p>
    <w:p w14:paraId="71D249EC" w14:textId="76062256" w:rsidR="00F77F6D" w:rsidRPr="00CB1E53" w:rsidRDefault="00F77F6D" w:rsidP="00FD11D9">
      <w:pPr>
        <w:pStyle w:val="Heading2"/>
        <w:numPr>
          <w:ilvl w:val="0"/>
          <w:numId w:val="14"/>
        </w:numPr>
        <w:ind w:left="720"/>
        <w:jc w:val="both"/>
      </w:pPr>
      <w:bookmarkStart w:id="25" w:name="_Toc99298770"/>
      <w:r w:rsidRPr="00CB1E53">
        <w:t>Inventory of Identified Variation</w:t>
      </w:r>
      <w:r w:rsidR="00644BD6" w:rsidRPr="00CB1E53">
        <w:t>s</w:t>
      </w:r>
      <w:r w:rsidRPr="00CB1E53">
        <w:t xml:space="preserve"> from the Benchmark</w:t>
      </w:r>
      <w:bookmarkEnd w:id="25"/>
      <w:r w:rsidRPr="00CB1E53">
        <w:t xml:space="preserve"> </w:t>
      </w:r>
    </w:p>
    <w:p w14:paraId="2B6AE4A9" w14:textId="4C3E3495"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 xml:space="preserve">In order </w:t>
      </w:r>
      <w:r w:rsidR="00644BD6" w:rsidRPr="00CB1E53">
        <w:rPr>
          <w:rFonts w:ascii="Segoe UI" w:hAnsi="Segoe UI" w:cs="Segoe UI"/>
          <w:sz w:val="21"/>
          <w:szCs w:val="21"/>
        </w:rPr>
        <w:t xml:space="preserve">to </w:t>
      </w:r>
      <w:r w:rsidRPr="00CB1E53">
        <w:rPr>
          <w:rFonts w:ascii="Segoe UI" w:hAnsi="Segoe UI" w:cs="Segoe UI"/>
          <w:sz w:val="21"/>
          <w:szCs w:val="21"/>
        </w:rPr>
        <w:t>report on the range of tax relief measures under each tax instrument, the TEA</w:t>
      </w:r>
      <w:r w:rsidR="009430CA" w:rsidRPr="00CB1E53">
        <w:rPr>
          <w:rFonts w:ascii="Segoe UI" w:hAnsi="Segoe UI" w:cs="Segoe UI"/>
          <w:sz w:val="21"/>
          <w:szCs w:val="21"/>
        </w:rPr>
        <w:t>R</w:t>
      </w:r>
      <w:r w:rsidRPr="00CB1E53">
        <w:rPr>
          <w:rFonts w:ascii="Segoe UI" w:hAnsi="Segoe UI" w:cs="Segoe UI"/>
          <w:sz w:val="21"/>
          <w:szCs w:val="21"/>
        </w:rPr>
        <w:t xml:space="preserve"> records an inventory of </w:t>
      </w:r>
      <w:r w:rsidR="009430CA" w:rsidRPr="00CB1E53">
        <w:rPr>
          <w:rFonts w:ascii="Segoe UI" w:hAnsi="Segoe UI" w:cs="Segoe UI"/>
          <w:sz w:val="21"/>
          <w:szCs w:val="21"/>
        </w:rPr>
        <w:t>TEs</w:t>
      </w:r>
      <w:r w:rsidRPr="00CB1E53">
        <w:rPr>
          <w:rFonts w:ascii="Segoe UI" w:hAnsi="Segoe UI" w:cs="Segoe UI"/>
          <w:sz w:val="21"/>
          <w:szCs w:val="21"/>
        </w:rPr>
        <w:t>, as comprehensive</w:t>
      </w:r>
      <w:r w:rsidR="00644BD6" w:rsidRPr="00CB1E53">
        <w:rPr>
          <w:rFonts w:ascii="Segoe UI" w:hAnsi="Segoe UI" w:cs="Segoe UI"/>
          <w:sz w:val="21"/>
          <w:szCs w:val="21"/>
        </w:rPr>
        <w:t>ly</w:t>
      </w:r>
      <w:r w:rsidRPr="00CB1E53">
        <w:rPr>
          <w:rFonts w:ascii="Segoe UI" w:hAnsi="Segoe UI" w:cs="Segoe UI"/>
          <w:sz w:val="21"/>
          <w:szCs w:val="21"/>
        </w:rPr>
        <w:t xml:space="preserve"> as possible. This is accomplished by comparing the actual provisions of </w:t>
      </w:r>
      <w:r w:rsidR="00644BD6" w:rsidRPr="00CB1E53">
        <w:rPr>
          <w:rFonts w:ascii="Segoe UI" w:hAnsi="Segoe UI" w:cs="Segoe UI"/>
          <w:sz w:val="21"/>
          <w:szCs w:val="21"/>
        </w:rPr>
        <w:t>Moldovan</w:t>
      </w:r>
      <w:r w:rsidRPr="00CB1E53">
        <w:rPr>
          <w:rFonts w:ascii="Segoe UI" w:hAnsi="Segoe UI" w:cs="Segoe UI"/>
          <w:sz w:val="21"/>
          <w:szCs w:val="21"/>
        </w:rPr>
        <w:t xml:space="preserve"> tax system</w:t>
      </w:r>
      <w:r w:rsidR="00644BD6" w:rsidRPr="00CB1E53">
        <w:rPr>
          <w:rFonts w:ascii="Segoe UI" w:hAnsi="Segoe UI" w:cs="Segoe UI"/>
          <w:sz w:val="21"/>
          <w:szCs w:val="21"/>
        </w:rPr>
        <w:t xml:space="preserve"> </w:t>
      </w:r>
      <w:r w:rsidRPr="00CB1E53">
        <w:rPr>
          <w:rFonts w:ascii="Segoe UI" w:hAnsi="Segoe UI" w:cs="Segoe UI"/>
          <w:sz w:val="21"/>
          <w:szCs w:val="21"/>
        </w:rPr>
        <w:t xml:space="preserve">against the established benchmark. For each identified </w:t>
      </w:r>
      <w:r w:rsidR="009430CA" w:rsidRPr="00CB1E53">
        <w:rPr>
          <w:rFonts w:ascii="Segoe UI" w:hAnsi="Segoe UI" w:cs="Segoe UI"/>
          <w:sz w:val="21"/>
          <w:szCs w:val="21"/>
        </w:rPr>
        <w:t>TE</w:t>
      </w:r>
      <w:r w:rsidRPr="00CB1E53">
        <w:rPr>
          <w:rFonts w:ascii="Segoe UI" w:hAnsi="Segoe UI" w:cs="Segoe UI"/>
          <w:sz w:val="21"/>
          <w:szCs w:val="21"/>
        </w:rPr>
        <w:t xml:space="preserve"> arising from this comparison, </w:t>
      </w:r>
      <w:r w:rsidR="00644BD6" w:rsidRPr="00CB1E53">
        <w:rPr>
          <w:rFonts w:ascii="Segoe UI" w:hAnsi="Segoe UI" w:cs="Segoe UI"/>
          <w:sz w:val="21"/>
          <w:szCs w:val="21"/>
        </w:rPr>
        <w:t>a standardized</w:t>
      </w:r>
      <w:r w:rsidR="00E810C6" w:rsidRPr="00CB1E53">
        <w:rPr>
          <w:rFonts w:ascii="Segoe UI" w:hAnsi="Segoe UI" w:cs="Segoe UI"/>
          <w:sz w:val="21"/>
          <w:szCs w:val="21"/>
        </w:rPr>
        <w:t xml:space="preserve"> template—a</w:t>
      </w:r>
      <w:r w:rsidR="00644BD6" w:rsidRPr="00CB1E53">
        <w:rPr>
          <w:rFonts w:ascii="Segoe UI" w:hAnsi="Segoe UI" w:cs="Segoe UI"/>
          <w:sz w:val="21"/>
          <w:szCs w:val="21"/>
        </w:rPr>
        <w:t xml:space="preserve"> </w:t>
      </w:r>
      <w:r w:rsidR="00E810C6" w:rsidRPr="00CB1E53">
        <w:rPr>
          <w:rFonts w:ascii="Segoe UI" w:hAnsi="Segoe UI" w:cs="Segoe UI"/>
          <w:sz w:val="21"/>
          <w:szCs w:val="21"/>
        </w:rPr>
        <w:t xml:space="preserve">TE </w:t>
      </w:r>
      <w:r w:rsidR="00644BD6" w:rsidRPr="00CB1E53">
        <w:rPr>
          <w:rFonts w:ascii="Segoe UI" w:hAnsi="Segoe UI" w:cs="Segoe UI"/>
          <w:sz w:val="21"/>
          <w:szCs w:val="21"/>
        </w:rPr>
        <w:t>summary sheet</w:t>
      </w:r>
      <w:r w:rsidR="00E810C6" w:rsidRPr="00CB1E53">
        <w:rPr>
          <w:rFonts w:ascii="Segoe UI" w:hAnsi="Segoe UI" w:cs="Segoe UI"/>
          <w:sz w:val="21"/>
          <w:szCs w:val="21"/>
        </w:rPr>
        <w:t>—</w:t>
      </w:r>
      <w:r w:rsidR="00644BD6" w:rsidRPr="00CB1E53">
        <w:rPr>
          <w:rFonts w:ascii="Segoe UI" w:hAnsi="Segoe UI" w:cs="Segoe UI"/>
          <w:sz w:val="21"/>
          <w:szCs w:val="21"/>
        </w:rPr>
        <w:t xml:space="preserve">is prepared to </w:t>
      </w:r>
      <w:r w:rsidRPr="00CB1E53">
        <w:rPr>
          <w:rFonts w:ascii="Segoe UI" w:hAnsi="Segoe UI" w:cs="Segoe UI"/>
          <w:sz w:val="21"/>
          <w:szCs w:val="21"/>
        </w:rPr>
        <w:t xml:space="preserve">enable a consistent analysis </w:t>
      </w:r>
      <w:r w:rsidR="00644BD6" w:rsidRPr="00CB1E53">
        <w:rPr>
          <w:rFonts w:ascii="Segoe UI" w:hAnsi="Segoe UI" w:cs="Segoe UI"/>
          <w:sz w:val="21"/>
          <w:szCs w:val="21"/>
        </w:rPr>
        <w:t>of TEs</w:t>
      </w:r>
      <w:r w:rsidRPr="00CB1E53">
        <w:rPr>
          <w:rFonts w:ascii="Segoe UI" w:hAnsi="Segoe UI" w:cs="Segoe UI"/>
          <w:sz w:val="21"/>
          <w:szCs w:val="21"/>
        </w:rPr>
        <w:t>.</w:t>
      </w:r>
    </w:p>
    <w:p w14:paraId="2E4EE73C" w14:textId="77777777" w:rsidR="00644BD6" w:rsidRPr="00CB1E53" w:rsidRDefault="00644BD6" w:rsidP="00FD11D9">
      <w:pPr>
        <w:spacing w:after="120" w:line="264" w:lineRule="auto"/>
        <w:jc w:val="both"/>
        <w:rPr>
          <w:rFonts w:ascii="Segoe UI" w:hAnsi="Segoe UI" w:cs="Segoe UI"/>
          <w:sz w:val="21"/>
          <w:szCs w:val="21"/>
        </w:rPr>
      </w:pPr>
      <w:r w:rsidRPr="00CB1E53">
        <w:rPr>
          <w:rFonts w:ascii="Segoe UI" w:hAnsi="Segoe UI" w:cs="Segoe UI"/>
          <w:sz w:val="21"/>
          <w:szCs w:val="21"/>
        </w:rPr>
        <w:t>Each TE summary includes</w:t>
      </w:r>
      <w:r w:rsidR="00F77F6D" w:rsidRPr="00CB1E53">
        <w:rPr>
          <w:rFonts w:ascii="Segoe UI" w:hAnsi="Segoe UI" w:cs="Segoe UI"/>
          <w:sz w:val="21"/>
          <w:szCs w:val="21"/>
        </w:rPr>
        <w:t xml:space="preserve">—in line with good international practice—a description of the key features: </w:t>
      </w:r>
    </w:p>
    <w:p w14:paraId="2468C54E" w14:textId="2E34FB01"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how the </w:t>
      </w:r>
      <w:r w:rsidR="00644BD6" w:rsidRPr="00CB1E53">
        <w:rPr>
          <w:rFonts w:ascii="Segoe UI" w:hAnsi="Segoe UI" w:cs="Segoe UI"/>
          <w:sz w:val="21"/>
          <w:szCs w:val="21"/>
        </w:rPr>
        <w:t>TE</w:t>
      </w:r>
      <w:r w:rsidRPr="00CB1E53">
        <w:rPr>
          <w:rFonts w:ascii="Segoe UI" w:hAnsi="Segoe UI" w:cs="Segoe UI"/>
          <w:sz w:val="21"/>
          <w:szCs w:val="21"/>
        </w:rPr>
        <w:t xml:space="preserve"> functions; </w:t>
      </w:r>
    </w:p>
    <w:p w14:paraId="367EFA62" w14:textId="244DD25E"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why the measure is a deviation from the benchmark; </w:t>
      </w:r>
    </w:p>
    <w:p w14:paraId="15E7389A" w14:textId="77777777"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who benefits from the measure; </w:t>
      </w:r>
    </w:p>
    <w:p w14:paraId="3150485F" w14:textId="77777777"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what policy objectives are being pursued; </w:t>
      </w:r>
    </w:p>
    <w:p w14:paraId="27508AD2" w14:textId="793D350F"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the legislative reference providing for the </w:t>
      </w:r>
      <w:r w:rsidR="00644BD6" w:rsidRPr="00CB1E53">
        <w:rPr>
          <w:rFonts w:ascii="Segoe UI" w:hAnsi="Segoe UI" w:cs="Segoe UI"/>
          <w:sz w:val="21"/>
          <w:szCs w:val="21"/>
        </w:rPr>
        <w:t>TE</w:t>
      </w:r>
      <w:r w:rsidRPr="00CB1E53">
        <w:rPr>
          <w:rFonts w:ascii="Segoe UI" w:hAnsi="Segoe UI" w:cs="Segoe UI"/>
          <w:sz w:val="21"/>
          <w:szCs w:val="21"/>
        </w:rPr>
        <w:t xml:space="preserve">; </w:t>
      </w:r>
    </w:p>
    <w:p w14:paraId="1E5362C3" w14:textId="77777777"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when was </w:t>
      </w:r>
      <w:r w:rsidR="00644BD6" w:rsidRPr="00CB1E53">
        <w:rPr>
          <w:rFonts w:ascii="Segoe UI" w:hAnsi="Segoe UI" w:cs="Segoe UI"/>
          <w:sz w:val="21"/>
          <w:szCs w:val="21"/>
        </w:rPr>
        <w:t xml:space="preserve">the TE </w:t>
      </w:r>
      <w:r w:rsidRPr="00CB1E53">
        <w:rPr>
          <w:rFonts w:ascii="Segoe UI" w:hAnsi="Segoe UI" w:cs="Segoe UI"/>
          <w:sz w:val="21"/>
          <w:szCs w:val="21"/>
        </w:rPr>
        <w:t xml:space="preserve">introduced, whether it has changed over time, and whether there is a stipulated sunset or expiry date; </w:t>
      </w:r>
    </w:p>
    <w:p w14:paraId="72628AB8" w14:textId="77777777" w:rsidR="00644BD6"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 xml:space="preserve">the number of recorded beneficiaries; and </w:t>
      </w:r>
    </w:p>
    <w:p w14:paraId="3ED30009" w14:textId="4970B040" w:rsidR="00F77F6D" w:rsidRPr="00CB1E53" w:rsidRDefault="00F77F6D" w:rsidP="00FD11D9">
      <w:pPr>
        <w:pStyle w:val="ListParagraph"/>
        <w:numPr>
          <w:ilvl w:val="0"/>
          <w:numId w:val="15"/>
        </w:numPr>
        <w:spacing w:after="120" w:line="264" w:lineRule="auto"/>
        <w:jc w:val="both"/>
        <w:rPr>
          <w:rFonts w:ascii="Segoe UI" w:hAnsi="Segoe UI" w:cs="Segoe UI"/>
          <w:sz w:val="21"/>
          <w:szCs w:val="21"/>
        </w:rPr>
      </w:pPr>
      <w:r w:rsidRPr="00CB1E53">
        <w:rPr>
          <w:rFonts w:ascii="Segoe UI" w:hAnsi="Segoe UI" w:cs="Segoe UI"/>
          <w:sz w:val="21"/>
          <w:szCs w:val="21"/>
        </w:rPr>
        <w:t>information on data sources and the applied estimation method(s).</w:t>
      </w:r>
    </w:p>
    <w:p w14:paraId="3FB52E8A" w14:textId="4163C0CA" w:rsidR="00F77F6D" w:rsidRPr="00CB1E53" w:rsidRDefault="00F77F6D" w:rsidP="00FD11D9">
      <w:pPr>
        <w:spacing w:after="120" w:line="264" w:lineRule="auto"/>
        <w:jc w:val="both"/>
        <w:rPr>
          <w:rFonts w:ascii="Segoe UI" w:hAnsi="Segoe UI" w:cs="Segoe UI"/>
          <w:sz w:val="21"/>
          <w:szCs w:val="21"/>
        </w:rPr>
      </w:pPr>
      <w:r w:rsidRPr="00CB1E53">
        <w:rPr>
          <w:rFonts w:ascii="Segoe UI" w:hAnsi="Segoe UI" w:cs="Segoe UI"/>
          <w:sz w:val="21"/>
          <w:szCs w:val="21"/>
        </w:rPr>
        <w:t>This TEAR contains</w:t>
      </w:r>
      <w:r w:rsidR="009265EE" w:rsidRPr="00CB1E53">
        <w:rPr>
          <w:rFonts w:ascii="Segoe UI" w:hAnsi="Segoe UI" w:cs="Segoe UI"/>
          <w:sz w:val="21"/>
          <w:szCs w:val="21"/>
        </w:rPr>
        <w:t xml:space="preserve"> TE summary sheets </w:t>
      </w:r>
      <w:r w:rsidRPr="00CB1E53">
        <w:rPr>
          <w:rFonts w:ascii="Segoe UI" w:hAnsi="Segoe UI" w:cs="Segoe UI"/>
          <w:sz w:val="21"/>
          <w:szCs w:val="21"/>
        </w:rPr>
        <w:t>for the PIT, BIT and VAT systems</w:t>
      </w:r>
      <w:r w:rsidR="009265EE" w:rsidRPr="00CB1E53">
        <w:rPr>
          <w:rFonts w:ascii="Segoe UI" w:hAnsi="Segoe UI" w:cs="Segoe UI"/>
          <w:sz w:val="21"/>
          <w:szCs w:val="21"/>
        </w:rPr>
        <w:t>, included in Appendices 1-3</w:t>
      </w:r>
      <w:r w:rsidRPr="00CB1E53">
        <w:rPr>
          <w:rFonts w:ascii="Segoe UI" w:hAnsi="Segoe UI" w:cs="Segoe UI"/>
          <w:sz w:val="21"/>
          <w:szCs w:val="21"/>
        </w:rPr>
        <w:t xml:space="preserve">. Over time the contained information on </w:t>
      </w:r>
      <w:r w:rsidR="00F310A8" w:rsidRPr="00CB1E53">
        <w:rPr>
          <w:rFonts w:ascii="Segoe UI" w:hAnsi="Segoe UI" w:cs="Segoe UI"/>
          <w:sz w:val="21"/>
          <w:szCs w:val="21"/>
        </w:rPr>
        <w:t xml:space="preserve">TEs </w:t>
      </w:r>
      <w:r w:rsidR="007B27B9" w:rsidRPr="00CB1E53">
        <w:rPr>
          <w:rFonts w:ascii="Segoe UI" w:hAnsi="Segoe UI" w:cs="Segoe UI"/>
          <w:sz w:val="21"/>
          <w:szCs w:val="21"/>
        </w:rPr>
        <w:t xml:space="preserve">will </w:t>
      </w:r>
      <w:r w:rsidRPr="00CB1E53">
        <w:rPr>
          <w:rFonts w:ascii="Segoe UI" w:hAnsi="Segoe UI" w:cs="Segoe UI"/>
          <w:sz w:val="21"/>
          <w:szCs w:val="21"/>
        </w:rPr>
        <w:t xml:space="preserve">be further enriched and modified to enhance the transparency of </w:t>
      </w:r>
      <w:r w:rsidR="007B27B9" w:rsidRPr="00CB1E53">
        <w:rPr>
          <w:rFonts w:ascii="Segoe UI" w:hAnsi="Segoe UI" w:cs="Segoe UI"/>
          <w:sz w:val="21"/>
          <w:szCs w:val="21"/>
        </w:rPr>
        <w:t>TE</w:t>
      </w:r>
      <w:r w:rsidRPr="00CB1E53">
        <w:rPr>
          <w:rFonts w:ascii="Segoe UI" w:hAnsi="Segoe UI" w:cs="Segoe UI"/>
          <w:sz w:val="21"/>
          <w:szCs w:val="21"/>
        </w:rPr>
        <w:t xml:space="preserve"> reporting and to facilitate an intelligent evaluation and record of important lessons about previously introduced </w:t>
      </w:r>
      <w:r w:rsidR="009430CA" w:rsidRPr="00CB1E53">
        <w:rPr>
          <w:rFonts w:ascii="Segoe UI" w:hAnsi="Segoe UI" w:cs="Segoe UI"/>
          <w:sz w:val="21"/>
          <w:szCs w:val="21"/>
        </w:rPr>
        <w:t>TEs</w:t>
      </w:r>
      <w:r w:rsidRPr="00CB1E53">
        <w:rPr>
          <w:rFonts w:ascii="Segoe UI" w:hAnsi="Segoe UI" w:cs="Segoe UI"/>
          <w:sz w:val="21"/>
          <w:szCs w:val="21"/>
        </w:rPr>
        <w:t>.</w:t>
      </w:r>
    </w:p>
    <w:p w14:paraId="728C7984" w14:textId="21E8F428" w:rsidR="00F77F6D" w:rsidRPr="00CB1E53" w:rsidRDefault="00F77F6D" w:rsidP="00FD11D9">
      <w:pPr>
        <w:pStyle w:val="Heading2"/>
        <w:numPr>
          <w:ilvl w:val="0"/>
          <w:numId w:val="14"/>
        </w:numPr>
        <w:ind w:left="720"/>
        <w:jc w:val="both"/>
      </w:pPr>
      <w:bookmarkStart w:id="26" w:name="_Toc99298771"/>
      <w:r w:rsidRPr="00CB1E53">
        <w:lastRenderedPageBreak/>
        <w:t>Estimation of the Cost of Tax Expenditures</w:t>
      </w:r>
      <w:bookmarkEnd w:id="26"/>
    </w:p>
    <w:p w14:paraId="17728CE0" w14:textId="1E572491" w:rsidR="007575C3" w:rsidRPr="00CB1E53" w:rsidRDefault="007575C3" w:rsidP="00FD11D9">
      <w:pPr>
        <w:pStyle w:val="Heading3"/>
        <w:jc w:val="both"/>
        <w:rPr>
          <w:rFonts w:ascii="Segoe UI" w:hAnsi="Segoe UI" w:cs="Segoe UI"/>
          <w:sz w:val="21"/>
          <w:szCs w:val="21"/>
        </w:rPr>
      </w:pPr>
      <w:bookmarkStart w:id="27" w:name="_58e0ozuibdsg"/>
      <w:bookmarkStart w:id="28" w:name="_Toc99298772"/>
      <w:bookmarkEnd w:id="27"/>
      <w:r w:rsidRPr="00CB1E53">
        <w:rPr>
          <w:rStyle w:val="RegularDKB"/>
          <w:caps w:val="0"/>
        </w:rPr>
        <w:t>Tax Expenditures Methodology for PIT</w:t>
      </w:r>
      <w:bookmarkEnd w:id="28"/>
      <w:r w:rsidR="009850C1" w:rsidRPr="00CB1E53">
        <w:rPr>
          <w:rFonts w:ascii="Segoe UI" w:hAnsi="Segoe UI" w:cs="Segoe UI"/>
          <w:sz w:val="21"/>
          <w:szCs w:val="21"/>
        </w:rPr>
        <w:t xml:space="preserve"> </w:t>
      </w:r>
    </w:p>
    <w:p w14:paraId="1CD5F893" w14:textId="77777777" w:rsidR="00466661" w:rsidRPr="001F0EFE" w:rsidRDefault="00466661" w:rsidP="00FD11D9">
      <w:pPr>
        <w:pStyle w:val="Heading4"/>
        <w:jc w:val="both"/>
        <w:rPr>
          <w:rFonts w:ascii="Segoe UI" w:hAnsi="Segoe UI" w:cs="Segoe UI"/>
          <w:color w:val="004C97" w:themeColor="text2"/>
        </w:rPr>
      </w:pPr>
      <w:r w:rsidRPr="001F0EFE">
        <w:rPr>
          <w:rFonts w:ascii="Segoe UI" w:hAnsi="Segoe UI" w:cs="Segoe UI"/>
          <w:color w:val="004C97" w:themeColor="text2"/>
        </w:rPr>
        <w:t>Data Sources</w:t>
      </w:r>
    </w:p>
    <w:p w14:paraId="44C75928" w14:textId="5476017C" w:rsidR="00466661" w:rsidRPr="00706F15" w:rsidRDefault="00466661" w:rsidP="00FD11D9">
      <w:pPr>
        <w:spacing w:after="200"/>
        <w:jc w:val="both"/>
        <w:rPr>
          <w:rFonts w:ascii="Segoe UI" w:hAnsi="Segoe UI" w:cs="Segoe UI"/>
          <w:sz w:val="21"/>
          <w:szCs w:val="21"/>
        </w:rPr>
      </w:pPr>
      <w:r w:rsidRPr="00706F15">
        <w:rPr>
          <w:rFonts w:ascii="Segoe UI" w:hAnsi="Segoe UI" w:cs="Segoe UI"/>
          <w:sz w:val="21"/>
          <w:szCs w:val="21"/>
        </w:rPr>
        <w:t xml:space="preserve">Personal income tax </w:t>
      </w:r>
      <w:r w:rsidR="00871A71">
        <w:rPr>
          <w:rFonts w:ascii="Segoe UI" w:hAnsi="Segoe UI" w:cs="Segoe UI"/>
          <w:sz w:val="21"/>
          <w:szCs w:val="21"/>
        </w:rPr>
        <w:t xml:space="preserve">at a benchmark rate of </w:t>
      </w:r>
      <w:r w:rsidRPr="00706F15">
        <w:rPr>
          <w:rFonts w:ascii="Segoe UI" w:hAnsi="Segoe UI" w:cs="Segoe UI"/>
          <w:sz w:val="21"/>
          <w:szCs w:val="21"/>
        </w:rPr>
        <w:t>12</w:t>
      </w:r>
      <w:r w:rsidR="00215F5D">
        <w:rPr>
          <w:rFonts w:ascii="Segoe UI" w:hAnsi="Segoe UI" w:cs="Segoe UI"/>
          <w:sz w:val="21"/>
          <w:szCs w:val="21"/>
        </w:rPr>
        <w:t xml:space="preserve"> percent </w:t>
      </w:r>
      <w:r w:rsidRPr="00706F15">
        <w:rPr>
          <w:rFonts w:ascii="Segoe UI" w:hAnsi="Segoe UI" w:cs="Segoe UI"/>
          <w:sz w:val="21"/>
          <w:szCs w:val="21"/>
        </w:rPr>
        <w:t>is applied for employment income and income from other sources.</w:t>
      </w:r>
      <w:r w:rsidR="00871A71">
        <w:rPr>
          <w:rFonts w:ascii="Segoe UI" w:hAnsi="Segoe UI" w:cs="Segoe UI"/>
          <w:sz w:val="21"/>
          <w:szCs w:val="21"/>
        </w:rPr>
        <w:t xml:space="preserve"> All</w:t>
      </w:r>
      <w:r w:rsidRPr="00706F15">
        <w:rPr>
          <w:rFonts w:ascii="Segoe UI" w:hAnsi="Segoe UI" w:cs="Segoe UI"/>
          <w:sz w:val="21"/>
          <w:szCs w:val="21"/>
        </w:rPr>
        <w:t xml:space="preserve"> deviations from the benchmark, including non-taxation of pensions, inheritances and other incomes, </w:t>
      </w:r>
      <w:r w:rsidR="00143B57" w:rsidRPr="00706F15">
        <w:rPr>
          <w:rFonts w:ascii="Segoe UI" w:hAnsi="Segoe UI" w:cs="Segoe UI"/>
          <w:sz w:val="21"/>
          <w:szCs w:val="21"/>
        </w:rPr>
        <w:t>children’s</w:t>
      </w:r>
      <w:r w:rsidRPr="00706F15">
        <w:rPr>
          <w:rFonts w:ascii="Segoe UI" w:hAnsi="Segoe UI" w:cs="Segoe UI"/>
          <w:sz w:val="21"/>
          <w:szCs w:val="21"/>
        </w:rPr>
        <w:t xml:space="preserve"> allowances, </w:t>
      </w:r>
      <w:r w:rsidR="00143B57">
        <w:rPr>
          <w:rFonts w:ascii="Segoe UI" w:hAnsi="Segoe UI" w:cs="Segoe UI"/>
          <w:sz w:val="21"/>
          <w:szCs w:val="21"/>
        </w:rPr>
        <w:t xml:space="preserve">and </w:t>
      </w:r>
      <w:r w:rsidRPr="00706F15">
        <w:rPr>
          <w:rFonts w:ascii="Segoe UI" w:hAnsi="Segoe UI" w:cs="Segoe UI"/>
          <w:sz w:val="21"/>
          <w:szCs w:val="21"/>
        </w:rPr>
        <w:t xml:space="preserve">reduced income tax rates for capital income are treated as </w:t>
      </w:r>
      <w:r w:rsidR="00871A71">
        <w:rPr>
          <w:rFonts w:ascii="Segoe UI" w:hAnsi="Segoe UI" w:cs="Segoe UI"/>
          <w:sz w:val="21"/>
          <w:szCs w:val="21"/>
        </w:rPr>
        <w:t>TEs</w:t>
      </w:r>
      <w:r w:rsidRPr="00706F15">
        <w:rPr>
          <w:rFonts w:ascii="Segoe UI" w:hAnsi="Segoe UI" w:cs="Segoe UI"/>
          <w:sz w:val="21"/>
          <w:szCs w:val="21"/>
        </w:rPr>
        <w:t>.</w:t>
      </w:r>
    </w:p>
    <w:p w14:paraId="2EB43457" w14:textId="1D47F6C8" w:rsidR="00466661" w:rsidRPr="00706F15" w:rsidRDefault="00871A71" w:rsidP="00FD11D9">
      <w:pPr>
        <w:spacing w:after="200"/>
        <w:jc w:val="both"/>
        <w:rPr>
          <w:rFonts w:ascii="Segoe UI" w:hAnsi="Segoe UI" w:cs="Segoe UI"/>
          <w:sz w:val="21"/>
          <w:szCs w:val="21"/>
          <w:lang w:val="en-GB"/>
        </w:rPr>
      </w:pPr>
      <w:r>
        <w:rPr>
          <w:rFonts w:ascii="Segoe UI" w:hAnsi="Segoe UI" w:cs="Segoe UI"/>
          <w:sz w:val="21"/>
          <w:szCs w:val="21"/>
          <w:lang w:val="en-GB"/>
        </w:rPr>
        <w:t>Estimation of the PIT TEs was based on</w:t>
      </w:r>
      <w:r w:rsidR="00143B57">
        <w:rPr>
          <w:rFonts w:ascii="Segoe UI" w:hAnsi="Segoe UI" w:cs="Segoe UI"/>
          <w:sz w:val="21"/>
          <w:szCs w:val="21"/>
          <w:lang w:val="en-GB"/>
        </w:rPr>
        <w:t xml:space="preserve"> data from the following tax forms:</w:t>
      </w:r>
    </w:p>
    <w:p w14:paraId="50139B9D" w14:textId="3C26B46C" w:rsidR="009F15B1" w:rsidRPr="009F15B1" w:rsidRDefault="00466661" w:rsidP="00FD11D9">
      <w:pPr>
        <w:pStyle w:val="ListParagraph"/>
        <w:numPr>
          <w:ilvl w:val="0"/>
          <w:numId w:val="21"/>
        </w:numPr>
        <w:spacing w:after="200"/>
        <w:jc w:val="both"/>
        <w:rPr>
          <w:rFonts w:ascii="Segoe UI" w:hAnsi="Segoe UI" w:cs="Segoe UI"/>
          <w:sz w:val="21"/>
          <w:szCs w:val="21"/>
          <w:lang w:val="ro-MD"/>
        </w:rPr>
      </w:pPr>
      <w:r w:rsidRPr="009F15B1">
        <w:rPr>
          <w:rFonts w:ascii="Segoe UI" w:hAnsi="Segoe UI" w:cs="Segoe UI"/>
          <w:sz w:val="21"/>
          <w:szCs w:val="21"/>
          <w:lang w:val="ro-MD"/>
        </w:rPr>
        <w:t>IALS18</w:t>
      </w:r>
      <w:r w:rsidR="00143B57">
        <w:rPr>
          <w:rFonts w:ascii="Segoe UI" w:hAnsi="Segoe UI" w:cs="Segoe UI"/>
          <w:sz w:val="21"/>
          <w:szCs w:val="21"/>
          <w:lang w:val="ro-MD"/>
        </w:rPr>
        <w:t>—</w:t>
      </w:r>
      <w:r w:rsidRPr="009F15B1">
        <w:rPr>
          <w:rFonts w:ascii="Segoe UI" w:hAnsi="Segoe UI" w:cs="Segoe UI"/>
          <w:sz w:val="21"/>
          <w:szCs w:val="21"/>
        </w:rPr>
        <w:t>The information note regarding the salary and other payments made by th</w:t>
      </w:r>
      <w:r w:rsidR="009F15B1">
        <w:rPr>
          <w:rFonts w:ascii="Segoe UI" w:hAnsi="Segoe UI" w:cs="Segoe UI"/>
          <w:sz w:val="21"/>
          <w:szCs w:val="21"/>
        </w:rPr>
        <w:t>e</w:t>
      </w:r>
      <w:r w:rsidRPr="009F15B1">
        <w:rPr>
          <w:rFonts w:ascii="Segoe UI" w:hAnsi="Segoe UI" w:cs="Segoe UI"/>
          <w:sz w:val="21"/>
          <w:szCs w:val="21"/>
        </w:rPr>
        <w:t xml:space="preserve"> employer in favor of employees, as well as the payments paid to the residents from other sources of income than the salary and the income tax withheld from these payments;</w:t>
      </w:r>
    </w:p>
    <w:p w14:paraId="6B7CCF92" w14:textId="1636E4C5" w:rsidR="00466661" w:rsidRPr="009F15B1" w:rsidRDefault="00466661" w:rsidP="00FD11D9">
      <w:pPr>
        <w:pStyle w:val="ListParagraph"/>
        <w:numPr>
          <w:ilvl w:val="0"/>
          <w:numId w:val="21"/>
        </w:numPr>
        <w:spacing w:after="200"/>
        <w:jc w:val="both"/>
        <w:rPr>
          <w:rFonts w:ascii="Segoe UI" w:hAnsi="Segoe UI" w:cs="Segoe UI"/>
          <w:sz w:val="21"/>
          <w:szCs w:val="21"/>
          <w:lang w:val="ro-MD"/>
        </w:rPr>
      </w:pPr>
      <w:r w:rsidRPr="009F15B1">
        <w:rPr>
          <w:rFonts w:ascii="Segoe UI" w:hAnsi="Segoe UI" w:cs="Segoe UI"/>
          <w:sz w:val="21"/>
          <w:szCs w:val="21"/>
          <w:lang w:val="ro-MD"/>
        </w:rPr>
        <w:t>CET18</w:t>
      </w:r>
      <w:r w:rsidR="00143B57">
        <w:rPr>
          <w:rFonts w:ascii="Segoe UI" w:hAnsi="Segoe UI" w:cs="Segoe UI"/>
          <w:sz w:val="21"/>
          <w:szCs w:val="21"/>
          <w:lang w:val="ro-MD"/>
        </w:rPr>
        <w:t>—</w:t>
      </w:r>
      <w:r w:rsidRPr="009F15B1">
        <w:rPr>
          <w:rFonts w:ascii="Segoe UI" w:hAnsi="Segoe UI" w:cs="Segoe UI"/>
          <w:sz w:val="21"/>
          <w:szCs w:val="21"/>
          <w:lang w:val="ro-MD"/>
        </w:rPr>
        <w:t>Personal income tax return</w:t>
      </w:r>
    </w:p>
    <w:p w14:paraId="1D2D74F7" w14:textId="33F5F8A3" w:rsidR="00466661" w:rsidRPr="00706F15" w:rsidRDefault="009F15B1" w:rsidP="00FD11D9">
      <w:pPr>
        <w:spacing w:after="200"/>
        <w:jc w:val="both"/>
        <w:rPr>
          <w:rFonts w:ascii="Segoe UI" w:hAnsi="Segoe UI" w:cs="Segoe UI"/>
          <w:sz w:val="21"/>
          <w:szCs w:val="21"/>
        </w:rPr>
      </w:pPr>
      <w:r>
        <w:rPr>
          <w:rFonts w:ascii="Segoe UI" w:hAnsi="Segoe UI" w:cs="Segoe UI"/>
          <w:sz w:val="21"/>
          <w:szCs w:val="21"/>
        </w:rPr>
        <w:t>In addition,</w:t>
      </w:r>
      <w:r w:rsidR="00466661" w:rsidRPr="00706F15">
        <w:rPr>
          <w:rFonts w:ascii="Segoe UI" w:hAnsi="Segoe UI" w:cs="Segoe UI"/>
          <w:sz w:val="21"/>
          <w:szCs w:val="21"/>
        </w:rPr>
        <w:t xml:space="preserve"> the actual expenditures of the na</w:t>
      </w:r>
      <w:r w:rsidR="00466661" w:rsidRPr="003F7C00">
        <w:rPr>
          <w:rFonts w:ascii="Segoe UI" w:hAnsi="Segoe UI" w:cs="Segoe UI"/>
          <w:sz w:val="21"/>
          <w:szCs w:val="21"/>
        </w:rPr>
        <w:t>tional public budget were analy</w:t>
      </w:r>
      <w:r w:rsidR="00466661">
        <w:rPr>
          <w:rFonts w:ascii="Segoe UI" w:hAnsi="Segoe UI" w:cs="Segoe UI"/>
          <w:sz w:val="21"/>
          <w:szCs w:val="21"/>
        </w:rPr>
        <w:t>z</w:t>
      </w:r>
      <w:r w:rsidR="00466661" w:rsidRPr="00706F15">
        <w:rPr>
          <w:rFonts w:ascii="Segoe UI" w:hAnsi="Segoe UI" w:cs="Segoe UI"/>
          <w:sz w:val="21"/>
          <w:szCs w:val="21"/>
        </w:rPr>
        <w:t>ed.</w:t>
      </w:r>
      <w:r>
        <w:rPr>
          <w:rFonts w:ascii="Segoe UI" w:hAnsi="Segoe UI" w:cs="Segoe UI"/>
          <w:sz w:val="21"/>
          <w:szCs w:val="21"/>
        </w:rPr>
        <w:t xml:space="preserve"> I</w:t>
      </w:r>
      <w:r w:rsidR="00466661" w:rsidRPr="00706F15">
        <w:rPr>
          <w:rFonts w:ascii="Segoe UI" w:hAnsi="Segoe UI" w:cs="Segoe UI"/>
          <w:sz w:val="21"/>
          <w:szCs w:val="21"/>
        </w:rPr>
        <w:t xml:space="preserve">t is </w:t>
      </w:r>
      <w:r>
        <w:rPr>
          <w:rFonts w:ascii="Segoe UI" w:hAnsi="Segoe UI" w:cs="Segoe UI"/>
          <w:sz w:val="21"/>
          <w:szCs w:val="21"/>
        </w:rPr>
        <w:t xml:space="preserve">important to note </w:t>
      </w:r>
      <w:r w:rsidR="00466661" w:rsidRPr="00706F15">
        <w:rPr>
          <w:rFonts w:ascii="Segoe UI" w:hAnsi="Segoe UI" w:cs="Segoe UI"/>
          <w:sz w:val="21"/>
          <w:szCs w:val="21"/>
        </w:rPr>
        <w:t xml:space="preserve">that the analysis was based on the available data, </w:t>
      </w:r>
      <w:r>
        <w:rPr>
          <w:rFonts w:ascii="Segoe UI" w:hAnsi="Segoe UI" w:cs="Segoe UI"/>
          <w:sz w:val="21"/>
          <w:szCs w:val="21"/>
        </w:rPr>
        <w:t xml:space="preserve">and so the accuracy of the estimates is limited by the data’s </w:t>
      </w:r>
      <w:r w:rsidR="00466661" w:rsidRPr="00706F15">
        <w:rPr>
          <w:rFonts w:ascii="Segoe UI" w:hAnsi="Segoe UI" w:cs="Segoe UI"/>
          <w:sz w:val="21"/>
          <w:szCs w:val="21"/>
        </w:rPr>
        <w:t>coverage and quality</w:t>
      </w:r>
      <w:r>
        <w:rPr>
          <w:rFonts w:ascii="Segoe UI" w:hAnsi="Segoe UI" w:cs="Segoe UI"/>
          <w:sz w:val="21"/>
          <w:szCs w:val="21"/>
        </w:rPr>
        <w:t>. The model</w:t>
      </w:r>
      <w:r w:rsidR="00143B57">
        <w:rPr>
          <w:rFonts w:ascii="Segoe UI" w:hAnsi="Segoe UI" w:cs="Segoe UI"/>
          <w:sz w:val="21"/>
          <w:szCs w:val="21"/>
        </w:rPr>
        <w:t>s</w:t>
      </w:r>
      <w:r>
        <w:rPr>
          <w:rFonts w:ascii="Segoe UI" w:hAnsi="Segoe UI" w:cs="Segoe UI"/>
          <w:sz w:val="21"/>
          <w:szCs w:val="21"/>
        </w:rPr>
        <w:t xml:space="preserve"> w</w:t>
      </w:r>
      <w:r w:rsidR="00143B57">
        <w:rPr>
          <w:rFonts w:ascii="Segoe UI" w:hAnsi="Segoe UI" w:cs="Segoe UI"/>
          <w:sz w:val="21"/>
          <w:szCs w:val="21"/>
        </w:rPr>
        <w:t>ere</w:t>
      </w:r>
      <w:r>
        <w:rPr>
          <w:rFonts w:ascii="Segoe UI" w:hAnsi="Segoe UI" w:cs="Segoe UI"/>
          <w:sz w:val="21"/>
          <w:szCs w:val="21"/>
        </w:rPr>
        <w:t xml:space="preserve"> built in</w:t>
      </w:r>
      <w:r w:rsidR="00466661" w:rsidRPr="00706F15">
        <w:rPr>
          <w:rFonts w:ascii="Segoe UI" w:hAnsi="Segoe UI" w:cs="Segoe UI"/>
          <w:sz w:val="21"/>
          <w:szCs w:val="21"/>
        </w:rPr>
        <w:t xml:space="preserve"> Microsoft Excel.</w:t>
      </w:r>
    </w:p>
    <w:p w14:paraId="73ECE8EA" w14:textId="77777777" w:rsidR="00466661" w:rsidRPr="000340B7" w:rsidRDefault="00466661" w:rsidP="00FD11D9">
      <w:pPr>
        <w:pStyle w:val="Heading4"/>
        <w:jc w:val="both"/>
        <w:rPr>
          <w:rFonts w:ascii="Segoe UI" w:hAnsi="Segoe UI" w:cs="Segoe UI"/>
          <w:color w:val="004C97" w:themeColor="text2"/>
        </w:rPr>
      </w:pPr>
      <w:r w:rsidRPr="000340B7">
        <w:rPr>
          <w:rFonts w:ascii="Segoe UI" w:hAnsi="Segoe UI" w:cs="Segoe UI"/>
          <w:color w:val="004C97" w:themeColor="text2"/>
        </w:rPr>
        <w:t>Estimation methodology</w:t>
      </w:r>
    </w:p>
    <w:p w14:paraId="22837C8E" w14:textId="1E4519DA" w:rsidR="00466661" w:rsidRDefault="00274C60" w:rsidP="00FD11D9">
      <w:pPr>
        <w:spacing w:after="200"/>
        <w:jc w:val="both"/>
        <w:rPr>
          <w:rFonts w:ascii="Segoe UI" w:hAnsi="Segoe UI" w:cs="Segoe UI"/>
          <w:sz w:val="21"/>
          <w:szCs w:val="21"/>
          <w:lang w:val="en-GB"/>
        </w:rPr>
      </w:pPr>
      <w:r>
        <w:rPr>
          <w:rFonts w:ascii="Segoe UI" w:hAnsi="Segoe UI" w:cs="Segoe UI"/>
          <w:sz w:val="21"/>
          <w:szCs w:val="21"/>
        </w:rPr>
        <w:t>The TEs are estimate</w:t>
      </w:r>
      <w:r w:rsidR="00143B57">
        <w:rPr>
          <w:rFonts w:ascii="Segoe UI" w:hAnsi="Segoe UI" w:cs="Segoe UI"/>
          <w:sz w:val="21"/>
          <w:szCs w:val="21"/>
        </w:rPr>
        <w:t>d</w:t>
      </w:r>
      <w:r>
        <w:rPr>
          <w:rFonts w:ascii="Segoe UI" w:hAnsi="Segoe UI" w:cs="Segoe UI"/>
          <w:sz w:val="21"/>
          <w:szCs w:val="21"/>
        </w:rPr>
        <w:t xml:space="preserve"> using the </w:t>
      </w:r>
      <w:r>
        <w:rPr>
          <w:rFonts w:ascii="Segoe UI" w:hAnsi="Segoe UI" w:cs="Segoe UI"/>
          <w:sz w:val="21"/>
          <w:szCs w:val="21"/>
          <w:lang w:val="en-GB"/>
        </w:rPr>
        <w:t>r</w:t>
      </w:r>
      <w:r w:rsidR="00466661">
        <w:rPr>
          <w:rFonts w:ascii="Segoe UI" w:hAnsi="Segoe UI" w:cs="Segoe UI"/>
          <w:sz w:val="21"/>
          <w:szCs w:val="21"/>
          <w:lang w:val="en-GB"/>
        </w:rPr>
        <w:t xml:space="preserve">evenue forgone method. Using this method, we </w:t>
      </w:r>
      <w:r>
        <w:rPr>
          <w:rFonts w:ascii="Segoe UI" w:hAnsi="Segoe UI" w:cs="Segoe UI"/>
          <w:sz w:val="21"/>
          <w:szCs w:val="21"/>
          <w:lang w:val="en-GB"/>
        </w:rPr>
        <w:t>c</w:t>
      </w:r>
      <w:r w:rsidR="00466661">
        <w:rPr>
          <w:rFonts w:ascii="Segoe UI" w:hAnsi="Segoe UI" w:cs="Segoe UI"/>
          <w:sz w:val="21"/>
          <w:szCs w:val="21"/>
          <w:lang w:val="en-GB"/>
        </w:rPr>
        <w:t xml:space="preserve">alculate the difference between the revenue raised </w:t>
      </w:r>
      <w:r>
        <w:rPr>
          <w:rFonts w:ascii="Segoe UI" w:hAnsi="Segoe UI" w:cs="Segoe UI"/>
          <w:sz w:val="21"/>
          <w:szCs w:val="21"/>
          <w:lang w:val="en-GB"/>
        </w:rPr>
        <w:t>with and without</w:t>
      </w:r>
      <w:r w:rsidR="00466661">
        <w:rPr>
          <w:rFonts w:ascii="Segoe UI" w:hAnsi="Segoe UI" w:cs="Segoe UI"/>
          <w:sz w:val="21"/>
          <w:szCs w:val="21"/>
          <w:lang w:val="en-GB"/>
        </w:rPr>
        <w:t xml:space="preserve"> the individual tax expenditure. </w:t>
      </w:r>
      <w:r>
        <w:rPr>
          <w:rFonts w:ascii="Segoe UI" w:hAnsi="Segoe UI" w:cs="Segoe UI"/>
          <w:sz w:val="21"/>
          <w:szCs w:val="21"/>
          <w:lang w:val="en-GB"/>
        </w:rPr>
        <w:t>The e</w:t>
      </w:r>
      <w:r w:rsidR="00466661">
        <w:rPr>
          <w:rFonts w:ascii="Segoe UI" w:hAnsi="Segoe UI" w:cs="Segoe UI"/>
          <w:sz w:val="21"/>
          <w:szCs w:val="21"/>
          <w:lang w:val="en-GB"/>
        </w:rPr>
        <w:t xml:space="preserve">stimates do not reflect the actual amount of revenues that would be raised if an individual tax expenditure were repealed as it does not take into account interactions with other tax expenditures nor behavioural effects. </w:t>
      </w:r>
      <w:r w:rsidR="000340B7">
        <w:rPr>
          <w:rFonts w:ascii="Segoe UI" w:hAnsi="Segoe UI" w:cs="Segoe UI"/>
          <w:sz w:val="21"/>
          <w:szCs w:val="21"/>
          <w:lang w:val="en-GB"/>
        </w:rPr>
        <w:t>The</w:t>
      </w:r>
      <w:r w:rsidR="00466661">
        <w:rPr>
          <w:rFonts w:ascii="Segoe UI" w:hAnsi="Segoe UI" w:cs="Segoe UI"/>
          <w:sz w:val="21"/>
          <w:szCs w:val="21"/>
          <w:lang w:val="en-GB"/>
        </w:rPr>
        <w:t xml:space="preserve"> microsimulation model </w:t>
      </w:r>
      <w:r w:rsidR="000340B7">
        <w:rPr>
          <w:rFonts w:ascii="Segoe UI" w:hAnsi="Segoe UI" w:cs="Segoe UI"/>
          <w:sz w:val="21"/>
          <w:szCs w:val="21"/>
          <w:lang w:val="en-GB"/>
        </w:rPr>
        <w:t xml:space="preserve">hence </w:t>
      </w:r>
      <w:r w:rsidR="00466661">
        <w:rPr>
          <w:rFonts w:ascii="Segoe UI" w:hAnsi="Segoe UI" w:cs="Segoe UI"/>
          <w:sz w:val="21"/>
          <w:szCs w:val="21"/>
          <w:lang w:val="en-GB"/>
        </w:rPr>
        <w:t xml:space="preserve">provides revenue impact estimates </w:t>
      </w:r>
      <w:r>
        <w:rPr>
          <w:rFonts w:ascii="Segoe UI" w:hAnsi="Segoe UI" w:cs="Segoe UI"/>
          <w:sz w:val="21"/>
          <w:szCs w:val="21"/>
          <w:lang w:val="en-GB"/>
        </w:rPr>
        <w:t>at</w:t>
      </w:r>
      <w:r w:rsidR="00466661">
        <w:rPr>
          <w:rFonts w:ascii="Segoe UI" w:hAnsi="Segoe UI" w:cs="Segoe UI"/>
          <w:sz w:val="21"/>
          <w:szCs w:val="21"/>
          <w:lang w:val="en-GB"/>
        </w:rPr>
        <w:t xml:space="preserve"> the individual level in</w:t>
      </w:r>
      <w:r w:rsidR="00CA6EDE">
        <w:rPr>
          <w:rFonts w:ascii="Segoe UI" w:hAnsi="Segoe UI" w:cs="Segoe UI"/>
          <w:sz w:val="21"/>
          <w:szCs w:val="21"/>
          <w:lang w:val="en-GB"/>
        </w:rPr>
        <w:t xml:space="preserve"> a</w:t>
      </w:r>
      <w:r w:rsidR="00466661">
        <w:rPr>
          <w:rFonts w:ascii="Segoe UI" w:hAnsi="Segoe UI" w:cs="Segoe UI"/>
          <w:sz w:val="21"/>
          <w:szCs w:val="21"/>
          <w:lang w:val="en-GB"/>
        </w:rPr>
        <w:t xml:space="preserve"> static setting while assuming zero behavioural responses.</w:t>
      </w:r>
    </w:p>
    <w:p w14:paraId="294E209D" w14:textId="1138EC1E" w:rsidR="00466661" w:rsidRPr="000340B7" w:rsidRDefault="00466661" w:rsidP="00FD11D9">
      <w:pPr>
        <w:pStyle w:val="Heading4"/>
        <w:jc w:val="both"/>
        <w:rPr>
          <w:rFonts w:ascii="Segoe UI" w:hAnsi="Segoe UI" w:cs="Segoe UI"/>
          <w:color w:val="004C97" w:themeColor="text2"/>
        </w:rPr>
      </w:pPr>
      <w:r w:rsidRPr="000340B7">
        <w:rPr>
          <w:rFonts w:ascii="Segoe UI" w:hAnsi="Segoe UI" w:cs="Segoe UI"/>
          <w:color w:val="004C97" w:themeColor="text2"/>
        </w:rPr>
        <w:t>Calculations</w:t>
      </w:r>
    </w:p>
    <w:p w14:paraId="3545F663" w14:textId="3338EE70" w:rsidR="00466661" w:rsidRDefault="002A77A9" w:rsidP="00FD11D9">
      <w:pPr>
        <w:spacing w:after="200"/>
        <w:jc w:val="both"/>
        <w:rPr>
          <w:rFonts w:ascii="Segoe UI" w:hAnsi="Segoe UI" w:cs="Segoe UI"/>
          <w:sz w:val="21"/>
          <w:szCs w:val="21"/>
          <w:lang w:val="en-GB"/>
        </w:rPr>
      </w:pPr>
      <w:r>
        <w:rPr>
          <w:rFonts w:ascii="Segoe UI" w:hAnsi="Segoe UI" w:cs="Segoe UI"/>
          <w:sz w:val="21"/>
          <w:szCs w:val="21"/>
          <w:lang w:val="en-GB"/>
        </w:rPr>
        <w:t>The analysis is based on the following data:</w:t>
      </w:r>
    </w:p>
    <w:p w14:paraId="756E3BD7"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Wage income</w:t>
      </w:r>
    </w:p>
    <w:p w14:paraId="693C2830"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 xml:space="preserve">Personal allowance </w:t>
      </w:r>
    </w:p>
    <w:p w14:paraId="001DE719"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Major personal allowance</w:t>
      </w:r>
    </w:p>
    <w:p w14:paraId="7EF1241A"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Spouse major allowance</w:t>
      </w:r>
    </w:p>
    <w:p w14:paraId="613EE944"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Allowance for child and other dependent</w:t>
      </w:r>
    </w:p>
    <w:p w14:paraId="4667D820"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Major allowance for a child and other dependent</w:t>
      </w:r>
    </w:p>
    <w:p w14:paraId="797207A1" w14:textId="77777777" w:rsid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State social contributions</w:t>
      </w:r>
    </w:p>
    <w:p w14:paraId="1E32B58D" w14:textId="2097C51F" w:rsidR="00466661" w:rsidRPr="00274C60" w:rsidRDefault="00466661" w:rsidP="00FD11D9">
      <w:pPr>
        <w:pStyle w:val="ListParagraph"/>
        <w:numPr>
          <w:ilvl w:val="0"/>
          <w:numId w:val="22"/>
        </w:numPr>
        <w:spacing w:after="200"/>
        <w:jc w:val="both"/>
        <w:rPr>
          <w:rFonts w:ascii="Segoe UI" w:hAnsi="Segoe UI" w:cs="Segoe UI"/>
          <w:sz w:val="21"/>
          <w:szCs w:val="21"/>
          <w:lang w:val="en-GB"/>
        </w:rPr>
      </w:pPr>
      <w:r w:rsidRPr="00274C60">
        <w:rPr>
          <w:rFonts w:ascii="Segoe UI" w:hAnsi="Segoe UI" w:cs="Segoe UI"/>
          <w:sz w:val="21"/>
          <w:szCs w:val="21"/>
          <w:lang w:val="en-GB"/>
        </w:rPr>
        <w:t>Medical insurance contributions</w:t>
      </w:r>
    </w:p>
    <w:p w14:paraId="7CC8FE0F" w14:textId="24C1B682" w:rsidR="008B1346" w:rsidRDefault="00466661" w:rsidP="00FD11D9">
      <w:pPr>
        <w:spacing w:after="200"/>
        <w:jc w:val="both"/>
        <w:rPr>
          <w:rFonts w:ascii="Segoe UI" w:hAnsi="Segoe UI" w:cs="Segoe UI"/>
          <w:sz w:val="21"/>
          <w:szCs w:val="21"/>
          <w:lang w:val="en-GB"/>
        </w:rPr>
      </w:pPr>
      <w:r>
        <w:rPr>
          <w:rFonts w:ascii="Segoe UI" w:hAnsi="Segoe UI" w:cs="Segoe UI"/>
          <w:sz w:val="21"/>
          <w:szCs w:val="21"/>
          <w:lang w:val="en-GB"/>
        </w:rPr>
        <w:t xml:space="preserve">This </w:t>
      </w:r>
      <w:r w:rsidR="00274C60">
        <w:rPr>
          <w:rFonts w:ascii="Segoe UI" w:hAnsi="Segoe UI" w:cs="Segoe UI"/>
          <w:sz w:val="21"/>
          <w:szCs w:val="21"/>
          <w:lang w:val="en-GB"/>
        </w:rPr>
        <w:t>data is contained</w:t>
      </w:r>
      <w:r>
        <w:rPr>
          <w:rFonts w:ascii="Segoe UI" w:hAnsi="Segoe UI" w:cs="Segoe UI"/>
          <w:sz w:val="21"/>
          <w:szCs w:val="21"/>
          <w:lang w:val="en-GB"/>
        </w:rPr>
        <w:t xml:space="preserve"> in </w:t>
      </w:r>
      <w:r w:rsidR="00274C60">
        <w:rPr>
          <w:rFonts w:ascii="Segoe UI" w:hAnsi="Segoe UI" w:cs="Segoe UI"/>
          <w:sz w:val="21"/>
          <w:szCs w:val="21"/>
          <w:lang w:val="en-GB"/>
        </w:rPr>
        <w:t xml:space="preserve">an </w:t>
      </w:r>
      <w:r>
        <w:rPr>
          <w:rFonts w:ascii="Segoe UI" w:hAnsi="Segoe UI" w:cs="Segoe UI"/>
          <w:sz w:val="21"/>
          <w:szCs w:val="21"/>
          <w:lang w:val="en-GB"/>
        </w:rPr>
        <w:t xml:space="preserve">Excel </w:t>
      </w:r>
      <w:r w:rsidR="00274C60">
        <w:rPr>
          <w:rFonts w:ascii="Segoe UI" w:hAnsi="Segoe UI" w:cs="Segoe UI"/>
          <w:sz w:val="21"/>
          <w:szCs w:val="21"/>
          <w:lang w:val="en-GB"/>
        </w:rPr>
        <w:t>spreadsheet</w:t>
      </w:r>
      <w:r>
        <w:rPr>
          <w:rFonts w:ascii="Segoe UI" w:hAnsi="Segoe UI" w:cs="Segoe UI"/>
          <w:sz w:val="21"/>
          <w:szCs w:val="21"/>
          <w:lang w:val="en-GB"/>
        </w:rPr>
        <w:t xml:space="preserve"> where each row corresponds </w:t>
      </w:r>
      <w:r w:rsidR="00E07597">
        <w:rPr>
          <w:rFonts w:ascii="Segoe UI" w:hAnsi="Segoe UI" w:cs="Segoe UI"/>
          <w:sz w:val="21"/>
          <w:szCs w:val="21"/>
          <w:lang w:val="en-GB"/>
        </w:rPr>
        <w:t>to</w:t>
      </w:r>
      <w:r>
        <w:rPr>
          <w:rFonts w:ascii="Segoe UI" w:hAnsi="Segoe UI" w:cs="Segoe UI"/>
          <w:sz w:val="21"/>
          <w:szCs w:val="21"/>
          <w:lang w:val="en-GB"/>
        </w:rPr>
        <w:t xml:space="preserve"> an individual’s return and the columns correspond with the fields such as income by source/type (in our estimation we </w:t>
      </w:r>
      <w:r w:rsidR="00274C60">
        <w:rPr>
          <w:rFonts w:ascii="Segoe UI" w:hAnsi="Segoe UI" w:cs="Segoe UI"/>
          <w:sz w:val="21"/>
          <w:szCs w:val="21"/>
          <w:lang w:val="en-GB"/>
        </w:rPr>
        <w:t>used</w:t>
      </w:r>
      <w:r>
        <w:rPr>
          <w:rFonts w:ascii="Segoe UI" w:hAnsi="Segoe UI" w:cs="Segoe UI"/>
          <w:sz w:val="21"/>
          <w:szCs w:val="21"/>
          <w:lang w:val="en-GB"/>
        </w:rPr>
        <w:t xml:space="preserve"> wage income), personal allowances, allowances for dependents, social and medical contributions and </w:t>
      </w:r>
      <w:r>
        <w:rPr>
          <w:rFonts w:ascii="Segoe UI" w:hAnsi="Segoe UI" w:cs="Segoe UI"/>
          <w:sz w:val="21"/>
          <w:szCs w:val="21"/>
          <w:lang w:val="en-GB"/>
        </w:rPr>
        <w:lastRenderedPageBreak/>
        <w:t>other various deductions and allowances.</w:t>
      </w:r>
      <w:r w:rsidR="008B1346">
        <w:rPr>
          <w:rFonts w:ascii="Segoe UI" w:hAnsi="Segoe UI" w:cs="Segoe UI"/>
          <w:sz w:val="21"/>
          <w:szCs w:val="21"/>
          <w:lang w:val="en-GB"/>
        </w:rPr>
        <w:t xml:space="preserve"> </w:t>
      </w:r>
      <w:r w:rsidR="002A77A9">
        <w:rPr>
          <w:rFonts w:ascii="Segoe UI" w:hAnsi="Segoe UI" w:cs="Segoe UI"/>
          <w:sz w:val="21"/>
          <w:szCs w:val="21"/>
          <w:lang w:val="en-GB"/>
        </w:rPr>
        <w:t>Estimation is done by multiplying the</w:t>
      </w:r>
      <w:r w:rsidRPr="00706F15">
        <w:rPr>
          <w:rFonts w:ascii="Segoe UI" w:hAnsi="Segoe UI" w:cs="Segoe UI"/>
          <w:sz w:val="21"/>
          <w:szCs w:val="21"/>
          <w:lang w:val="en-GB"/>
        </w:rPr>
        <w:t xml:space="preserve"> effective expenditures </w:t>
      </w:r>
      <w:r w:rsidR="002A77A9">
        <w:rPr>
          <w:rFonts w:ascii="Segoe UI" w:hAnsi="Segoe UI" w:cs="Segoe UI"/>
          <w:sz w:val="21"/>
          <w:szCs w:val="21"/>
          <w:lang w:val="en-GB"/>
        </w:rPr>
        <w:t xml:space="preserve">by the benchmark rate of </w:t>
      </w:r>
      <w:r>
        <w:rPr>
          <w:rFonts w:ascii="Segoe UI" w:hAnsi="Segoe UI" w:cs="Segoe UI"/>
          <w:sz w:val="21"/>
          <w:szCs w:val="21"/>
          <w:lang w:val="en-GB"/>
        </w:rPr>
        <w:t xml:space="preserve">12% rate </w:t>
      </w:r>
      <w:r w:rsidR="002A77A9">
        <w:rPr>
          <w:rFonts w:ascii="Segoe UI" w:hAnsi="Segoe UI" w:cs="Segoe UI"/>
          <w:sz w:val="21"/>
          <w:szCs w:val="21"/>
          <w:lang w:val="en-GB"/>
        </w:rPr>
        <w:t>while</w:t>
      </w:r>
      <w:r>
        <w:rPr>
          <w:rFonts w:ascii="Segoe UI" w:hAnsi="Segoe UI" w:cs="Segoe UI"/>
          <w:sz w:val="21"/>
          <w:szCs w:val="21"/>
          <w:lang w:val="en-GB"/>
        </w:rPr>
        <w:t xml:space="preserve"> </w:t>
      </w:r>
      <w:r w:rsidR="008B1346">
        <w:rPr>
          <w:rFonts w:ascii="Segoe UI" w:hAnsi="Segoe UI" w:cs="Segoe UI"/>
          <w:sz w:val="21"/>
          <w:szCs w:val="21"/>
          <w:lang w:val="en-GB"/>
        </w:rPr>
        <w:t>accounting for</w:t>
      </w:r>
      <w:r>
        <w:rPr>
          <w:rFonts w:ascii="Segoe UI" w:hAnsi="Segoe UI" w:cs="Segoe UI"/>
          <w:sz w:val="21"/>
          <w:szCs w:val="21"/>
          <w:lang w:val="en-GB"/>
        </w:rPr>
        <w:t xml:space="preserve"> </w:t>
      </w:r>
      <w:r w:rsidR="008B1346">
        <w:rPr>
          <w:rFonts w:ascii="Segoe UI" w:hAnsi="Segoe UI" w:cs="Segoe UI"/>
          <w:sz w:val="21"/>
          <w:szCs w:val="21"/>
          <w:lang w:val="en-GB"/>
        </w:rPr>
        <w:t xml:space="preserve">the </w:t>
      </w:r>
      <w:r>
        <w:rPr>
          <w:rFonts w:ascii="Segoe UI" w:hAnsi="Segoe UI" w:cs="Segoe UI"/>
          <w:sz w:val="21"/>
          <w:szCs w:val="21"/>
          <w:lang w:val="en-GB"/>
        </w:rPr>
        <w:t>personal allowance.</w:t>
      </w:r>
      <w:r w:rsidR="008B1346">
        <w:rPr>
          <w:rFonts w:ascii="Segoe UI" w:hAnsi="Segoe UI" w:cs="Segoe UI"/>
          <w:sz w:val="21"/>
          <w:szCs w:val="21"/>
          <w:lang w:val="en-GB"/>
        </w:rPr>
        <w:t xml:space="preserve"> </w:t>
      </w:r>
    </w:p>
    <w:p w14:paraId="0770AD7C" w14:textId="77777777" w:rsidR="00466661" w:rsidRPr="008B1346" w:rsidRDefault="00466661" w:rsidP="00FD11D9">
      <w:pPr>
        <w:pStyle w:val="Heading4"/>
        <w:jc w:val="both"/>
        <w:rPr>
          <w:rFonts w:ascii="Segoe UI" w:hAnsi="Segoe UI" w:cs="Segoe UI"/>
          <w:color w:val="004C97" w:themeColor="text2"/>
        </w:rPr>
      </w:pPr>
      <w:r w:rsidRPr="008B1346">
        <w:rPr>
          <w:rFonts w:ascii="Segoe UI" w:hAnsi="Segoe UI" w:cs="Segoe UI"/>
          <w:color w:val="004C97" w:themeColor="text2"/>
        </w:rPr>
        <w:t>Interpretation of Estimates</w:t>
      </w:r>
    </w:p>
    <w:p w14:paraId="08BC1131" w14:textId="77777777" w:rsidR="00466661" w:rsidRDefault="00466661" w:rsidP="00FD11D9">
      <w:pPr>
        <w:spacing w:after="200"/>
        <w:jc w:val="both"/>
        <w:rPr>
          <w:rFonts w:ascii="Segoe UI" w:hAnsi="Segoe UI" w:cs="Segoe UI"/>
          <w:sz w:val="21"/>
          <w:szCs w:val="21"/>
          <w:lang w:val="en-GB"/>
        </w:rPr>
      </w:pPr>
      <w:r>
        <w:rPr>
          <w:rFonts w:ascii="Segoe UI" w:hAnsi="Segoe UI" w:cs="Segoe UI"/>
          <w:sz w:val="21"/>
          <w:szCs w:val="21"/>
          <w:lang w:val="en-GB"/>
        </w:rPr>
        <w:t>The methods of estimation combine exogenous data from tax returns/budget execution report with endogenous environmental parameters from tax code to determine tax obligations under current system and simulate tax obligations under the benchmark system.</w:t>
      </w:r>
    </w:p>
    <w:p w14:paraId="31EC3F8C" w14:textId="6A8E3E54" w:rsidR="00466661" w:rsidRDefault="00466661" w:rsidP="00FD11D9">
      <w:pPr>
        <w:spacing w:after="200"/>
        <w:jc w:val="both"/>
        <w:rPr>
          <w:rFonts w:ascii="Segoe UI" w:hAnsi="Segoe UI" w:cs="Segoe UI"/>
          <w:sz w:val="21"/>
          <w:szCs w:val="21"/>
          <w:lang w:val="en-GB"/>
        </w:rPr>
      </w:pPr>
      <w:r>
        <w:rPr>
          <w:rFonts w:ascii="Segoe UI" w:hAnsi="Segoe UI" w:cs="Segoe UI"/>
          <w:sz w:val="21"/>
          <w:szCs w:val="21"/>
          <w:lang w:val="en-GB"/>
        </w:rPr>
        <w:t>31 income tax measures for individuals were identified. Almost all of them are contained in articles 20, 33</w:t>
      </w:r>
      <w:r w:rsidR="00E07597">
        <w:rPr>
          <w:rFonts w:ascii="Segoe UI" w:hAnsi="Segoe UI" w:cs="Segoe UI"/>
          <w:sz w:val="21"/>
          <w:szCs w:val="21"/>
          <w:lang w:val="en-GB"/>
        </w:rPr>
        <w:t>–3</w:t>
      </w:r>
      <w:r>
        <w:rPr>
          <w:rFonts w:ascii="Segoe UI" w:hAnsi="Segoe UI" w:cs="Segoe UI"/>
          <w:sz w:val="21"/>
          <w:szCs w:val="21"/>
          <w:lang w:val="en-GB"/>
        </w:rPr>
        <w:t>5 of Tax Code.</w:t>
      </w:r>
    </w:p>
    <w:p w14:paraId="20BFF240" w14:textId="55736E87" w:rsidR="00D964F3" w:rsidRDefault="00653D7A" w:rsidP="00FD11D9">
      <w:pPr>
        <w:spacing w:after="200"/>
        <w:jc w:val="both"/>
        <w:rPr>
          <w:rFonts w:ascii="Segoe UI" w:hAnsi="Segoe UI" w:cs="Segoe UI"/>
          <w:sz w:val="21"/>
          <w:szCs w:val="21"/>
          <w:lang w:val="en-GB"/>
        </w:rPr>
      </w:pPr>
      <w:r>
        <w:rPr>
          <w:rFonts w:ascii="Segoe UI" w:hAnsi="Segoe UI" w:cs="Segoe UI"/>
          <w:sz w:val="21"/>
          <w:szCs w:val="21"/>
          <w:lang w:val="en-GB"/>
        </w:rPr>
        <w:t>U</w:t>
      </w:r>
      <w:r w:rsidR="00466661" w:rsidRPr="00CE68E7">
        <w:rPr>
          <w:rFonts w:ascii="Segoe UI" w:hAnsi="Segoe UI" w:cs="Segoe UI"/>
          <w:sz w:val="21"/>
          <w:szCs w:val="21"/>
          <w:lang w:val="en-GB"/>
        </w:rPr>
        <w:t>sing data from tax returns alone</w:t>
      </w:r>
      <w:r>
        <w:rPr>
          <w:rFonts w:ascii="Segoe UI" w:hAnsi="Segoe UI" w:cs="Segoe UI"/>
          <w:sz w:val="21"/>
          <w:szCs w:val="21"/>
          <w:lang w:val="en-GB"/>
        </w:rPr>
        <w:t>, however,</w:t>
      </w:r>
      <w:r w:rsidR="00466661" w:rsidRPr="00CE68E7">
        <w:rPr>
          <w:rFonts w:ascii="Segoe UI" w:hAnsi="Segoe UI" w:cs="Segoe UI"/>
          <w:sz w:val="21"/>
          <w:szCs w:val="21"/>
          <w:lang w:val="en-GB"/>
        </w:rPr>
        <w:t xml:space="preserve"> generally fails to yield a complete representation of income tax expenditures. There are frequently other data elements relevant to estimating income tax expenditures not included in standard tax returns or even </w:t>
      </w:r>
      <w:r>
        <w:rPr>
          <w:rFonts w:ascii="Segoe UI" w:hAnsi="Segoe UI" w:cs="Segoe UI"/>
          <w:sz w:val="21"/>
          <w:szCs w:val="21"/>
          <w:lang w:val="en-GB"/>
        </w:rPr>
        <w:t xml:space="preserve">not </w:t>
      </w:r>
      <w:r w:rsidR="00466661" w:rsidRPr="00CE68E7">
        <w:rPr>
          <w:rFonts w:ascii="Segoe UI" w:hAnsi="Segoe UI" w:cs="Segoe UI"/>
          <w:sz w:val="21"/>
          <w:szCs w:val="21"/>
          <w:lang w:val="en-GB"/>
        </w:rPr>
        <w:t>collected in tax data. For exam</w:t>
      </w:r>
      <w:r w:rsidR="00466661">
        <w:rPr>
          <w:rFonts w:ascii="Segoe UI" w:hAnsi="Segoe UI" w:cs="Segoe UI"/>
          <w:sz w:val="21"/>
          <w:szCs w:val="21"/>
          <w:lang w:val="en-GB"/>
        </w:rPr>
        <w:t>ple, in the Moldovan legislation</w:t>
      </w:r>
      <w:r w:rsidR="00466661" w:rsidRPr="00CE68E7">
        <w:rPr>
          <w:rFonts w:ascii="Segoe UI" w:hAnsi="Segoe UI" w:cs="Segoe UI"/>
          <w:sz w:val="21"/>
          <w:szCs w:val="21"/>
          <w:lang w:val="en-GB"/>
        </w:rPr>
        <w:t>, individual-level tax returns do not report data on income from inheritances or from pensions. In order to address this gap, one must incorporate data from alternative sources that can be matched to the tax return data.</w:t>
      </w:r>
    </w:p>
    <w:p w14:paraId="2C35B2A9" w14:textId="424FC2C6" w:rsidR="00E07597" w:rsidRPr="00706F15" w:rsidRDefault="00E07597" w:rsidP="00FD11D9">
      <w:pPr>
        <w:spacing w:after="200"/>
        <w:jc w:val="both"/>
        <w:rPr>
          <w:rFonts w:ascii="Segoe UI" w:hAnsi="Segoe UI" w:cs="Segoe UI"/>
          <w:sz w:val="21"/>
          <w:szCs w:val="21"/>
          <w:lang w:val="en-GB"/>
        </w:rPr>
      </w:pPr>
      <w:r>
        <w:rPr>
          <w:rFonts w:ascii="Segoe UI" w:hAnsi="Segoe UI" w:cs="Segoe UI"/>
          <w:sz w:val="21"/>
          <w:szCs w:val="21"/>
          <w:lang w:val="en-GB"/>
        </w:rPr>
        <w:t>In cases where the data could not be derived from tax returns—like the exemption of pension income—it was not possible to accurately determine the magnitude of revenues forgone because the standard pension is below the personal allowance, which is part of the benchmark. Since the recipients could not be matched to a tax return, it was not possible to identify if they earned other income that would push them above the personal allowance threshold.</w:t>
      </w:r>
    </w:p>
    <w:p w14:paraId="2A492633" w14:textId="53F859E3" w:rsidR="007575C3" w:rsidRPr="00CB1E53" w:rsidRDefault="007575C3" w:rsidP="00FD11D9">
      <w:pPr>
        <w:pStyle w:val="Heading3"/>
        <w:jc w:val="both"/>
        <w:rPr>
          <w:rStyle w:val="RegularDKB"/>
          <w:caps w:val="0"/>
        </w:rPr>
      </w:pPr>
      <w:bookmarkStart w:id="29" w:name="_Toc99298773"/>
      <w:r w:rsidRPr="00CB1E53">
        <w:rPr>
          <w:rStyle w:val="RegularDKB"/>
          <w:caps w:val="0"/>
        </w:rPr>
        <w:t xml:space="preserve">Tax Expenditures Methodology for </w:t>
      </w:r>
      <w:r w:rsidR="00D964F3" w:rsidRPr="00CB1E53">
        <w:rPr>
          <w:rStyle w:val="RegularDKB"/>
          <w:caps w:val="0"/>
        </w:rPr>
        <w:t>BIT</w:t>
      </w:r>
      <w:bookmarkEnd w:id="29"/>
    </w:p>
    <w:p w14:paraId="7F4E8340" w14:textId="14446158" w:rsidR="00A11A5B" w:rsidRDefault="00A11A5B" w:rsidP="00FD11D9">
      <w:pPr>
        <w:spacing w:after="200"/>
        <w:jc w:val="both"/>
        <w:rPr>
          <w:rFonts w:ascii="Segoe UI" w:hAnsi="Segoe UI" w:cs="Segoe UI"/>
          <w:sz w:val="21"/>
          <w:szCs w:val="21"/>
          <w:lang w:val="en-CA"/>
        </w:rPr>
      </w:pPr>
      <w:r w:rsidRPr="00A11A5B">
        <w:rPr>
          <w:rFonts w:ascii="Segoe UI" w:hAnsi="Segoe UI" w:cs="Segoe UI"/>
          <w:sz w:val="21"/>
          <w:szCs w:val="21"/>
          <w:lang w:val="en-CA"/>
        </w:rPr>
        <w:t xml:space="preserve">Tax expenditures estimates based on the revenues forgone approach are estimates of the additional revenues that would be raised in the absence of each tax expenditure without accounting for behavioral responses. BIT tax expenditures are generally estimated using microsimulations, which is the simulation of each tax return under alternative assumptions. Removing a tax expenditure—like a deduction or an allowance—in a microsimulation model provides an estimate of the BIT revenues in the absence of that policy, which is consistent with the above definition of revenues forgone. </w:t>
      </w:r>
    </w:p>
    <w:p w14:paraId="16B35AB3" w14:textId="6408DA12" w:rsidR="00A11A5B" w:rsidRPr="00A11A5B" w:rsidRDefault="00A11A5B" w:rsidP="00FD11D9">
      <w:pPr>
        <w:pStyle w:val="Heading4"/>
        <w:jc w:val="both"/>
        <w:rPr>
          <w:rFonts w:ascii="Segoe UI" w:hAnsi="Segoe UI" w:cs="Segoe UI"/>
          <w:color w:val="004C97" w:themeColor="text2"/>
        </w:rPr>
      </w:pPr>
      <w:r w:rsidRPr="005F04B5">
        <w:rPr>
          <w:rFonts w:ascii="Segoe UI" w:hAnsi="Segoe UI" w:cs="Segoe UI"/>
          <w:color w:val="004C97" w:themeColor="text2"/>
        </w:rPr>
        <w:t>Data Sources</w:t>
      </w:r>
    </w:p>
    <w:p w14:paraId="020E350D" w14:textId="77777777" w:rsidR="00A11A5B" w:rsidRPr="00A11A5B" w:rsidRDefault="00A11A5B" w:rsidP="00FD11D9">
      <w:pPr>
        <w:spacing w:after="200"/>
        <w:jc w:val="both"/>
        <w:rPr>
          <w:rFonts w:ascii="Segoe UI" w:hAnsi="Segoe UI" w:cs="Segoe UI"/>
          <w:sz w:val="21"/>
          <w:szCs w:val="21"/>
          <w:lang w:val="en-CA"/>
        </w:rPr>
      </w:pPr>
      <w:r w:rsidRPr="00A11A5B">
        <w:rPr>
          <w:rFonts w:ascii="Segoe UI" w:hAnsi="Segoe UI" w:cs="Segoe UI"/>
          <w:sz w:val="21"/>
          <w:szCs w:val="21"/>
          <w:lang w:val="en-CA"/>
        </w:rPr>
        <w:t>Overall, four microsimulation models were built using BIT tax microdata from the following tax forms:</w:t>
      </w:r>
    </w:p>
    <w:p w14:paraId="7615DE81" w14:textId="77777777" w:rsidR="00A11A5B" w:rsidRPr="00A11A5B" w:rsidRDefault="00A11A5B" w:rsidP="00FD11D9">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IU17—IT parks</w:t>
      </w:r>
    </w:p>
    <w:p w14:paraId="4005F034" w14:textId="77777777" w:rsidR="00A11A5B" w:rsidRPr="00A11A5B" w:rsidRDefault="00A11A5B" w:rsidP="00FD11D9">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ONG17—non-commercial organizations</w:t>
      </w:r>
    </w:p>
    <w:p w14:paraId="3EDCD6AE" w14:textId="77777777" w:rsidR="00A11A5B" w:rsidRPr="00A11A5B" w:rsidRDefault="00A11A5B" w:rsidP="00FD11D9">
      <w:pPr>
        <w:numPr>
          <w:ilvl w:val="0"/>
          <w:numId w:val="23"/>
        </w:numPr>
        <w:spacing w:after="0"/>
        <w:ind w:left="714" w:hanging="357"/>
        <w:jc w:val="both"/>
        <w:rPr>
          <w:rFonts w:ascii="Segoe UI" w:hAnsi="Segoe UI" w:cs="Segoe UI"/>
          <w:sz w:val="21"/>
          <w:szCs w:val="21"/>
        </w:rPr>
      </w:pPr>
      <w:r w:rsidRPr="00A11A5B">
        <w:rPr>
          <w:rFonts w:ascii="Segoe UI" w:hAnsi="Segoe UI" w:cs="Segoe UI"/>
          <w:sz w:val="21"/>
          <w:szCs w:val="21"/>
        </w:rPr>
        <w:t>UNIF18—individual entrepreneurs and farmers</w:t>
      </w:r>
    </w:p>
    <w:p w14:paraId="3924983E" w14:textId="77777777" w:rsidR="00A11A5B" w:rsidRPr="00A11A5B" w:rsidRDefault="00A11A5B" w:rsidP="00FD11D9">
      <w:pPr>
        <w:numPr>
          <w:ilvl w:val="0"/>
          <w:numId w:val="23"/>
        </w:numPr>
        <w:spacing w:after="200"/>
        <w:jc w:val="both"/>
        <w:rPr>
          <w:rFonts w:ascii="Segoe UI" w:hAnsi="Segoe UI" w:cs="Segoe UI"/>
          <w:sz w:val="21"/>
          <w:szCs w:val="21"/>
        </w:rPr>
      </w:pPr>
      <w:r w:rsidRPr="00A11A5B">
        <w:rPr>
          <w:rFonts w:ascii="Segoe UI" w:hAnsi="Segoe UI" w:cs="Segoe UI"/>
          <w:sz w:val="21"/>
          <w:szCs w:val="21"/>
        </w:rPr>
        <w:t>VEN12—standard BIT return</w:t>
      </w:r>
    </w:p>
    <w:p w14:paraId="4BF163DB" w14:textId="76DF2C6B" w:rsidR="00A11A5B" w:rsidRDefault="00A11A5B" w:rsidP="00FD11D9">
      <w:pPr>
        <w:spacing w:after="200"/>
        <w:jc w:val="both"/>
        <w:rPr>
          <w:rFonts w:ascii="Segoe UI" w:hAnsi="Segoe UI" w:cs="Segoe UI"/>
          <w:sz w:val="21"/>
          <w:szCs w:val="21"/>
          <w:lang w:val="en-CA"/>
        </w:rPr>
      </w:pPr>
      <w:r w:rsidRPr="00A11A5B">
        <w:rPr>
          <w:rFonts w:ascii="Segoe UI" w:hAnsi="Segoe UI" w:cs="Segoe UI"/>
          <w:sz w:val="21"/>
          <w:szCs w:val="21"/>
          <w:lang w:val="en-CA"/>
        </w:rPr>
        <w:t>In general, microsimulation models simulate all cells on the tax forms, including all accompanying annexes and schedules. This lets analysts simulate any change in polic</w:t>
      </w:r>
      <w:r w:rsidR="00B71006">
        <w:rPr>
          <w:rFonts w:ascii="Segoe UI" w:hAnsi="Segoe UI" w:cs="Segoe UI"/>
          <w:sz w:val="21"/>
          <w:szCs w:val="21"/>
          <w:lang w:val="en-CA"/>
        </w:rPr>
        <w:t>y</w:t>
      </w:r>
      <w:r w:rsidRPr="00A11A5B">
        <w:rPr>
          <w:rFonts w:ascii="Segoe UI" w:hAnsi="Segoe UI" w:cs="Segoe UI"/>
          <w:sz w:val="21"/>
          <w:szCs w:val="21"/>
          <w:lang w:val="en-CA"/>
        </w:rPr>
        <w:t xml:space="preserve"> possible given the information available on the tax forms. In this case, cursory data analysis identified issues in the underlying data. In particular, there were many instances where the underlying data did not match the equations </w:t>
      </w:r>
      <w:r w:rsidRPr="00A11A5B">
        <w:rPr>
          <w:rFonts w:ascii="Segoe UI" w:hAnsi="Segoe UI" w:cs="Segoe UI"/>
          <w:sz w:val="21"/>
          <w:szCs w:val="21"/>
          <w:lang w:val="en-CA"/>
        </w:rPr>
        <w:lastRenderedPageBreak/>
        <w:t>described in the tax forms. This is indicative of either data errors, or of other inputs into those cells that are not fully described by the tax forms. To mitigate these issues, simulations in the model</w:t>
      </w:r>
      <w:r w:rsidR="00B71006">
        <w:rPr>
          <w:rFonts w:ascii="Segoe UI" w:hAnsi="Segoe UI" w:cs="Segoe UI"/>
          <w:sz w:val="21"/>
          <w:szCs w:val="21"/>
          <w:lang w:val="en-CA"/>
        </w:rPr>
        <w:t>s</w:t>
      </w:r>
      <w:r w:rsidRPr="00A11A5B">
        <w:rPr>
          <w:rFonts w:ascii="Segoe UI" w:hAnsi="Segoe UI" w:cs="Segoe UI"/>
          <w:sz w:val="21"/>
          <w:szCs w:val="21"/>
          <w:lang w:val="en-CA"/>
        </w:rPr>
        <w:t xml:space="preserve"> are limited to the cells required to properly estimate the tax expenditures identified in the tax expenditure assessment report. </w:t>
      </w:r>
    </w:p>
    <w:p w14:paraId="5168DAF5" w14:textId="77777777" w:rsidR="00A11A5B" w:rsidRPr="00CB1E53" w:rsidRDefault="00A11A5B" w:rsidP="00FD11D9">
      <w:pPr>
        <w:pStyle w:val="Heading4"/>
        <w:jc w:val="both"/>
        <w:rPr>
          <w:color w:val="004C97" w:themeColor="text2"/>
        </w:rPr>
      </w:pPr>
      <w:r w:rsidRPr="00CB1E53">
        <w:rPr>
          <w:color w:val="004C97" w:themeColor="text2"/>
        </w:rPr>
        <w:t>Estimation Methodology</w:t>
      </w:r>
    </w:p>
    <w:p w14:paraId="5B0106A5" w14:textId="7EB80BB5" w:rsidR="00A11A5B" w:rsidRDefault="00672AB0" w:rsidP="00FD11D9">
      <w:pPr>
        <w:spacing w:after="200"/>
        <w:jc w:val="both"/>
        <w:rPr>
          <w:rFonts w:ascii="Segoe UI" w:hAnsi="Segoe UI" w:cs="Segoe UI"/>
          <w:sz w:val="21"/>
          <w:szCs w:val="21"/>
          <w:lang w:val="en-CA"/>
        </w:rPr>
      </w:pPr>
      <w:r>
        <w:rPr>
          <w:rFonts w:ascii="Segoe UI" w:hAnsi="Segoe UI" w:cs="Segoe UI"/>
          <w:sz w:val="21"/>
          <w:szCs w:val="21"/>
          <w:lang w:val="en-CA"/>
        </w:rPr>
        <w:t>Microsimulation models simulate the calculations on each tax form using alternative assumptions. To estimate a tax expenditure, the value in a cell where the tax expenditure is introduced is changed and all cells on the rest of the tax return are recalculated to estimate the change in net tax. To obtain the appropriate estimate, a number of adjustments need to be made relative to the standard forms, including:</w:t>
      </w:r>
    </w:p>
    <w:p w14:paraId="67CC32D3" w14:textId="274F8F2B" w:rsidR="00672AB0" w:rsidRPr="00672AB0" w:rsidRDefault="00672AB0" w:rsidP="00FD11D9">
      <w:pPr>
        <w:pStyle w:val="ListParagraph"/>
        <w:numPr>
          <w:ilvl w:val="0"/>
          <w:numId w:val="24"/>
        </w:numPr>
        <w:spacing w:after="200"/>
        <w:jc w:val="both"/>
        <w:rPr>
          <w:rFonts w:ascii="Segoe UI" w:hAnsi="Segoe UI" w:cs="Segoe UI"/>
          <w:sz w:val="21"/>
          <w:szCs w:val="21"/>
        </w:rPr>
      </w:pPr>
      <w:bookmarkStart w:id="30" w:name="_Toc99282040"/>
      <w:r w:rsidRPr="00672AB0">
        <w:rPr>
          <w:rFonts w:ascii="Segoe UI" w:hAnsi="Segoe UI" w:cs="Segoe UI"/>
          <w:b/>
          <w:bCs/>
          <w:sz w:val="21"/>
          <w:szCs w:val="21"/>
        </w:rPr>
        <w:t xml:space="preserve">Previous </w:t>
      </w:r>
      <w:r w:rsidRPr="00FE309B">
        <w:rPr>
          <w:rFonts w:ascii="Segoe UI" w:hAnsi="Segoe UI" w:cs="Segoe UI"/>
          <w:b/>
          <w:bCs/>
          <w:sz w:val="21"/>
          <w:szCs w:val="21"/>
        </w:rPr>
        <w:t>y</w:t>
      </w:r>
      <w:r w:rsidRPr="00672AB0">
        <w:rPr>
          <w:rFonts w:ascii="Segoe UI" w:hAnsi="Segoe UI" w:cs="Segoe UI"/>
          <w:b/>
          <w:bCs/>
          <w:sz w:val="21"/>
          <w:szCs w:val="21"/>
        </w:rPr>
        <w:t xml:space="preserve">ear </w:t>
      </w:r>
      <w:r w:rsidRPr="00FE309B">
        <w:rPr>
          <w:rFonts w:ascii="Segoe UI" w:hAnsi="Segoe UI" w:cs="Segoe UI"/>
          <w:b/>
          <w:bCs/>
          <w:sz w:val="21"/>
          <w:szCs w:val="21"/>
        </w:rPr>
        <w:t>l</w:t>
      </w:r>
      <w:r w:rsidRPr="00672AB0">
        <w:rPr>
          <w:rFonts w:ascii="Segoe UI" w:hAnsi="Segoe UI" w:cs="Segoe UI"/>
          <w:b/>
          <w:bCs/>
          <w:sz w:val="21"/>
          <w:szCs w:val="21"/>
        </w:rPr>
        <w:t xml:space="preserve">oss and </w:t>
      </w:r>
      <w:r w:rsidRPr="00FE309B">
        <w:rPr>
          <w:rFonts w:ascii="Segoe UI" w:hAnsi="Segoe UI" w:cs="Segoe UI"/>
          <w:b/>
          <w:bCs/>
          <w:sz w:val="21"/>
          <w:szCs w:val="21"/>
        </w:rPr>
        <w:t>l</w:t>
      </w:r>
      <w:r w:rsidRPr="00672AB0">
        <w:rPr>
          <w:rFonts w:ascii="Segoe UI" w:hAnsi="Segoe UI" w:cs="Segoe UI"/>
          <w:b/>
          <w:bCs/>
          <w:sz w:val="21"/>
          <w:szCs w:val="21"/>
        </w:rPr>
        <w:t xml:space="preserve">oss </w:t>
      </w:r>
      <w:r w:rsidRPr="00FE309B">
        <w:rPr>
          <w:rFonts w:ascii="Segoe UI" w:hAnsi="Segoe UI" w:cs="Segoe UI"/>
          <w:b/>
          <w:bCs/>
          <w:sz w:val="21"/>
          <w:szCs w:val="21"/>
        </w:rPr>
        <w:t>c</w:t>
      </w:r>
      <w:r w:rsidRPr="00672AB0">
        <w:rPr>
          <w:rFonts w:ascii="Segoe UI" w:hAnsi="Segoe UI" w:cs="Segoe UI"/>
          <w:b/>
          <w:bCs/>
          <w:sz w:val="21"/>
          <w:szCs w:val="21"/>
        </w:rPr>
        <w:t>arryforward</w:t>
      </w:r>
      <w:bookmarkEnd w:id="30"/>
      <w:r>
        <w:rPr>
          <w:rFonts w:ascii="Segoe UI" w:hAnsi="Segoe UI" w:cs="Segoe UI"/>
          <w:sz w:val="21"/>
          <w:szCs w:val="21"/>
        </w:rPr>
        <w:t xml:space="preserve">: should be disabled to ensure the analysis captures the tax base from only one fiscal year. Negative net income and net tax is allowed in lieu of the loss carryforward to capture the impact of tax expenditures on taxpayers in a loss position. </w:t>
      </w:r>
      <w:r w:rsidR="00FE309B">
        <w:rPr>
          <w:rFonts w:ascii="Segoe UI" w:hAnsi="Segoe UI" w:cs="Segoe UI"/>
          <w:sz w:val="21"/>
          <w:szCs w:val="21"/>
        </w:rPr>
        <w:t>By replacing the loss carryforward with negative income in the current fiscal year, it is important to also disable the previous year loss to avoid underestimating the overall tax base.</w:t>
      </w:r>
    </w:p>
    <w:p w14:paraId="3CD57B69" w14:textId="1B42E319" w:rsidR="00FE309B" w:rsidRDefault="00672AB0" w:rsidP="00FD11D9">
      <w:pPr>
        <w:pStyle w:val="ListParagraph"/>
        <w:numPr>
          <w:ilvl w:val="0"/>
          <w:numId w:val="24"/>
        </w:numPr>
        <w:spacing w:after="200"/>
        <w:jc w:val="both"/>
        <w:rPr>
          <w:rFonts w:ascii="Segoe UI" w:hAnsi="Segoe UI" w:cs="Segoe UI"/>
          <w:sz w:val="21"/>
          <w:szCs w:val="21"/>
          <w:lang w:val="en-CA"/>
        </w:rPr>
      </w:pPr>
      <w:r w:rsidRPr="00FE309B">
        <w:rPr>
          <w:rFonts w:ascii="Segoe UI" w:hAnsi="Segoe UI" w:cs="Segoe UI"/>
          <w:b/>
          <w:bCs/>
          <w:sz w:val="21"/>
          <w:szCs w:val="21"/>
          <w:lang w:val="en-CA"/>
        </w:rPr>
        <w:t>Tax rate</w:t>
      </w:r>
      <w:r>
        <w:rPr>
          <w:rFonts w:ascii="Segoe UI" w:hAnsi="Segoe UI" w:cs="Segoe UI"/>
          <w:sz w:val="21"/>
          <w:szCs w:val="21"/>
          <w:lang w:val="en-CA"/>
        </w:rPr>
        <w:t>:</w:t>
      </w:r>
      <w:r w:rsidR="00FE309B">
        <w:rPr>
          <w:rFonts w:ascii="Segoe UI" w:hAnsi="Segoe UI" w:cs="Segoe UI"/>
          <w:sz w:val="21"/>
          <w:szCs w:val="21"/>
          <w:lang w:val="en-CA"/>
        </w:rPr>
        <w:t xml:space="preserve"> should be calculated using the tax paid relative to taxable income, or imputed at either the benchmark rate, or a reduced rate if one is known to apply (e.g.</w:t>
      </w:r>
      <w:r w:rsidR="00215F5D">
        <w:rPr>
          <w:rFonts w:ascii="Segoe UI" w:hAnsi="Segoe UI" w:cs="Segoe UI"/>
          <w:sz w:val="21"/>
          <w:szCs w:val="21"/>
          <w:lang w:val="en-CA"/>
        </w:rPr>
        <w:t>,</w:t>
      </w:r>
      <w:r w:rsidR="00FE309B">
        <w:rPr>
          <w:rFonts w:ascii="Segoe UI" w:hAnsi="Segoe UI" w:cs="Segoe UI"/>
          <w:sz w:val="21"/>
          <w:szCs w:val="21"/>
          <w:lang w:val="en-CA"/>
        </w:rPr>
        <w:t xml:space="preserve"> the 7</w:t>
      </w:r>
      <w:r w:rsidR="00215F5D">
        <w:rPr>
          <w:rFonts w:ascii="Segoe UI" w:hAnsi="Segoe UI" w:cs="Segoe UI"/>
          <w:sz w:val="21"/>
          <w:szCs w:val="21"/>
          <w:lang w:val="en-CA"/>
        </w:rPr>
        <w:t xml:space="preserve"> percent </w:t>
      </w:r>
      <w:r w:rsidR="00FE309B">
        <w:rPr>
          <w:rFonts w:ascii="Segoe UI" w:hAnsi="Segoe UI" w:cs="Segoe UI"/>
          <w:sz w:val="21"/>
          <w:szCs w:val="21"/>
          <w:lang w:val="en-CA"/>
        </w:rPr>
        <w:t>reduced BIT rate for farmers based on the industry code).</w:t>
      </w:r>
    </w:p>
    <w:p w14:paraId="75A61BA8" w14:textId="578784A8" w:rsidR="00672AB0" w:rsidRDefault="00FE309B" w:rsidP="00FD11D9">
      <w:pPr>
        <w:pStyle w:val="ListParagraph"/>
        <w:numPr>
          <w:ilvl w:val="0"/>
          <w:numId w:val="24"/>
        </w:numPr>
        <w:spacing w:after="200"/>
        <w:jc w:val="both"/>
        <w:rPr>
          <w:rFonts w:ascii="Segoe UI" w:hAnsi="Segoe UI" w:cs="Segoe UI"/>
          <w:sz w:val="21"/>
          <w:szCs w:val="21"/>
          <w:lang w:val="en-CA"/>
        </w:rPr>
      </w:pPr>
      <w:r w:rsidRPr="00FE309B">
        <w:rPr>
          <w:rFonts w:ascii="Segoe UI" w:hAnsi="Segoe UI" w:cs="Segoe UI"/>
          <w:b/>
          <w:bCs/>
          <w:sz w:val="21"/>
          <w:szCs w:val="21"/>
          <w:lang w:val="en-CA"/>
        </w:rPr>
        <w:t>Reference values</w:t>
      </w:r>
      <w:r>
        <w:rPr>
          <w:rFonts w:ascii="Segoe UI" w:hAnsi="Segoe UI" w:cs="Segoe UI"/>
          <w:sz w:val="21"/>
          <w:szCs w:val="21"/>
          <w:lang w:val="en-CA"/>
        </w:rPr>
        <w:t>: reference values must be derived and used as a comparison reference when calculating tax expenditures instead of the net tax from the data, because differences arise due to data error, as well as the adjustments described above.</w:t>
      </w:r>
    </w:p>
    <w:p w14:paraId="04F90896" w14:textId="5F8117D3" w:rsidR="00FE309B" w:rsidRPr="00FE309B" w:rsidRDefault="00FE309B" w:rsidP="00FD11D9">
      <w:pPr>
        <w:spacing w:after="200"/>
        <w:jc w:val="both"/>
        <w:rPr>
          <w:rFonts w:ascii="Segoe UI" w:hAnsi="Segoe UI" w:cs="Segoe UI"/>
          <w:sz w:val="21"/>
          <w:szCs w:val="21"/>
          <w:lang w:val="en-CA"/>
        </w:rPr>
      </w:pPr>
      <w:r>
        <w:rPr>
          <w:rFonts w:ascii="Segoe UI" w:hAnsi="Segoe UI" w:cs="Segoe UI"/>
          <w:sz w:val="21"/>
          <w:szCs w:val="21"/>
          <w:lang w:val="en-CA"/>
        </w:rPr>
        <w:t>Once a model is constructed using the tax microdata as inputs</w:t>
      </w:r>
      <w:r w:rsidR="00CD6285">
        <w:rPr>
          <w:rFonts w:ascii="Segoe UI" w:hAnsi="Segoe UI" w:cs="Segoe UI"/>
          <w:sz w:val="21"/>
          <w:szCs w:val="21"/>
          <w:lang w:val="en-CA"/>
        </w:rPr>
        <w:t xml:space="preserve">, while accounting for the adjustments described above in the calculations, the TEs can be estimated by toggling them on and off in the simulation. </w:t>
      </w:r>
    </w:p>
    <w:p w14:paraId="47F2A71D" w14:textId="209334EF" w:rsidR="000C2B1D" w:rsidRPr="00CB1E53" w:rsidRDefault="000C2B1D" w:rsidP="00FD11D9">
      <w:pPr>
        <w:pStyle w:val="Heading3"/>
        <w:jc w:val="both"/>
        <w:rPr>
          <w:rStyle w:val="RegularDKB"/>
          <w:caps w:val="0"/>
        </w:rPr>
      </w:pPr>
      <w:bookmarkStart w:id="31" w:name="_Toc99298774"/>
      <w:r w:rsidRPr="00CB1E53">
        <w:rPr>
          <w:rStyle w:val="RegularDKB"/>
          <w:caps w:val="0"/>
        </w:rPr>
        <w:t>Tax Expenditures Methodology for VAT</w:t>
      </w:r>
      <w:bookmarkEnd w:id="31"/>
    </w:p>
    <w:p w14:paraId="4301F175" w14:textId="77777777" w:rsidR="000C2B1D" w:rsidRPr="005F04B5" w:rsidRDefault="000C2B1D" w:rsidP="00FD11D9">
      <w:pPr>
        <w:pStyle w:val="Heading4"/>
        <w:jc w:val="both"/>
        <w:rPr>
          <w:rFonts w:ascii="Segoe UI" w:hAnsi="Segoe UI" w:cs="Segoe UI"/>
          <w:color w:val="004C97" w:themeColor="text2"/>
        </w:rPr>
      </w:pPr>
      <w:bookmarkStart w:id="32" w:name="_5rqyv43fsa8k"/>
      <w:bookmarkEnd w:id="32"/>
      <w:r w:rsidRPr="005F04B5">
        <w:rPr>
          <w:rFonts w:ascii="Segoe UI" w:hAnsi="Segoe UI" w:cs="Segoe UI"/>
          <w:color w:val="004C97" w:themeColor="text2"/>
        </w:rPr>
        <w:t>Data Sources</w:t>
      </w:r>
    </w:p>
    <w:p w14:paraId="3C98DAE3" w14:textId="0A73C385"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In most cases, vendors of commodities are not required to determine whether their goods and services were sold to firms eligible for input tax credits or consumers who cannot claim VAT relief. Consequently, determining the tax expenditure </w:t>
      </w:r>
      <w:r w:rsidR="00974F62">
        <w:rPr>
          <w:rFonts w:ascii="Segoe UI" w:hAnsi="Segoe UI" w:cs="Segoe UI"/>
          <w:sz w:val="21"/>
          <w:szCs w:val="21"/>
        </w:rPr>
        <w:t xml:space="preserve">(TE) </w:t>
      </w:r>
      <w:r w:rsidRPr="00CB1E53">
        <w:rPr>
          <w:rFonts w:ascii="Segoe UI" w:hAnsi="Segoe UI" w:cs="Segoe UI"/>
          <w:sz w:val="21"/>
          <w:szCs w:val="21"/>
        </w:rPr>
        <w:t xml:space="preserve">requires detailed knowledge as to whether the commodities are consumed by businesses that are eligible for input tax credits (ITCs), or final consumers. The only data source that can be used to disentangle purchases on which firms can claim ITCs or final consumers in Moldova is the Supply-Use Tables (SUTs) produced by the National Bureau of Statistics </w:t>
      </w:r>
      <w:r w:rsidR="00E94EA0">
        <w:rPr>
          <w:rFonts w:ascii="Segoe UI" w:hAnsi="Segoe UI" w:cs="Segoe UI"/>
          <w:sz w:val="21"/>
          <w:szCs w:val="21"/>
        </w:rPr>
        <w:t xml:space="preserve">(NBS) </w:t>
      </w:r>
      <w:r w:rsidRPr="00CB1E53">
        <w:rPr>
          <w:rFonts w:ascii="Segoe UI" w:hAnsi="Segoe UI" w:cs="Segoe UI"/>
          <w:sz w:val="21"/>
          <w:szCs w:val="21"/>
        </w:rPr>
        <w:t xml:space="preserve">as illustrated in Figure 2. These tables are the core data used in the Moldovan VAT </w:t>
      </w:r>
      <w:r w:rsidR="00974F62">
        <w:rPr>
          <w:rFonts w:ascii="Segoe UI" w:hAnsi="Segoe UI" w:cs="Segoe UI"/>
          <w:sz w:val="21"/>
          <w:szCs w:val="21"/>
        </w:rPr>
        <w:t>TE</w:t>
      </w:r>
      <w:r w:rsidRPr="00CB1E53">
        <w:rPr>
          <w:rFonts w:ascii="Segoe UI" w:hAnsi="Segoe UI" w:cs="Segoe UI"/>
          <w:sz w:val="21"/>
          <w:szCs w:val="21"/>
        </w:rPr>
        <w:t xml:space="preserve"> model. The model complements the SUT data with other statistical and administrative data such as national accounts and VAT declarations data.</w:t>
      </w:r>
    </w:p>
    <w:p w14:paraId="4F38625C" w14:textId="34407177" w:rsidR="000C2B1D" w:rsidRPr="00CB1E53" w:rsidRDefault="000C2B1D" w:rsidP="00FD11D9">
      <w:pPr>
        <w:pStyle w:val="Boxfiguretabletitle"/>
        <w:keepNext/>
        <w:keepLines/>
        <w:spacing w:after="120"/>
        <w:jc w:val="both"/>
        <w:rPr>
          <w:color w:val="auto"/>
        </w:rPr>
      </w:pPr>
      <w:r w:rsidRPr="00CB1E53">
        <w:rPr>
          <w:b w:val="0"/>
          <w:bCs w:val="0"/>
          <w:color w:val="auto"/>
        </w:rPr>
        <w:lastRenderedPageBreak/>
        <w:fldChar w:fldCharType="begin"/>
      </w:r>
      <w:r w:rsidRPr="00CB1E53">
        <w:rPr>
          <w:b w:val="0"/>
          <w:bCs w:val="0"/>
          <w:color w:val="auto"/>
        </w:rPr>
        <w:instrText xml:space="preserve"> TC "2. Illustrative Sup</w:instrText>
      </w:r>
      <w:r w:rsidR="00AB7911">
        <w:rPr>
          <w:b w:val="0"/>
          <w:bCs w:val="0"/>
          <w:color w:val="auto"/>
        </w:rPr>
        <w:instrText>p</w:instrText>
      </w:r>
      <w:r w:rsidRPr="00CB1E53">
        <w:rPr>
          <w:b w:val="0"/>
          <w:bCs w:val="0"/>
          <w:color w:val="auto"/>
        </w:rPr>
        <w:instrText>ly-Use Table (Input-Ou</w:instrText>
      </w:r>
      <w:r w:rsidR="00AB7911">
        <w:rPr>
          <w:b w:val="0"/>
          <w:bCs w:val="0"/>
          <w:color w:val="auto"/>
        </w:rPr>
        <w:instrText>t</w:instrText>
      </w:r>
      <w:r w:rsidRPr="00CB1E53">
        <w:rPr>
          <w:b w:val="0"/>
          <w:bCs w:val="0"/>
          <w:color w:val="auto"/>
        </w:rPr>
        <w:instrText xml:space="preserve">put Table)"\f C </w:instrText>
      </w:r>
      <w:r w:rsidRPr="00CB1E53">
        <w:rPr>
          <w:b w:val="0"/>
          <w:bCs w:val="0"/>
          <w:color w:val="auto"/>
        </w:rPr>
        <w:fldChar w:fldCharType="end"/>
      </w:r>
      <w:r w:rsidRPr="00CB1E53">
        <w:rPr>
          <w:color w:val="auto"/>
        </w:rPr>
        <w:t>Figure 2. Illustrative Sup</w:t>
      </w:r>
      <w:r w:rsidR="00AB7911">
        <w:rPr>
          <w:color w:val="auto"/>
        </w:rPr>
        <w:t>p</w:t>
      </w:r>
      <w:r w:rsidRPr="00CB1E53">
        <w:rPr>
          <w:color w:val="auto"/>
        </w:rPr>
        <w:t xml:space="preserve">ly-Use Table (Input-Output Table) </w:t>
      </w:r>
    </w:p>
    <w:p w14:paraId="4F1217F2" w14:textId="1F568E9F" w:rsidR="000C2B1D" w:rsidRPr="00CB1E53" w:rsidRDefault="000C2B1D" w:rsidP="00FD11D9">
      <w:pPr>
        <w:keepNext/>
        <w:keepLines/>
        <w:spacing w:after="200"/>
        <w:jc w:val="both"/>
        <w:rPr>
          <w:rFonts w:ascii="Segoe UI" w:hAnsi="Segoe UI" w:cs="Segoe UI"/>
          <w:sz w:val="21"/>
          <w:szCs w:val="21"/>
        </w:rPr>
      </w:pPr>
      <w:r w:rsidRPr="00CB1E53">
        <w:rPr>
          <w:rFonts w:ascii="Segoe UI" w:hAnsi="Segoe UI" w:cs="Segoe UI"/>
          <w:noProof/>
          <w:sz w:val="21"/>
          <w:szCs w:val="21"/>
          <w:lang w:val="en-GB" w:eastAsia="en-GB"/>
        </w:rPr>
        <w:drawing>
          <wp:inline distT="0" distB="0" distL="0" distR="0" wp14:anchorId="7918D00E" wp14:editId="3C72E8B7">
            <wp:extent cx="5943600" cy="298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614D20F6" w14:textId="77777777"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The SUTs used to develop the models are summary 2014 tables that contain 51 commodities and activities (commonly called industries or sectors). The final demand portion of the “Use” matrix provides the model with data on final consumption from households, government, and NGOs which can be used to compute tax revenues from taxable commodities. The “Supply” matrix lets the model determine the share of each “activity’s” (or sector’s) output that is exempt. The shares are then used along with the intermediate use portion of the “Use” matrix to compute tax revenues from exempt commodities. </w:t>
      </w:r>
    </w:p>
    <w:p w14:paraId="66F671CE" w14:textId="77777777" w:rsidR="000C2B1D" w:rsidRPr="005F04B5" w:rsidRDefault="000C2B1D" w:rsidP="00FD11D9">
      <w:pPr>
        <w:pStyle w:val="Heading4"/>
        <w:jc w:val="both"/>
        <w:rPr>
          <w:rFonts w:ascii="Segoe UI" w:hAnsi="Segoe UI" w:cs="Segoe UI"/>
          <w:color w:val="004C97" w:themeColor="text2"/>
        </w:rPr>
      </w:pPr>
      <w:bookmarkStart w:id="33" w:name="_f45nqpadej7r"/>
      <w:bookmarkEnd w:id="33"/>
      <w:r w:rsidRPr="005F04B5">
        <w:rPr>
          <w:rFonts w:ascii="Segoe UI" w:hAnsi="Segoe UI" w:cs="Segoe UI"/>
          <w:color w:val="004C97" w:themeColor="text2"/>
        </w:rPr>
        <w:t>Estimation Methodology</w:t>
      </w:r>
    </w:p>
    <w:p w14:paraId="1778D005" w14:textId="0BABE6B5"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Core calculations are performed twice: benchmark and simulation. In the benchmark, tax revenues are calculated under the assumption of the benchmark tax system which includes no relief apart from the zero-rating of exports. In the simulation, tax revenues are calculated under the assumptions that match the current set of </w:t>
      </w:r>
      <w:bookmarkStart w:id="34" w:name="_Hlk97069018"/>
      <w:r w:rsidR="00974F62">
        <w:rPr>
          <w:rFonts w:ascii="Segoe UI" w:hAnsi="Segoe UI" w:cs="Segoe UI"/>
          <w:sz w:val="21"/>
          <w:szCs w:val="21"/>
        </w:rPr>
        <w:t>TEs</w:t>
      </w:r>
      <w:bookmarkEnd w:id="34"/>
      <w:r w:rsidRPr="00CB1E53">
        <w:rPr>
          <w:rFonts w:ascii="Segoe UI" w:hAnsi="Segoe UI" w:cs="Segoe UI"/>
          <w:sz w:val="21"/>
          <w:szCs w:val="21"/>
        </w:rPr>
        <w:t xml:space="preserve">. Revenues forgone from </w:t>
      </w:r>
      <w:r w:rsidR="00974F62">
        <w:rPr>
          <w:rFonts w:ascii="Segoe UI" w:hAnsi="Segoe UI" w:cs="Segoe UI"/>
          <w:sz w:val="21"/>
          <w:szCs w:val="21"/>
        </w:rPr>
        <w:t xml:space="preserve">TEs </w:t>
      </w:r>
      <w:r w:rsidRPr="00CB1E53">
        <w:rPr>
          <w:rFonts w:ascii="Segoe UI" w:hAnsi="Segoe UI" w:cs="Segoe UI"/>
          <w:sz w:val="21"/>
          <w:szCs w:val="21"/>
        </w:rPr>
        <w:t xml:space="preserve">are estimated by removing the </w:t>
      </w:r>
      <w:r w:rsidR="00974F62">
        <w:rPr>
          <w:rFonts w:ascii="Segoe UI" w:hAnsi="Segoe UI" w:cs="Segoe UI"/>
          <w:sz w:val="21"/>
          <w:szCs w:val="21"/>
        </w:rPr>
        <w:t>TE</w:t>
      </w:r>
      <w:r w:rsidRPr="00CB1E53">
        <w:rPr>
          <w:rFonts w:ascii="Segoe UI" w:hAnsi="Segoe UI" w:cs="Segoe UI"/>
          <w:sz w:val="21"/>
          <w:szCs w:val="21"/>
        </w:rPr>
        <w:t xml:space="preserve"> from the simulation, such that revenues increase in the simulation relative to the calibrated scenario (for positive </w:t>
      </w:r>
      <w:r w:rsidR="00974F62">
        <w:rPr>
          <w:rFonts w:ascii="Segoe UI" w:hAnsi="Segoe UI" w:cs="Segoe UI"/>
          <w:sz w:val="21"/>
          <w:szCs w:val="21"/>
        </w:rPr>
        <w:t>TEs</w:t>
      </w:r>
      <w:r w:rsidRPr="00CB1E53">
        <w:rPr>
          <w:rFonts w:ascii="Segoe UI" w:hAnsi="Segoe UI" w:cs="Segoe UI"/>
          <w:sz w:val="21"/>
          <w:szCs w:val="21"/>
        </w:rPr>
        <w:t>). The change in revenues are the estimates of revenues forgone.</w:t>
      </w:r>
    </w:p>
    <w:p w14:paraId="10D0FDAD" w14:textId="44CE09EF" w:rsidR="000C2B1D" w:rsidRPr="00CB1E53" w:rsidRDefault="005E267A" w:rsidP="00FD11D9">
      <w:pPr>
        <w:jc w:val="both"/>
        <w:rPr>
          <w:rStyle w:val="Emphasis"/>
          <w:rFonts w:ascii="Segoe UI" w:hAnsi="Segoe UI" w:cs="Segoe UI"/>
          <w:color w:val="004C97" w:themeColor="text2"/>
        </w:rPr>
      </w:pPr>
      <w:bookmarkStart w:id="35" w:name="_v7sm83xokzmg"/>
      <w:bookmarkEnd w:id="35"/>
      <w:r w:rsidRPr="00CB1E53">
        <w:rPr>
          <w:rStyle w:val="Emphasis"/>
          <w:rFonts w:ascii="Segoe UI" w:hAnsi="Segoe UI" w:cs="Segoe UI"/>
          <w:caps/>
          <w:color w:val="004C97" w:themeColor="text2"/>
        </w:rPr>
        <w:t>C</w:t>
      </w:r>
      <w:r w:rsidRPr="00CB1E53">
        <w:rPr>
          <w:rStyle w:val="Emphasis"/>
          <w:rFonts w:ascii="Segoe UI" w:hAnsi="Segoe UI" w:cs="Segoe UI"/>
          <w:color w:val="004C97" w:themeColor="text2"/>
        </w:rPr>
        <w:t>alculations</w:t>
      </w:r>
    </w:p>
    <w:p w14:paraId="76B27BF5" w14:textId="640E72AE"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Simulated tax from final consumption and from intermediate inputs are estimated separately.</w:t>
      </w:r>
      <w:r w:rsidR="00F21F7B" w:rsidRPr="00CB1E53">
        <w:rPr>
          <w:rFonts w:ascii="Segoe UI" w:hAnsi="Segoe UI" w:cs="Segoe UI"/>
          <w:sz w:val="21"/>
          <w:szCs w:val="21"/>
        </w:rPr>
        <w:t xml:space="preserve"> </w:t>
      </w:r>
      <w:r w:rsidRPr="00CB1E53">
        <w:rPr>
          <w:rFonts w:ascii="Segoe UI" w:hAnsi="Segoe UI" w:cs="Segoe UI"/>
          <w:sz w:val="21"/>
          <w:szCs w:val="21"/>
        </w:rPr>
        <w:t>The model assumes that final consumption is taxed at the average weighted VAT rate based on the share of each commodity that is fully taxable—at 20</w:t>
      </w:r>
      <w:r w:rsidR="006E653B" w:rsidRPr="00CB1E53">
        <w:rPr>
          <w:rFonts w:ascii="Segoe UI" w:hAnsi="Segoe UI" w:cs="Segoe UI"/>
          <w:sz w:val="21"/>
          <w:szCs w:val="21"/>
        </w:rPr>
        <w:t xml:space="preserve"> percent</w:t>
      </w:r>
      <w:r w:rsidRPr="00CB1E53">
        <w:rPr>
          <w:rFonts w:ascii="Segoe UI" w:hAnsi="Segoe UI" w:cs="Segoe UI"/>
          <w:sz w:val="21"/>
          <w:szCs w:val="21"/>
        </w:rPr>
        <w:t>—subject to a reduced rate—6, 8 or 12</w:t>
      </w:r>
      <w:r w:rsidR="006E653B" w:rsidRPr="00CB1E53">
        <w:rPr>
          <w:rFonts w:ascii="Segoe UI" w:hAnsi="Segoe UI" w:cs="Segoe UI"/>
          <w:sz w:val="21"/>
          <w:szCs w:val="21"/>
        </w:rPr>
        <w:t xml:space="preserve"> percent</w:t>
      </w:r>
      <w:r w:rsidRPr="00CB1E53">
        <w:rPr>
          <w:rFonts w:ascii="Segoe UI" w:hAnsi="Segoe UI" w:cs="Segoe UI"/>
          <w:sz w:val="21"/>
          <w:szCs w:val="21"/>
        </w:rPr>
        <w:t>—and not taxed—i.e.</w:t>
      </w:r>
      <w:r w:rsidR="005E267A" w:rsidRPr="00CB1E53">
        <w:rPr>
          <w:rFonts w:ascii="Segoe UI" w:hAnsi="Segoe UI" w:cs="Segoe UI"/>
          <w:sz w:val="21"/>
          <w:szCs w:val="21"/>
        </w:rPr>
        <w:t>,</w:t>
      </w:r>
      <w:r w:rsidRPr="00CB1E53">
        <w:rPr>
          <w:rFonts w:ascii="Segoe UI" w:hAnsi="Segoe UI" w:cs="Segoe UI"/>
          <w:sz w:val="21"/>
          <w:szCs w:val="21"/>
        </w:rPr>
        <w:t xml:space="preserve"> exempt and zero-rated commodities. </w:t>
      </w:r>
    </w:p>
    <w:p w14:paraId="384A64DC" w14:textId="77777777"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Tax on intermediate inputs is calculated by applying VAT on intermediate inputs used into the production of exempt commodities at the average weighted VAT rate of the inputs used. </w:t>
      </w:r>
    </w:p>
    <w:p w14:paraId="190C1355" w14:textId="2F851E7F" w:rsidR="000C2B1D" w:rsidRPr="00CB1E53" w:rsidRDefault="000C2B1D" w:rsidP="00FD11D9">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lastRenderedPageBreak/>
        <w:t>First, the share of industry output that is exempt is calculated by weighing the share of each commodity that is exempt—from the dashboard—by the relative output of each commodity in each activity.</w:t>
      </w:r>
      <w:r w:rsidRPr="00CB1E53">
        <w:rPr>
          <w:rFonts w:ascii="Segoe UI" w:hAnsi="Segoe UI" w:cs="Segoe UI"/>
          <w:sz w:val="21"/>
          <w:szCs w:val="21"/>
          <w:vertAlign w:val="superscript"/>
        </w:rPr>
        <w:footnoteReference w:id="20"/>
      </w:r>
    </w:p>
    <w:p w14:paraId="7F4E5B53" w14:textId="77777777" w:rsidR="000C2B1D" w:rsidRPr="00CB1E53" w:rsidRDefault="000C2B1D" w:rsidP="00FD11D9">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 xml:space="preserve">The share of each industry’s output that is exported is brought in to gross down the exempt share as commodities that are normally exempt are zero-rated when exported. </w:t>
      </w:r>
    </w:p>
    <w:p w14:paraId="7C1268DF" w14:textId="77777777" w:rsidR="000C2B1D" w:rsidRPr="00CB1E53" w:rsidRDefault="000C2B1D" w:rsidP="00FD11D9">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The share of each activity’s inputs that are not eligible for input tax credits are calculated by multiplying the exempt share by the share of domestic production that is not exported.</w:t>
      </w:r>
    </w:p>
    <w:p w14:paraId="694E3E9A" w14:textId="77777777" w:rsidR="000C2B1D" w:rsidRPr="00CB1E53" w:rsidRDefault="000C2B1D" w:rsidP="00FD11D9">
      <w:pPr>
        <w:numPr>
          <w:ilvl w:val="0"/>
          <w:numId w:val="16"/>
        </w:numPr>
        <w:spacing w:after="0" w:line="276" w:lineRule="auto"/>
        <w:jc w:val="both"/>
        <w:rPr>
          <w:rFonts w:ascii="Segoe UI" w:hAnsi="Segoe UI" w:cs="Segoe UI"/>
          <w:sz w:val="21"/>
          <w:szCs w:val="21"/>
        </w:rPr>
      </w:pPr>
      <w:r w:rsidRPr="00CB1E53">
        <w:rPr>
          <w:rFonts w:ascii="Segoe UI" w:hAnsi="Segoe UI" w:cs="Segoe UI"/>
          <w:sz w:val="21"/>
          <w:szCs w:val="21"/>
        </w:rPr>
        <w:t>The share of each activity’s inputs that are not eligible for input tax credits is multiplied by the average VAT rate — weighted using the taxable and reduced rate shares — of the inputs used.</w:t>
      </w:r>
      <w:r w:rsidRPr="00CB1E53">
        <w:rPr>
          <w:rFonts w:ascii="Segoe UI" w:hAnsi="Segoe UI" w:cs="Segoe UI"/>
          <w:sz w:val="21"/>
          <w:szCs w:val="21"/>
          <w:vertAlign w:val="superscript"/>
        </w:rPr>
        <w:footnoteReference w:id="21"/>
      </w:r>
    </w:p>
    <w:p w14:paraId="79C48311" w14:textId="77777777" w:rsidR="000C2B1D" w:rsidRPr="00CB1E53" w:rsidRDefault="000C2B1D" w:rsidP="00FD11D9">
      <w:pPr>
        <w:numPr>
          <w:ilvl w:val="0"/>
          <w:numId w:val="16"/>
        </w:numPr>
        <w:spacing w:after="200" w:line="276" w:lineRule="auto"/>
        <w:jc w:val="both"/>
        <w:rPr>
          <w:rFonts w:ascii="Segoe UI" w:hAnsi="Segoe UI" w:cs="Segoe UI"/>
          <w:sz w:val="21"/>
          <w:szCs w:val="21"/>
        </w:rPr>
      </w:pPr>
      <w:r w:rsidRPr="00CB1E53">
        <w:rPr>
          <w:rFonts w:ascii="Segoe UI" w:hAnsi="Segoe UI" w:cs="Segoe UI"/>
          <w:sz w:val="21"/>
          <w:szCs w:val="21"/>
        </w:rPr>
        <w:t>Finally, the effective VAT rate on intermediate inputs, is multiplied by the use matrix in net purchaser price to calculate VAT revenues from intermediate inputs.</w:t>
      </w:r>
    </w:p>
    <w:p w14:paraId="02E51D50" w14:textId="77777777" w:rsidR="000C2B1D" w:rsidRPr="00CB1E53" w:rsidRDefault="000C2B1D" w:rsidP="00FD11D9">
      <w:pPr>
        <w:jc w:val="both"/>
        <w:rPr>
          <w:rStyle w:val="Emphasis"/>
          <w:color w:val="004C97" w:themeColor="text2"/>
        </w:rPr>
      </w:pPr>
      <w:bookmarkStart w:id="36" w:name="_lbxu6io26dt3"/>
      <w:bookmarkEnd w:id="36"/>
      <w:r w:rsidRPr="00CB1E53">
        <w:rPr>
          <w:rStyle w:val="Emphasis"/>
          <w:color w:val="004C97" w:themeColor="text2"/>
        </w:rPr>
        <w:t>Interpretation of Estimates</w:t>
      </w:r>
    </w:p>
    <w:p w14:paraId="2AA23C89" w14:textId="59F9CAC4"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The VAT </w:t>
      </w:r>
      <w:r w:rsidR="00EC7E13">
        <w:rPr>
          <w:rFonts w:ascii="Segoe UI" w:hAnsi="Segoe UI" w:cs="Segoe UI"/>
          <w:sz w:val="21"/>
          <w:szCs w:val="21"/>
        </w:rPr>
        <w:t xml:space="preserve">TEs </w:t>
      </w:r>
      <w:r w:rsidRPr="00CB1E53">
        <w:rPr>
          <w:rFonts w:ascii="Segoe UI" w:hAnsi="Segoe UI" w:cs="Segoe UI"/>
          <w:sz w:val="21"/>
          <w:szCs w:val="21"/>
        </w:rPr>
        <w:t xml:space="preserve">are estimates of revenues forgone. They are hence estimates of the additional revenues that would be raised from removing the </w:t>
      </w:r>
      <w:r w:rsidR="00EC7E13">
        <w:rPr>
          <w:rFonts w:ascii="Segoe UI" w:hAnsi="Segoe UI" w:cs="Segoe UI"/>
          <w:sz w:val="21"/>
          <w:szCs w:val="21"/>
        </w:rPr>
        <w:t xml:space="preserve">TEs </w:t>
      </w:r>
      <w:r w:rsidRPr="00CB1E53">
        <w:rPr>
          <w:rFonts w:ascii="Segoe UI" w:hAnsi="Segoe UI" w:cs="Segoe UI"/>
          <w:sz w:val="21"/>
          <w:szCs w:val="21"/>
        </w:rPr>
        <w:t>in the absence of behavioral response. Their accuracy in forecasting the additional revenues associated with policy changes depends on the extent to which behavioral responses matter for the targeted commodity. In most instances, behavioral responses are relatively small for VAT policy changes, particularly for small policy changes.</w:t>
      </w:r>
    </w:p>
    <w:p w14:paraId="2CF92FA3" w14:textId="3D5DBCDD" w:rsidR="000C2B1D"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Interaction effects are important to keep in mind when interpreting estimates. Policies interact with one another, and so changes to multiple policies together will not generally lead to total revenues forgone equal to the sum of the individual revenues forgone estimates. The model used to compute the VAT </w:t>
      </w:r>
      <w:r w:rsidR="008730C8">
        <w:rPr>
          <w:rFonts w:ascii="Segoe UI" w:hAnsi="Segoe UI" w:cs="Segoe UI"/>
          <w:sz w:val="21"/>
          <w:szCs w:val="21"/>
        </w:rPr>
        <w:t xml:space="preserve">TEs </w:t>
      </w:r>
      <w:r w:rsidRPr="00CB1E53">
        <w:rPr>
          <w:rFonts w:ascii="Segoe UI" w:hAnsi="Segoe UI" w:cs="Segoe UI"/>
          <w:sz w:val="21"/>
          <w:szCs w:val="21"/>
        </w:rPr>
        <w:t>accounts for interaction effects, and can be used to estimate the revenues forgone associated with multiple policies.</w:t>
      </w:r>
    </w:p>
    <w:p w14:paraId="6EA53EDA" w14:textId="77777777" w:rsidR="000C2B1D" w:rsidRPr="00CB1E53" w:rsidRDefault="000C2B1D" w:rsidP="00FD11D9">
      <w:pPr>
        <w:jc w:val="both"/>
        <w:rPr>
          <w:rStyle w:val="Emphasis"/>
          <w:color w:val="004C97" w:themeColor="text2"/>
        </w:rPr>
      </w:pPr>
      <w:bookmarkStart w:id="37" w:name="_4fzlwoxusbg7"/>
      <w:bookmarkEnd w:id="37"/>
      <w:r w:rsidRPr="00CB1E53">
        <w:rPr>
          <w:rStyle w:val="Emphasis"/>
          <w:color w:val="004C97" w:themeColor="text2"/>
        </w:rPr>
        <w:t>Projection of Estimates</w:t>
      </w:r>
    </w:p>
    <w:p w14:paraId="6971AB31" w14:textId="70E2D4DC" w:rsidR="00CB1E53" w:rsidRPr="00CB1E53" w:rsidRDefault="000C2B1D" w:rsidP="00FD11D9">
      <w:pPr>
        <w:spacing w:after="200"/>
        <w:jc w:val="both"/>
        <w:rPr>
          <w:rFonts w:ascii="Segoe UI" w:hAnsi="Segoe UI" w:cs="Segoe UI"/>
          <w:sz w:val="21"/>
          <w:szCs w:val="21"/>
        </w:rPr>
      </w:pPr>
      <w:r w:rsidRPr="00CB1E53">
        <w:rPr>
          <w:rFonts w:ascii="Segoe UI" w:hAnsi="Segoe UI" w:cs="Segoe UI"/>
          <w:sz w:val="21"/>
          <w:szCs w:val="21"/>
        </w:rPr>
        <w:t xml:space="preserve">The core statistical SUTs provide the model with the structure of the economy as of 2014. The model estimates </w:t>
      </w:r>
      <w:r w:rsidR="008730C8">
        <w:rPr>
          <w:rFonts w:ascii="Segoe UI" w:hAnsi="Segoe UI" w:cs="Segoe UI"/>
          <w:sz w:val="21"/>
          <w:szCs w:val="21"/>
        </w:rPr>
        <w:t xml:space="preserve">TEs </w:t>
      </w:r>
      <w:r w:rsidRPr="00CB1E53">
        <w:rPr>
          <w:rFonts w:ascii="Segoe UI" w:hAnsi="Segoe UI" w:cs="Segoe UI"/>
          <w:sz w:val="21"/>
          <w:szCs w:val="21"/>
        </w:rPr>
        <w:t xml:space="preserve">for the years 2015 to 2020 by adjusting the simulation for the VAT policies in each of those years and growing the economy using aggregate final consumption expenditure. The </w:t>
      </w:r>
      <w:r w:rsidR="008730C8">
        <w:rPr>
          <w:rFonts w:ascii="Segoe UI" w:hAnsi="Segoe UI" w:cs="Segoe UI"/>
          <w:sz w:val="21"/>
          <w:szCs w:val="21"/>
        </w:rPr>
        <w:t>TEs</w:t>
      </w:r>
      <w:r w:rsidRPr="00CB1E53">
        <w:rPr>
          <w:rFonts w:ascii="Segoe UI" w:hAnsi="Segoe UI" w:cs="Segoe UI"/>
          <w:sz w:val="21"/>
          <w:szCs w:val="21"/>
        </w:rPr>
        <w:t xml:space="preserve"> are projected forward in 2021 and 2022 using the announced VAT policies — e.g.</w:t>
      </w:r>
      <w:r w:rsidR="00C95FA5" w:rsidRPr="00CB1E53">
        <w:rPr>
          <w:rFonts w:ascii="Segoe UI" w:hAnsi="Segoe UI" w:cs="Segoe UI"/>
          <w:sz w:val="21"/>
          <w:szCs w:val="21"/>
        </w:rPr>
        <w:t>,</w:t>
      </w:r>
      <w:r w:rsidRPr="00CB1E53">
        <w:rPr>
          <w:rFonts w:ascii="Segoe UI" w:hAnsi="Segoe UI" w:cs="Segoe UI"/>
          <w:sz w:val="21"/>
          <w:szCs w:val="21"/>
        </w:rPr>
        <w:t xml:space="preserve"> the 6</w:t>
      </w:r>
      <w:r w:rsidR="006E653B" w:rsidRPr="00CB1E53">
        <w:rPr>
          <w:rFonts w:ascii="Segoe UI" w:hAnsi="Segoe UI" w:cs="Segoe UI"/>
          <w:sz w:val="21"/>
          <w:szCs w:val="21"/>
        </w:rPr>
        <w:t xml:space="preserve"> percent</w:t>
      </w:r>
      <w:r w:rsidRPr="00CB1E53">
        <w:rPr>
          <w:rFonts w:ascii="Segoe UI" w:hAnsi="Segoe UI" w:cs="Segoe UI"/>
          <w:sz w:val="21"/>
          <w:szCs w:val="21"/>
        </w:rPr>
        <w:t xml:space="preserve"> reduced-rate for hotels and restaurants — as well as the IMF </w:t>
      </w:r>
      <w:r w:rsidR="00C95FA5" w:rsidRPr="00CB1E53">
        <w:rPr>
          <w:rFonts w:ascii="Segoe UI" w:hAnsi="Segoe UI" w:cs="Segoe UI"/>
          <w:sz w:val="21"/>
          <w:szCs w:val="21"/>
        </w:rPr>
        <w:t>(202</w:t>
      </w:r>
      <w:r w:rsidR="007575C3" w:rsidRPr="00CB1E53">
        <w:rPr>
          <w:rFonts w:ascii="Segoe UI" w:hAnsi="Segoe UI" w:cs="Segoe UI"/>
          <w:sz w:val="21"/>
          <w:szCs w:val="21"/>
        </w:rPr>
        <w:t>2</w:t>
      </w:r>
      <w:r w:rsidR="00C95FA5" w:rsidRPr="00CB1E53">
        <w:rPr>
          <w:rFonts w:ascii="Segoe UI" w:hAnsi="Segoe UI" w:cs="Segoe UI"/>
          <w:sz w:val="21"/>
          <w:szCs w:val="21"/>
        </w:rPr>
        <w:t xml:space="preserve">) </w:t>
      </w:r>
      <w:r w:rsidRPr="00CB1E53">
        <w:rPr>
          <w:rFonts w:ascii="Segoe UI" w:hAnsi="Segoe UI" w:cs="Segoe UI"/>
          <w:sz w:val="21"/>
          <w:szCs w:val="21"/>
        </w:rPr>
        <w:t>projections of GDP and aggregate VAT revenues.</w:t>
      </w:r>
    </w:p>
    <w:p w14:paraId="44F28DC1" w14:textId="76569A6B" w:rsidR="00F77F6D" w:rsidRPr="00CB1E53" w:rsidRDefault="00CB1E53" w:rsidP="00FD11D9">
      <w:pPr>
        <w:pStyle w:val="Heading3"/>
        <w:jc w:val="both"/>
        <w:rPr>
          <w:rStyle w:val="RegularDKB"/>
          <w:caps w:val="0"/>
        </w:rPr>
      </w:pPr>
      <w:bookmarkStart w:id="38" w:name="_Toc99298775"/>
      <w:r w:rsidRPr="00CB1E53">
        <w:rPr>
          <w:rStyle w:val="RegularDKB"/>
          <w:caps w:val="0"/>
        </w:rPr>
        <w:lastRenderedPageBreak/>
        <w:t>Costing of Tax Expenditures, 2018-2021</w:t>
      </w:r>
      <w:bookmarkEnd w:id="38"/>
    </w:p>
    <w:p w14:paraId="736EE1E5" w14:textId="25EBEE3D" w:rsidR="00CB1E53" w:rsidRPr="00CB1E53" w:rsidRDefault="00CB1E53" w:rsidP="00FD11D9">
      <w:pPr>
        <w:spacing w:after="200"/>
        <w:jc w:val="both"/>
        <w:rPr>
          <w:rFonts w:ascii="Segoe UI" w:hAnsi="Segoe UI" w:cs="Segoe UI"/>
          <w:sz w:val="21"/>
          <w:szCs w:val="21"/>
        </w:rPr>
      </w:pPr>
      <w:r w:rsidRPr="00CB1E53">
        <w:rPr>
          <w:rFonts w:ascii="Segoe UI" w:hAnsi="Segoe UI" w:cs="Segoe UI"/>
          <w:sz w:val="21"/>
          <w:szCs w:val="21"/>
        </w:rPr>
        <w:t xml:space="preserve">Based of methodologies discussed above, </w:t>
      </w:r>
      <w:r w:rsidR="00AB7911">
        <w:rPr>
          <w:rFonts w:ascii="Segoe UI" w:hAnsi="Segoe UI" w:cs="Segoe UI"/>
          <w:sz w:val="21"/>
          <w:szCs w:val="21"/>
        </w:rPr>
        <w:t>Table</w:t>
      </w:r>
      <w:r w:rsidRPr="00CB1E53">
        <w:rPr>
          <w:rFonts w:ascii="Segoe UI" w:hAnsi="Segoe UI" w:cs="Segoe UI"/>
          <w:sz w:val="21"/>
          <w:szCs w:val="21"/>
        </w:rPr>
        <w:t xml:space="preserve"> </w:t>
      </w:r>
      <w:r w:rsidR="00AB7911">
        <w:rPr>
          <w:rFonts w:ascii="Segoe UI" w:hAnsi="Segoe UI" w:cs="Segoe UI"/>
          <w:sz w:val="21"/>
          <w:szCs w:val="21"/>
        </w:rPr>
        <w:t>4</w:t>
      </w:r>
      <w:r w:rsidRPr="00CB1E53">
        <w:rPr>
          <w:rFonts w:ascii="Segoe UI" w:hAnsi="Segoe UI" w:cs="Segoe UI"/>
          <w:sz w:val="21"/>
          <w:szCs w:val="21"/>
        </w:rPr>
        <w:t xml:space="preserve"> presents the TEs estimates for PIT, BIT and V</w:t>
      </w:r>
      <w:r w:rsidR="00522E33">
        <w:rPr>
          <w:rFonts w:ascii="Segoe UI" w:hAnsi="Segoe UI" w:cs="Segoe UI"/>
          <w:sz w:val="21"/>
          <w:szCs w:val="21"/>
        </w:rPr>
        <w:t>A</w:t>
      </w:r>
      <w:r w:rsidRPr="00CB1E53">
        <w:rPr>
          <w:rFonts w:ascii="Segoe UI" w:hAnsi="Segoe UI" w:cs="Segoe UI"/>
          <w:sz w:val="21"/>
          <w:szCs w:val="21"/>
        </w:rPr>
        <w:t>T.</w:t>
      </w:r>
    </w:p>
    <w:p w14:paraId="59F09F36" w14:textId="490CEA11" w:rsidR="007575C3" w:rsidRPr="00CB1E53" w:rsidRDefault="00CB1E53" w:rsidP="00FD11D9">
      <w:pPr>
        <w:pStyle w:val="Boxfiguretabletitle"/>
        <w:spacing w:after="120"/>
        <w:jc w:val="both"/>
        <w:rPr>
          <w:color w:val="auto"/>
        </w:rPr>
      </w:pPr>
      <w:r w:rsidRPr="00CB1E53">
        <w:rPr>
          <w:b w:val="0"/>
          <w:bCs w:val="0"/>
          <w:color w:val="auto"/>
        </w:rPr>
        <w:fldChar w:fldCharType="begin"/>
      </w:r>
      <w:r w:rsidRPr="00CB1E53">
        <w:rPr>
          <w:b w:val="0"/>
          <w:bCs w:val="0"/>
          <w:color w:val="auto"/>
        </w:rPr>
        <w:instrText xml:space="preserve"> TC "</w:instrText>
      </w:r>
      <w:r w:rsidR="00AB7911">
        <w:rPr>
          <w:b w:val="0"/>
          <w:bCs w:val="0"/>
          <w:color w:val="auto"/>
        </w:rPr>
        <w:instrText>4</w:instrText>
      </w:r>
      <w:r w:rsidRPr="00CB1E53">
        <w:rPr>
          <w:b w:val="0"/>
          <w:bCs w:val="0"/>
          <w:color w:val="auto"/>
        </w:rPr>
        <w:instrText>. Tax Expenditures esti</w:instrText>
      </w:r>
      <w:r>
        <w:rPr>
          <w:b w:val="0"/>
          <w:bCs w:val="0"/>
          <w:color w:val="auto"/>
        </w:rPr>
        <w:instrText>m</w:instrText>
      </w:r>
      <w:r w:rsidRPr="00CB1E53">
        <w:rPr>
          <w:b w:val="0"/>
          <w:bCs w:val="0"/>
          <w:color w:val="auto"/>
        </w:rPr>
        <w:instrText xml:space="preserve">ates: PIT, BIT and CIT "\f C </w:instrText>
      </w:r>
      <w:r w:rsidRPr="00CB1E53">
        <w:rPr>
          <w:b w:val="0"/>
          <w:bCs w:val="0"/>
          <w:color w:val="auto"/>
        </w:rPr>
        <w:fldChar w:fldCharType="end"/>
      </w:r>
      <w:r w:rsidRPr="00CB1E53">
        <w:rPr>
          <w:color w:val="auto"/>
        </w:rPr>
        <w:t xml:space="preserve">Table </w:t>
      </w:r>
      <w:r w:rsidR="00AB7911">
        <w:rPr>
          <w:color w:val="auto"/>
        </w:rPr>
        <w:t>4</w:t>
      </w:r>
      <w:r w:rsidRPr="00CB1E53">
        <w:rPr>
          <w:color w:val="auto"/>
        </w:rPr>
        <w:t xml:space="preserve">. Tax Expenditure estimates: PIT, BIT and </w:t>
      </w:r>
      <w:r w:rsidR="00522E33">
        <w:rPr>
          <w:color w:val="auto"/>
        </w:rPr>
        <w:t>VAT</w:t>
      </w:r>
    </w:p>
    <w:tbl>
      <w:tblPr>
        <w:tblW w:w="9584" w:type="dxa"/>
        <w:tblLook w:val="04A0" w:firstRow="1" w:lastRow="0" w:firstColumn="1" w:lastColumn="0" w:noHBand="0" w:noVBand="1"/>
      </w:tblPr>
      <w:tblGrid>
        <w:gridCol w:w="6115"/>
        <w:gridCol w:w="698"/>
        <w:gridCol w:w="691"/>
        <w:gridCol w:w="698"/>
        <w:gridCol w:w="691"/>
        <w:gridCol w:w="691"/>
      </w:tblGrid>
      <w:tr w:rsidR="00957EC6" w:rsidRPr="00957EC6" w14:paraId="5082CB48" w14:textId="77777777" w:rsidTr="008C76F5">
        <w:trPr>
          <w:trHeight w:val="210"/>
          <w:tblHeader/>
        </w:trPr>
        <w:tc>
          <w:tcPr>
            <w:tcW w:w="6115" w:type="dxa"/>
            <w:vMerge w:val="restart"/>
            <w:tcBorders>
              <w:top w:val="single" w:sz="4" w:space="0" w:color="auto"/>
              <w:left w:val="single" w:sz="4" w:space="0" w:color="auto"/>
              <w:bottom w:val="nil"/>
              <w:right w:val="nil"/>
            </w:tcBorders>
            <w:shd w:val="clear" w:color="auto" w:fill="auto"/>
            <w:noWrap/>
            <w:vAlign w:val="center"/>
            <w:hideMark/>
          </w:tcPr>
          <w:p w14:paraId="189CE821" w14:textId="0F7C689E"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Title of tax expenditure</w:t>
            </w:r>
          </w:p>
        </w:tc>
        <w:tc>
          <w:tcPr>
            <w:tcW w:w="3469" w:type="dxa"/>
            <w:gridSpan w:val="5"/>
            <w:tcBorders>
              <w:top w:val="single" w:sz="4" w:space="0" w:color="auto"/>
              <w:left w:val="nil"/>
              <w:bottom w:val="nil"/>
              <w:right w:val="single" w:sz="4" w:space="0" w:color="auto"/>
            </w:tcBorders>
            <w:shd w:val="clear" w:color="auto" w:fill="auto"/>
            <w:noWrap/>
            <w:vAlign w:val="center"/>
            <w:hideMark/>
          </w:tcPr>
          <w:p w14:paraId="5681E6DF"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Estimated costs</w:t>
            </w:r>
          </w:p>
        </w:tc>
      </w:tr>
      <w:tr w:rsidR="008C76F5" w:rsidRPr="00CB1E53" w14:paraId="0D8D860F" w14:textId="77777777" w:rsidTr="008C76F5">
        <w:trPr>
          <w:trHeight w:val="210"/>
          <w:tblHeader/>
        </w:trPr>
        <w:tc>
          <w:tcPr>
            <w:tcW w:w="6115" w:type="dxa"/>
            <w:vMerge/>
            <w:tcBorders>
              <w:top w:val="single" w:sz="4" w:space="0" w:color="auto"/>
              <w:left w:val="single" w:sz="4" w:space="0" w:color="auto"/>
              <w:bottom w:val="single" w:sz="4" w:space="0" w:color="auto"/>
              <w:right w:val="nil"/>
            </w:tcBorders>
            <w:vAlign w:val="center"/>
            <w:hideMark/>
          </w:tcPr>
          <w:p w14:paraId="44BD73EE"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p>
        </w:tc>
        <w:tc>
          <w:tcPr>
            <w:tcW w:w="698" w:type="dxa"/>
            <w:tcBorders>
              <w:top w:val="nil"/>
              <w:left w:val="nil"/>
              <w:bottom w:val="single" w:sz="4" w:space="0" w:color="auto"/>
              <w:right w:val="nil"/>
            </w:tcBorders>
            <w:shd w:val="clear" w:color="auto" w:fill="auto"/>
            <w:noWrap/>
            <w:vAlign w:val="center"/>
            <w:hideMark/>
          </w:tcPr>
          <w:p w14:paraId="33154515"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2018</w:t>
            </w:r>
          </w:p>
        </w:tc>
        <w:tc>
          <w:tcPr>
            <w:tcW w:w="691" w:type="dxa"/>
            <w:tcBorders>
              <w:top w:val="nil"/>
              <w:left w:val="nil"/>
              <w:bottom w:val="single" w:sz="4" w:space="0" w:color="auto"/>
              <w:right w:val="nil"/>
            </w:tcBorders>
            <w:shd w:val="clear" w:color="auto" w:fill="auto"/>
            <w:noWrap/>
            <w:vAlign w:val="center"/>
            <w:hideMark/>
          </w:tcPr>
          <w:p w14:paraId="52080561"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2019</w:t>
            </w:r>
          </w:p>
        </w:tc>
        <w:tc>
          <w:tcPr>
            <w:tcW w:w="698" w:type="dxa"/>
            <w:tcBorders>
              <w:top w:val="nil"/>
              <w:left w:val="nil"/>
              <w:bottom w:val="single" w:sz="4" w:space="0" w:color="auto"/>
              <w:right w:val="nil"/>
            </w:tcBorders>
            <w:shd w:val="clear" w:color="auto" w:fill="auto"/>
            <w:noWrap/>
            <w:vAlign w:val="center"/>
            <w:hideMark/>
          </w:tcPr>
          <w:p w14:paraId="18C33069"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2020</w:t>
            </w:r>
          </w:p>
        </w:tc>
        <w:tc>
          <w:tcPr>
            <w:tcW w:w="691" w:type="dxa"/>
            <w:tcBorders>
              <w:top w:val="nil"/>
              <w:left w:val="nil"/>
              <w:bottom w:val="single" w:sz="4" w:space="0" w:color="auto"/>
              <w:right w:val="nil"/>
            </w:tcBorders>
            <w:shd w:val="clear" w:color="auto" w:fill="auto"/>
            <w:noWrap/>
            <w:vAlign w:val="center"/>
            <w:hideMark/>
          </w:tcPr>
          <w:p w14:paraId="1324DB47"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2021</w:t>
            </w:r>
          </w:p>
        </w:tc>
        <w:tc>
          <w:tcPr>
            <w:tcW w:w="691" w:type="dxa"/>
            <w:tcBorders>
              <w:top w:val="nil"/>
              <w:left w:val="nil"/>
              <w:bottom w:val="single" w:sz="4" w:space="0" w:color="auto"/>
              <w:right w:val="single" w:sz="4" w:space="0" w:color="auto"/>
            </w:tcBorders>
            <w:shd w:val="clear" w:color="auto" w:fill="auto"/>
            <w:vAlign w:val="center"/>
            <w:hideMark/>
          </w:tcPr>
          <w:p w14:paraId="07FCEFF0" w14:textId="77777777" w:rsidR="00957EC6" w:rsidRPr="00957EC6" w:rsidRDefault="00957EC6"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2022</w:t>
            </w:r>
          </w:p>
        </w:tc>
      </w:tr>
      <w:tr w:rsidR="00591308" w:rsidRPr="00CB1E53" w14:paraId="0634597C" w14:textId="77777777" w:rsidTr="00591308">
        <w:trPr>
          <w:trHeight w:val="287"/>
        </w:trPr>
        <w:tc>
          <w:tcPr>
            <w:tcW w:w="6115" w:type="dxa"/>
            <w:tcBorders>
              <w:top w:val="single" w:sz="4" w:space="0" w:color="auto"/>
              <w:left w:val="single" w:sz="4" w:space="0" w:color="auto"/>
              <w:bottom w:val="double" w:sz="6" w:space="0" w:color="auto"/>
              <w:right w:val="nil"/>
            </w:tcBorders>
            <w:shd w:val="clear" w:color="auto" w:fill="auto"/>
            <w:noWrap/>
            <w:vAlign w:val="center"/>
            <w:hideMark/>
          </w:tcPr>
          <w:p w14:paraId="095CA5F3" w14:textId="77777777" w:rsidR="00591308" w:rsidRPr="00957EC6" w:rsidRDefault="00591308"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Personal Income Tax</w:t>
            </w:r>
          </w:p>
        </w:tc>
        <w:tc>
          <w:tcPr>
            <w:tcW w:w="3469" w:type="dxa"/>
            <w:gridSpan w:val="5"/>
            <w:tcBorders>
              <w:top w:val="single" w:sz="4" w:space="0" w:color="auto"/>
              <w:left w:val="nil"/>
              <w:bottom w:val="double" w:sz="6" w:space="0" w:color="auto"/>
              <w:right w:val="single" w:sz="4" w:space="0" w:color="auto"/>
            </w:tcBorders>
            <w:shd w:val="clear" w:color="auto" w:fill="auto"/>
            <w:noWrap/>
            <w:vAlign w:val="center"/>
            <w:hideMark/>
          </w:tcPr>
          <w:p w14:paraId="0F247F4D" w14:textId="58E21BBB" w:rsidR="00591308" w:rsidRPr="00957EC6" w:rsidRDefault="00591308" w:rsidP="00FD11D9">
            <w:pPr>
              <w:spacing w:after="0" w:line="240" w:lineRule="auto"/>
              <w:jc w:val="both"/>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Million MDL</w:t>
            </w:r>
          </w:p>
        </w:tc>
      </w:tr>
      <w:tr w:rsidR="00957EC6" w:rsidRPr="00957EC6" w14:paraId="65D0A1DC" w14:textId="77777777" w:rsidTr="008C76F5">
        <w:trPr>
          <w:trHeight w:val="288"/>
        </w:trPr>
        <w:tc>
          <w:tcPr>
            <w:tcW w:w="6115" w:type="dxa"/>
            <w:tcBorders>
              <w:top w:val="nil"/>
              <w:left w:val="single" w:sz="4" w:space="0" w:color="auto"/>
              <w:bottom w:val="nil"/>
              <w:right w:val="single" w:sz="4" w:space="0" w:color="auto"/>
            </w:tcBorders>
            <w:shd w:val="clear" w:color="auto" w:fill="auto"/>
            <w:noWrap/>
            <w:vAlign w:val="center"/>
            <w:hideMark/>
          </w:tcPr>
          <w:p w14:paraId="2159997B" w14:textId="720DA1E4" w:rsidR="00957EC6" w:rsidRPr="00957EC6" w:rsidRDefault="00591308" w:rsidP="00FD11D9">
            <w:pPr>
              <w:spacing w:after="0" w:line="240" w:lineRule="auto"/>
              <w:ind w:firstLineChars="100" w:firstLine="160"/>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Million </w:t>
            </w:r>
            <w:r w:rsidR="00957EC6" w:rsidRPr="00957EC6">
              <w:rPr>
                <w:rFonts w:ascii="Arial Narrow" w:eastAsia="Times New Roman" w:hAnsi="Arial Narrow" w:cs="Arial"/>
                <w:color w:val="000000"/>
                <w:sz w:val="16"/>
                <w:szCs w:val="16"/>
              </w:rPr>
              <w:t>Tax exemption of received state pension</w:t>
            </w:r>
          </w:p>
        </w:tc>
        <w:tc>
          <w:tcPr>
            <w:tcW w:w="698" w:type="dxa"/>
            <w:tcBorders>
              <w:top w:val="nil"/>
              <w:left w:val="nil"/>
              <w:bottom w:val="single" w:sz="4" w:space="0" w:color="auto"/>
              <w:right w:val="single" w:sz="4" w:space="0" w:color="auto"/>
            </w:tcBorders>
            <w:shd w:val="clear" w:color="auto" w:fill="auto"/>
            <w:noWrap/>
            <w:vAlign w:val="center"/>
            <w:hideMark/>
          </w:tcPr>
          <w:p w14:paraId="0561B65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09CD2F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397.3</w:t>
            </w:r>
          </w:p>
        </w:tc>
        <w:tc>
          <w:tcPr>
            <w:tcW w:w="698" w:type="dxa"/>
            <w:tcBorders>
              <w:top w:val="nil"/>
              <w:left w:val="nil"/>
              <w:bottom w:val="single" w:sz="4" w:space="0" w:color="auto"/>
              <w:right w:val="single" w:sz="4" w:space="0" w:color="auto"/>
            </w:tcBorders>
            <w:shd w:val="clear" w:color="auto" w:fill="auto"/>
            <w:noWrap/>
            <w:vAlign w:val="center"/>
            <w:hideMark/>
          </w:tcPr>
          <w:p w14:paraId="6B57144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388.0</w:t>
            </w:r>
          </w:p>
        </w:tc>
        <w:tc>
          <w:tcPr>
            <w:tcW w:w="691" w:type="dxa"/>
            <w:tcBorders>
              <w:top w:val="nil"/>
              <w:left w:val="nil"/>
              <w:bottom w:val="single" w:sz="4" w:space="0" w:color="auto"/>
              <w:right w:val="single" w:sz="4" w:space="0" w:color="auto"/>
            </w:tcBorders>
            <w:shd w:val="clear" w:color="auto" w:fill="auto"/>
            <w:noWrap/>
            <w:vAlign w:val="center"/>
            <w:hideMark/>
          </w:tcPr>
          <w:p w14:paraId="06B1652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439.1</w:t>
            </w:r>
          </w:p>
        </w:tc>
        <w:tc>
          <w:tcPr>
            <w:tcW w:w="691" w:type="dxa"/>
            <w:tcBorders>
              <w:top w:val="nil"/>
              <w:left w:val="nil"/>
              <w:bottom w:val="single" w:sz="4" w:space="0" w:color="auto"/>
              <w:right w:val="single" w:sz="4" w:space="0" w:color="auto"/>
            </w:tcBorders>
            <w:shd w:val="clear" w:color="auto" w:fill="auto"/>
            <w:noWrap/>
            <w:vAlign w:val="center"/>
            <w:hideMark/>
          </w:tcPr>
          <w:p w14:paraId="5E83152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482.7</w:t>
            </w:r>
          </w:p>
        </w:tc>
      </w:tr>
      <w:tr w:rsidR="00957EC6" w:rsidRPr="00957EC6" w14:paraId="5A3833CA" w14:textId="77777777" w:rsidTr="00180026">
        <w:trPr>
          <w:trHeight w:val="288"/>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6372"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state security payments and state subsidies</w:t>
            </w:r>
          </w:p>
        </w:tc>
        <w:tc>
          <w:tcPr>
            <w:tcW w:w="698" w:type="dxa"/>
            <w:tcBorders>
              <w:top w:val="nil"/>
              <w:left w:val="nil"/>
              <w:bottom w:val="single" w:sz="4" w:space="0" w:color="auto"/>
              <w:right w:val="single" w:sz="4" w:space="0" w:color="auto"/>
            </w:tcBorders>
            <w:shd w:val="clear" w:color="auto" w:fill="auto"/>
            <w:noWrap/>
            <w:vAlign w:val="center"/>
            <w:hideMark/>
          </w:tcPr>
          <w:p w14:paraId="6199BCD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652.3</w:t>
            </w:r>
          </w:p>
        </w:tc>
        <w:tc>
          <w:tcPr>
            <w:tcW w:w="691" w:type="dxa"/>
            <w:tcBorders>
              <w:top w:val="nil"/>
              <w:left w:val="nil"/>
              <w:bottom w:val="single" w:sz="4" w:space="0" w:color="auto"/>
              <w:right w:val="single" w:sz="4" w:space="0" w:color="auto"/>
            </w:tcBorders>
            <w:shd w:val="clear" w:color="auto" w:fill="auto"/>
            <w:noWrap/>
            <w:vAlign w:val="center"/>
            <w:hideMark/>
          </w:tcPr>
          <w:p w14:paraId="61ED84C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705.3</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00C955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688.7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DCB42B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779.5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9CC35C8" w14:textId="62B20843"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856.9</w:t>
            </w:r>
          </w:p>
        </w:tc>
      </w:tr>
      <w:tr w:rsidR="00957EC6" w:rsidRPr="00957EC6" w14:paraId="60FEED9C"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927A912"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Non-taxable state subsidy to first-time homeowners under “First Home” state program</w:t>
            </w:r>
          </w:p>
        </w:tc>
        <w:tc>
          <w:tcPr>
            <w:tcW w:w="698" w:type="dxa"/>
            <w:tcBorders>
              <w:top w:val="nil"/>
              <w:left w:val="nil"/>
              <w:bottom w:val="single" w:sz="4" w:space="0" w:color="auto"/>
              <w:right w:val="single" w:sz="4" w:space="0" w:color="auto"/>
            </w:tcBorders>
            <w:shd w:val="clear" w:color="auto" w:fill="auto"/>
            <w:noWrap/>
            <w:vAlign w:val="center"/>
            <w:hideMark/>
          </w:tcPr>
          <w:p w14:paraId="418DE57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BA8DC7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1.01</w:t>
            </w:r>
          </w:p>
        </w:tc>
        <w:tc>
          <w:tcPr>
            <w:tcW w:w="698" w:type="dxa"/>
            <w:tcBorders>
              <w:top w:val="nil"/>
              <w:left w:val="nil"/>
              <w:bottom w:val="single" w:sz="4" w:space="0" w:color="auto"/>
              <w:right w:val="single" w:sz="4" w:space="0" w:color="auto"/>
            </w:tcBorders>
            <w:shd w:val="clear" w:color="auto" w:fill="auto"/>
            <w:noWrap/>
            <w:vAlign w:val="center"/>
            <w:hideMark/>
          </w:tcPr>
          <w:p w14:paraId="181EEA6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2.96</w:t>
            </w:r>
          </w:p>
        </w:tc>
        <w:tc>
          <w:tcPr>
            <w:tcW w:w="691" w:type="dxa"/>
            <w:tcBorders>
              <w:top w:val="nil"/>
              <w:left w:val="nil"/>
              <w:bottom w:val="single" w:sz="4" w:space="0" w:color="auto"/>
              <w:right w:val="single" w:sz="4" w:space="0" w:color="auto"/>
            </w:tcBorders>
            <w:shd w:val="clear" w:color="auto" w:fill="auto"/>
            <w:noWrap/>
            <w:vAlign w:val="center"/>
            <w:hideMark/>
          </w:tcPr>
          <w:p w14:paraId="7513EA6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81461F7" w14:textId="4198C818"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6.8</w:t>
            </w:r>
          </w:p>
        </w:tc>
      </w:tr>
      <w:tr w:rsidR="00957EC6" w:rsidRPr="00957EC6" w14:paraId="46531F98"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EEE724F"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All fringe benefit payments by an employer such as meals etc. are tax exempt </w:t>
            </w:r>
          </w:p>
        </w:tc>
        <w:tc>
          <w:tcPr>
            <w:tcW w:w="698" w:type="dxa"/>
            <w:tcBorders>
              <w:top w:val="nil"/>
              <w:left w:val="nil"/>
              <w:bottom w:val="single" w:sz="4" w:space="0" w:color="auto"/>
              <w:right w:val="single" w:sz="4" w:space="0" w:color="auto"/>
            </w:tcBorders>
            <w:shd w:val="clear" w:color="auto" w:fill="auto"/>
            <w:noWrap/>
            <w:vAlign w:val="center"/>
            <w:hideMark/>
          </w:tcPr>
          <w:p w14:paraId="0CA4051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B64D6C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3690F87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299F64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78AE3D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6AE284F2"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DEFF36A" w14:textId="3F05A75B"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scholarships for pupils, students</w:t>
            </w:r>
            <w:r w:rsidR="008730C8">
              <w:rPr>
                <w:rFonts w:ascii="Arial Narrow" w:eastAsia="Times New Roman" w:hAnsi="Arial Narrow" w:cs="Arial"/>
                <w:color w:val="000000"/>
                <w:sz w:val="16"/>
                <w:szCs w:val="16"/>
              </w:rPr>
              <w:t>,</w:t>
            </w:r>
            <w:r w:rsidRPr="00957EC6">
              <w:rPr>
                <w:rFonts w:ascii="Arial Narrow" w:eastAsia="Times New Roman" w:hAnsi="Arial Narrow" w:cs="Arial"/>
                <w:color w:val="000000"/>
                <w:sz w:val="16"/>
                <w:szCs w:val="16"/>
              </w:rPr>
              <w:t xml:space="preserve"> and postgraduate students</w:t>
            </w:r>
          </w:p>
        </w:tc>
        <w:tc>
          <w:tcPr>
            <w:tcW w:w="698" w:type="dxa"/>
            <w:tcBorders>
              <w:top w:val="nil"/>
              <w:left w:val="nil"/>
              <w:bottom w:val="single" w:sz="4" w:space="0" w:color="auto"/>
              <w:right w:val="single" w:sz="4" w:space="0" w:color="auto"/>
            </w:tcBorders>
            <w:shd w:val="clear" w:color="auto" w:fill="auto"/>
            <w:noWrap/>
            <w:vAlign w:val="center"/>
            <w:hideMark/>
          </w:tcPr>
          <w:p w14:paraId="795A2A9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112.1</w:t>
            </w:r>
          </w:p>
        </w:tc>
        <w:tc>
          <w:tcPr>
            <w:tcW w:w="691" w:type="dxa"/>
            <w:tcBorders>
              <w:top w:val="nil"/>
              <w:left w:val="nil"/>
              <w:bottom w:val="single" w:sz="4" w:space="0" w:color="auto"/>
              <w:right w:val="single" w:sz="4" w:space="0" w:color="auto"/>
            </w:tcBorders>
            <w:shd w:val="clear" w:color="auto" w:fill="auto"/>
            <w:noWrap/>
            <w:vAlign w:val="center"/>
            <w:hideMark/>
          </w:tcPr>
          <w:p w14:paraId="13217B5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247.2</w:t>
            </w:r>
          </w:p>
        </w:tc>
        <w:tc>
          <w:tcPr>
            <w:tcW w:w="698" w:type="dxa"/>
            <w:tcBorders>
              <w:top w:val="nil"/>
              <w:left w:val="nil"/>
              <w:bottom w:val="single" w:sz="4" w:space="0" w:color="auto"/>
              <w:right w:val="single" w:sz="4" w:space="0" w:color="auto"/>
            </w:tcBorders>
            <w:shd w:val="clear" w:color="auto" w:fill="auto"/>
            <w:noWrap/>
            <w:vAlign w:val="center"/>
            <w:hideMark/>
          </w:tcPr>
          <w:p w14:paraId="0684816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465485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285.4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9568CE" w14:textId="64D89ACD"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313.8</w:t>
            </w:r>
          </w:p>
        </w:tc>
      </w:tr>
      <w:tr w:rsidR="00957EC6" w:rsidRPr="00957EC6" w14:paraId="0E9DE220"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F131727"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received patrimony received as a donation or inheritance</w:t>
            </w:r>
          </w:p>
        </w:tc>
        <w:tc>
          <w:tcPr>
            <w:tcW w:w="698" w:type="dxa"/>
            <w:tcBorders>
              <w:top w:val="nil"/>
              <w:left w:val="nil"/>
              <w:bottom w:val="single" w:sz="4" w:space="0" w:color="auto"/>
              <w:right w:val="single" w:sz="4" w:space="0" w:color="auto"/>
            </w:tcBorders>
            <w:shd w:val="clear" w:color="auto" w:fill="auto"/>
            <w:noWrap/>
            <w:vAlign w:val="center"/>
            <w:hideMark/>
          </w:tcPr>
          <w:p w14:paraId="6A6BE18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7B8A26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113B54D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C33570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89EC95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C5490FA"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59F893DB"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Tax exemption of gratuitous transfers of property, including cash, from Government or competent authorities </w:t>
            </w:r>
          </w:p>
        </w:tc>
        <w:tc>
          <w:tcPr>
            <w:tcW w:w="698" w:type="dxa"/>
            <w:tcBorders>
              <w:top w:val="nil"/>
              <w:left w:val="nil"/>
              <w:bottom w:val="single" w:sz="4" w:space="0" w:color="auto"/>
              <w:right w:val="single" w:sz="4" w:space="0" w:color="auto"/>
            </w:tcBorders>
            <w:shd w:val="clear" w:color="auto" w:fill="auto"/>
            <w:noWrap/>
            <w:vAlign w:val="center"/>
            <w:hideMark/>
          </w:tcPr>
          <w:p w14:paraId="304D152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831FFF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1349AE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A27DF1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6A67EA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538B0FE6"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34A79EC"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amounts received by blood donors from state healthcare institutions</w:t>
            </w:r>
          </w:p>
        </w:tc>
        <w:tc>
          <w:tcPr>
            <w:tcW w:w="698" w:type="dxa"/>
            <w:tcBorders>
              <w:top w:val="nil"/>
              <w:left w:val="nil"/>
              <w:bottom w:val="single" w:sz="4" w:space="0" w:color="auto"/>
              <w:right w:val="single" w:sz="4" w:space="0" w:color="auto"/>
            </w:tcBorders>
            <w:shd w:val="clear" w:color="auto" w:fill="auto"/>
            <w:noWrap/>
            <w:vAlign w:val="center"/>
            <w:hideMark/>
          </w:tcPr>
          <w:p w14:paraId="7B3427E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AEC9D1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2536E1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5B285E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CC7AED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18C37FC7"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8EDC153"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Winnings and awards from games of chance</w:t>
            </w:r>
          </w:p>
        </w:tc>
        <w:tc>
          <w:tcPr>
            <w:tcW w:w="698" w:type="dxa"/>
            <w:tcBorders>
              <w:top w:val="nil"/>
              <w:left w:val="nil"/>
              <w:bottom w:val="single" w:sz="4" w:space="0" w:color="auto"/>
              <w:right w:val="single" w:sz="4" w:space="0" w:color="auto"/>
            </w:tcBorders>
            <w:shd w:val="clear" w:color="auto" w:fill="auto"/>
            <w:noWrap/>
            <w:vAlign w:val="center"/>
            <w:hideMark/>
          </w:tcPr>
          <w:p w14:paraId="741E4DA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9965BA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2847214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BD3CA0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6FA3B5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AE54189"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F09C2D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material assistance received by natural persons from the reserve funds of the Moldovan Government</w:t>
            </w:r>
          </w:p>
        </w:tc>
        <w:tc>
          <w:tcPr>
            <w:tcW w:w="698" w:type="dxa"/>
            <w:tcBorders>
              <w:top w:val="nil"/>
              <w:left w:val="nil"/>
              <w:bottom w:val="single" w:sz="4" w:space="0" w:color="auto"/>
              <w:right w:val="single" w:sz="4" w:space="0" w:color="auto"/>
            </w:tcBorders>
            <w:shd w:val="clear" w:color="auto" w:fill="auto"/>
            <w:noWrap/>
            <w:vAlign w:val="center"/>
            <w:hideMark/>
          </w:tcPr>
          <w:p w14:paraId="5484B23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1B6728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4F53760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FE31EF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726E9D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684962C1"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80FDE3E"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for financial assistance received by sportsmen from the International Olympic Committee</w:t>
            </w:r>
          </w:p>
        </w:tc>
        <w:tc>
          <w:tcPr>
            <w:tcW w:w="698" w:type="dxa"/>
            <w:tcBorders>
              <w:top w:val="nil"/>
              <w:left w:val="nil"/>
              <w:bottom w:val="single" w:sz="4" w:space="0" w:color="auto"/>
              <w:right w:val="single" w:sz="4" w:space="0" w:color="auto"/>
            </w:tcBorders>
            <w:shd w:val="clear" w:color="auto" w:fill="auto"/>
            <w:noWrap/>
            <w:vAlign w:val="center"/>
            <w:hideMark/>
          </w:tcPr>
          <w:p w14:paraId="33CDB03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4EDF09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6733BD0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6E880A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09C53D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57AF7259"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625E656C"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exemptions of rewards received from the Republic of Moldova</w:t>
            </w:r>
          </w:p>
        </w:tc>
        <w:tc>
          <w:tcPr>
            <w:tcW w:w="698" w:type="dxa"/>
            <w:tcBorders>
              <w:top w:val="nil"/>
              <w:left w:val="nil"/>
              <w:bottom w:val="single" w:sz="4" w:space="0" w:color="auto"/>
              <w:right w:val="single" w:sz="4" w:space="0" w:color="auto"/>
            </w:tcBorders>
            <w:shd w:val="clear" w:color="auto" w:fill="auto"/>
            <w:noWrap/>
            <w:vAlign w:val="center"/>
            <w:hideMark/>
          </w:tcPr>
          <w:p w14:paraId="5A65BBD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0.12</w:t>
            </w:r>
          </w:p>
        </w:tc>
        <w:tc>
          <w:tcPr>
            <w:tcW w:w="691" w:type="dxa"/>
            <w:tcBorders>
              <w:top w:val="nil"/>
              <w:left w:val="nil"/>
              <w:bottom w:val="single" w:sz="4" w:space="0" w:color="auto"/>
              <w:right w:val="single" w:sz="4" w:space="0" w:color="auto"/>
            </w:tcBorders>
            <w:shd w:val="clear" w:color="auto" w:fill="auto"/>
            <w:noWrap/>
            <w:vAlign w:val="center"/>
            <w:hideMark/>
          </w:tcPr>
          <w:p w14:paraId="0BE5397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0.12</w:t>
            </w:r>
          </w:p>
        </w:tc>
        <w:tc>
          <w:tcPr>
            <w:tcW w:w="698" w:type="dxa"/>
            <w:tcBorders>
              <w:top w:val="nil"/>
              <w:left w:val="nil"/>
              <w:bottom w:val="single" w:sz="4" w:space="0" w:color="auto"/>
              <w:right w:val="single" w:sz="4" w:space="0" w:color="auto"/>
            </w:tcBorders>
            <w:shd w:val="clear" w:color="auto" w:fill="auto"/>
            <w:noWrap/>
            <w:vAlign w:val="center"/>
            <w:hideMark/>
          </w:tcPr>
          <w:p w14:paraId="73DA9A2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0.36</w:t>
            </w:r>
          </w:p>
        </w:tc>
        <w:tc>
          <w:tcPr>
            <w:tcW w:w="691" w:type="dxa"/>
            <w:tcBorders>
              <w:top w:val="nil"/>
              <w:left w:val="nil"/>
              <w:bottom w:val="single" w:sz="4" w:space="0" w:color="auto"/>
              <w:right w:val="single" w:sz="4" w:space="0" w:color="auto"/>
            </w:tcBorders>
            <w:shd w:val="clear" w:color="auto" w:fill="auto"/>
            <w:noWrap/>
            <w:vAlign w:val="center"/>
            <w:hideMark/>
          </w:tcPr>
          <w:p w14:paraId="24593AD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0.084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E330E12" w14:textId="72E539FE"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0.1</w:t>
            </w:r>
          </w:p>
        </w:tc>
      </w:tr>
      <w:tr w:rsidR="00957EC6" w:rsidRPr="00957EC6" w14:paraId="7E5061AC"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0C2A7D0"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remuneration granted to households for participating in survey by the statistic bodies</w:t>
            </w:r>
          </w:p>
        </w:tc>
        <w:tc>
          <w:tcPr>
            <w:tcW w:w="698" w:type="dxa"/>
            <w:tcBorders>
              <w:top w:val="nil"/>
              <w:left w:val="nil"/>
              <w:bottom w:val="single" w:sz="4" w:space="0" w:color="auto"/>
              <w:right w:val="single" w:sz="4" w:space="0" w:color="auto"/>
            </w:tcBorders>
            <w:shd w:val="clear" w:color="auto" w:fill="auto"/>
            <w:noWrap/>
            <w:vAlign w:val="center"/>
            <w:hideMark/>
          </w:tcPr>
          <w:p w14:paraId="46AC841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3555D8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CF1AED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ECCC9F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16DD9F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2B594F4"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6CC00E7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for income generated from the delivery of secondary raw materials</w:t>
            </w:r>
          </w:p>
        </w:tc>
        <w:tc>
          <w:tcPr>
            <w:tcW w:w="698" w:type="dxa"/>
            <w:tcBorders>
              <w:top w:val="nil"/>
              <w:left w:val="nil"/>
              <w:bottom w:val="single" w:sz="4" w:space="0" w:color="auto"/>
              <w:right w:val="single" w:sz="4" w:space="0" w:color="auto"/>
            </w:tcBorders>
            <w:shd w:val="clear" w:color="auto" w:fill="auto"/>
            <w:noWrap/>
            <w:vAlign w:val="center"/>
            <w:hideMark/>
          </w:tcPr>
          <w:p w14:paraId="1EF8361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33ED24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C15350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49F009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2E7690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24B2C4A9"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B2012D6" w14:textId="08713A7B"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income generated from the sale of natural plant, horticultural production</w:t>
            </w:r>
            <w:r w:rsidR="008730C8">
              <w:rPr>
                <w:rFonts w:ascii="Arial Narrow" w:eastAsia="Times New Roman" w:hAnsi="Arial Narrow" w:cs="Arial"/>
                <w:color w:val="000000"/>
                <w:sz w:val="16"/>
                <w:szCs w:val="16"/>
              </w:rPr>
              <w:t>,</w:t>
            </w:r>
            <w:r w:rsidRPr="00957EC6">
              <w:rPr>
                <w:rFonts w:ascii="Arial Narrow" w:eastAsia="Times New Roman" w:hAnsi="Arial Narrow" w:cs="Arial"/>
                <w:color w:val="000000"/>
                <w:sz w:val="16"/>
                <w:szCs w:val="16"/>
              </w:rPr>
              <w:t xml:space="preserve"> and animal husbandry</w:t>
            </w:r>
          </w:p>
        </w:tc>
        <w:tc>
          <w:tcPr>
            <w:tcW w:w="698" w:type="dxa"/>
            <w:tcBorders>
              <w:top w:val="nil"/>
              <w:left w:val="nil"/>
              <w:bottom w:val="single" w:sz="4" w:space="0" w:color="auto"/>
              <w:right w:val="single" w:sz="4" w:space="0" w:color="auto"/>
            </w:tcBorders>
            <w:shd w:val="clear" w:color="auto" w:fill="auto"/>
            <w:noWrap/>
            <w:vAlign w:val="center"/>
            <w:hideMark/>
          </w:tcPr>
          <w:p w14:paraId="687F5D1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922831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3C0C64F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28A66E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29B23A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4BBEC2D3"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92F53D1"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incomes received by individuals for the delivery of milk</w:t>
            </w:r>
          </w:p>
        </w:tc>
        <w:tc>
          <w:tcPr>
            <w:tcW w:w="698" w:type="dxa"/>
            <w:tcBorders>
              <w:top w:val="nil"/>
              <w:left w:val="nil"/>
              <w:bottom w:val="single" w:sz="4" w:space="0" w:color="auto"/>
              <w:right w:val="single" w:sz="4" w:space="0" w:color="auto"/>
            </w:tcBorders>
            <w:shd w:val="clear" w:color="auto" w:fill="auto"/>
            <w:noWrap/>
            <w:vAlign w:val="center"/>
            <w:hideMark/>
          </w:tcPr>
          <w:p w14:paraId="27AF839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35926A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E2BCD5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171A78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034918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52B15412"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04504FF"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cash allowances to the military</w:t>
            </w:r>
          </w:p>
        </w:tc>
        <w:tc>
          <w:tcPr>
            <w:tcW w:w="698" w:type="dxa"/>
            <w:tcBorders>
              <w:top w:val="nil"/>
              <w:left w:val="nil"/>
              <w:bottom w:val="single" w:sz="4" w:space="0" w:color="auto"/>
              <w:right w:val="single" w:sz="4" w:space="0" w:color="auto"/>
            </w:tcBorders>
            <w:shd w:val="clear" w:color="auto" w:fill="auto"/>
            <w:noWrap/>
            <w:vAlign w:val="center"/>
            <w:hideMark/>
          </w:tcPr>
          <w:p w14:paraId="22DD9D8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AF022E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976AA0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8652F9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CDFD9C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26070589"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7F30EA7"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 of royalties for individuals aged 60 and over in the area of art, science, and literature</w:t>
            </w:r>
          </w:p>
        </w:tc>
        <w:tc>
          <w:tcPr>
            <w:tcW w:w="698" w:type="dxa"/>
            <w:tcBorders>
              <w:top w:val="nil"/>
              <w:left w:val="nil"/>
              <w:bottom w:val="single" w:sz="4" w:space="0" w:color="auto"/>
              <w:right w:val="single" w:sz="4" w:space="0" w:color="auto"/>
            </w:tcBorders>
            <w:shd w:val="clear" w:color="auto" w:fill="auto"/>
            <w:noWrap/>
            <w:vAlign w:val="center"/>
            <w:hideMark/>
          </w:tcPr>
          <w:p w14:paraId="42860DE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BCF82A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2D300B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3CEC54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E73A82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7340A75F"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66C2E0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Tax exemptions for received allowances as compensation for work performed during election day</w:t>
            </w:r>
          </w:p>
        </w:tc>
        <w:tc>
          <w:tcPr>
            <w:tcW w:w="698" w:type="dxa"/>
            <w:tcBorders>
              <w:top w:val="nil"/>
              <w:left w:val="nil"/>
              <w:bottom w:val="single" w:sz="4" w:space="0" w:color="auto"/>
              <w:right w:val="single" w:sz="4" w:space="0" w:color="auto"/>
            </w:tcBorders>
            <w:shd w:val="clear" w:color="auto" w:fill="auto"/>
            <w:noWrap/>
            <w:vAlign w:val="center"/>
            <w:hideMark/>
          </w:tcPr>
          <w:p w14:paraId="2F2F043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9C23A1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6B3BDC2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2797C7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9A7BE6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3A7AEF34"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261D090"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Tax exemption of payments borne by the beneficiaries of works for food </w:t>
            </w:r>
          </w:p>
        </w:tc>
        <w:tc>
          <w:tcPr>
            <w:tcW w:w="698" w:type="dxa"/>
            <w:tcBorders>
              <w:top w:val="nil"/>
              <w:left w:val="nil"/>
              <w:bottom w:val="single" w:sz="4" w:space="0" w:color="auto"/>
              <w:right w:val="single" w:sz="4" w:space="0" w:color="auto"/>
            </w:tcBorders>
            <w:shd w:val="clear" w:color="auto" w:fill="auto"/>
            <w:noWrap/>
            <w:vAlign w:val="center"/>
            <w:hideMark/>
          </w:tcPr>
          <w:p w14:paraId="4D8AF14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656861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2062BF4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751C77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75ECA1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C0E68B9"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9376F7D"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Deduction to encourage the development of software (IT programs)</w:t>
            </w:r>
          </w:p>
        </w:tc>
        <w:tc>
          <w:tcPr>
            <w:tcW w:w="698" w:type="dxa"/>
            <w:tcBorders>
              <w:top w:val="nil"/>
              <w:left w:val="nil"/>
              <w:bottom w:val="single" w:sz="4" w:space="0" w:color="auto"/>
              <w:right w:val="single" w:sz="4" w:space="0" w:color="auto"/>
            </w:tcBorders>
            <w:shd w:val="clear" w:color="auto" w:fill="auto"/>
            <w:noWrap/>
            <w:vAlign w:val="center"/>
            <w:hideMark/>
          </w:tcPr>
          <w:p w14:paraId="7EBCE0D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F0A1DB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3223340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B8FA0A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012CB4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7BF871B8"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FD43E93" w14:textId="0BA8A632"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Tax </w:t>
            </w:r>
            <w:r w:rsidR="009448A9">
              <w:rPr>
                <w:rFonts w:ascii="Arial Narrow" w:eastAsia="Times New Roman" w:hAnsi="Arial Narrow" w:cs="Arial"/>
                <w:color w:val="000000"/>
                <w:sz w:val="16"/>
                <w:szCs w:val="16"/>
              </w:rPr>
              <w:t>e</w:t>
            </w:r>
            <w:r w:rsidR="009448A9" w:rsidRPr="00957EC6">
              <w:rPr>
                <w:rFonts w:ascii="Arial Narrow" w:eastAsia="Times New Roman" w:hAnsi="Arial Narrow" w:cs="Arial"/>
                <w:color w:val="000000"/>
                <w:sz w:val="16"/>
                <w:szCs w:val="16"/>
              </w:rPr>
              <w:t xml:space="preserve">xemption </w:t>
            </w:r>
            <w:r w:rsidRPr="00957EC6">
              <w:rPr>
                <w:rFonts w:ascii="Arial Narrow" w:eastAsia="Times New Roman" w:hAnsi="Arial Narrow" w:cs="Arial"/>
                <w:color w:val="000000"/>
                <w:sz w:val="16"/>
                <w:szCs w:val="16"/>
              </w:rPr>
              <w:t>of income from the disposal of primary residence</w:t>
            </w:r>
          </w:p>
        </w:tc>
        <w:tc>
          <w:tcPr>
            <w:tcW w:w="698" w:type="dxa"/>
            <w:tcBorders>
              <w:top w:val="nil"/>
              <w:left w:val="nil"/>
              <w:bottom w:val="single" w:sz="4" w:space="0" w:color="auto"/>
              <w:right w:val="single" w:sz="4" w:space="0" w:color="auto"/>
            </w:tcBorders>
            <w:shd w:val="clear" w:color="auto" w:fill="auto"/>
            <w:noWrap/>
            <w:vAlign w:val="center"/>
            <w:hideMark/>
          </w:tcPr>
          <w:p w14:paraId="2C715E2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436B6D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121155C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E14C74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E2DBEA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4E7688F5"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52FAA9D" w14:textId="162F7308"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CGT with 50</w:t>
            </w:r>
            <w:r w:rsidR="006E653B" w:rsidRPr="00CB1E53">
              <w:rPr>
                <w:rFonts w:ascii="Arial Narrow" w:eastAsia="Times New Roman" w:hAnsi="Arial Narrow" w:cs="Arial"/>
                <w:color w:val="000000"/>
                <w:sz w:val="16"/>
                <w:szCs w:val="16"/>
              </w:rPr>
              <w:t xml:space="preserve"> percent</w:t>
            </w:r>
            <w:r w:rsidRPr="00957EC6">
              <w:rPr>
                <w:rFonts w:ascii="Arial Narrow" w:eastAsia="Times New Roman" w:hAnsi="Arial Narrow" w:cs="Arial"/>
                <w:color w:val="000000"/>
                <w:sz w:val="16"/>
                <w:szCs w:val="16"/>
              </w:rPr>
              <w:t xml:space="preserve"> inclusion rate of gains realized by natural persons</w:t>
            </w:r>
          </w:p>
        </w:tc>
        <w:tc>
          <w:tcPr>
            <w:tcW w:w="698" w:type="dxa"/>
            <w:tcBorders>
              <w:top w:val="nil"/>
              <w:left w:val="nil"/>
              <w:bottom w:val="single" w:sz="4" w:space="0" w:color="auto"/>
              <w:right w:val="single" w:sz="4" w:space="0" w:color="auto"/>
            </w:tcBorders>
            <w:shd w:val="clear" w:color="auto" w:fill="auto"/>
            <w:noWrap/>
            <w:vAlign w:val="center"/>
            <w:hideMark/>
          </w:tcPr>
          <w:p w14:paraId="10B10BC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31E64E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7010E86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3B16B9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879A9D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A812941"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470FAA4" w14:textId="2CE3F9CB"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Tax exemption of </w:t>
            </w:r>
            <w:r w:rsidR="00FC756C">
              <w:rPr>
                <w:rFonts w:ascii="Arial Narrow" w:eastAsia="Times New Roman" w:hAnsi="Arial Narrow" w:cs="Arial"/>
                <w:color w:val="000000"/>
                <w:sz w:val="16"/>
                <w:szCs w:val="16"/>
              </w:rPr>
              <w:t>b</w:t>
            </w:r>
            <w:r w:rsidRPr="00957EC6">
              <w:rPr>
                <w:rFonts w:ascii="Arial Narrow" w:eastAsia="Times New Roman" w:hAnsi="Arial Narrow" w:cs="Arial"/>
                <w:color w:val="000000"/>
                <w:sz w:val="16"/>
                <w:szCs w:val="16"/>
              </w:rPr>
              <w:t>enefits in kind: food stamps</w:t>
            </w:r>
          </w:p>
        </w:tc>
        <w:tc>
          <w:tcPr>
            <w:tcW w:w="698" w:type="dxa"/>
            <w:tcBorders>
              <w:top w:val="nil"/>
              <w:left w:val="nil"/>
              <w:bottom w:val="single" w:sz="4" w:space="0" w:color="auto"/>
              <w:right w:val="single" w:sz="4" w:space="0" w:color="auto"/>
            </w:tcBorders>
            <w:shd w:val="clear" w:color="auto" w:fill="auto"/>
            <w:noWrap/>
            <w:vAlign w:val="center"/>
            <w:hideMark/>
          </w:tcPr>
          <w:p w14:paraId="6D4C450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20153D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39.5</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A5CC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38.6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AC56FC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43.7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35DA49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48.0</w:t>
            </w:r>
          </w:p>
        </w:tc>
      </w:tr>
      <w:tr w:rsidR="00957EC6" w:rsidRPr="00957EC6" w14:paraId="492EDD3C"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8184CA7"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Rental income earned by natural persons taxed at a reduced rate</w:t>
            </w:r>
          </w:p>
        </w:tc>
        <w:tc>
          <w:tcPr>
            <w:tcW w:w="698" w:type="dxa"/>
            <w:tcBorders>
              <w:top w:val="nil"/>
              <w:left w:val="nil"/>
              <w:bottom w:val="single" w:sz="4" w:space="0" w:color="auto"/>
              <w:right w:val="single" w:sz="4" w:space="0" w:color="auto"/>
            </w:tcBorders>
            <w:shd w:val="clear" w:color="auto" w:fill="auto"/>
            <w:noWrap/>
            <w:vAlign w:val="center"/>
            <w:hideMark/>
          </w:tcPr>
          <w:p w14:paraId="7741525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00001B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3B4E689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A0EB7D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1B007F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5E5A88A7"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5EA115A"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Interest earned by natural persons taxed at a reduced rate</w:t>
            </w:r>
          </w:p>
        </w:tc>
        <w:tc>
          <w:tcPr>
            <w:tcW w:w="698" w:type="dxa"/>
            <w:tcBorders>
              <w:top w:val="nil"/>
              <w:left w:val="nil"/>
              <w:bottom w:val="single" w:sz="4" w:space="0" w:color="auto"/>
              <w:right w:val="single" w:sz="4" w:space="0" w:color="auto"/>
            </w:tcBorders>
            <w:shd w:val="clear" w:color="auto" w:fill="auto"/>
            <w:noWrap/>
            <w:vAlign w:val="center"/>
            <w:hideMark/>
          </w:tcPr>
          <w:p w14:paraId="1FA8794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D41222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66C84D6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D4EE98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7608EF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2BF9446D"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52395B77" w14:textId="4317B05F"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Personal deduction of 2</w:t>
            </w:r>
            <w:r w:rsidR="006E653B" w:rsidRPr="00CB1E53">
              <w:rPr>
                <w:rFonts w:ascii="Arial Narrow" w:eastAsia="Times New Roman" w:hAnsi="Arial Narrow" w:cs="Arial"/>
                <w:color w:val="000000"/>
                <w:sz w:val="16"/>
                <w:szCs w:val="16"/>
              </w:rPr>
              <w:t xml:space="preserve"> percent</w:t>
            </w:r>
            <w:r w:rsidRPr="00957EC6">
              <w:rPr>
                <w:rFonts w:ascii="Arial Narrow" w:eastAsia="Times New Roman" w:hAnsi="Arial Narrow" w:cs="Arial"/>
                <w:color w:val="000000"/>
                <w:sz w:val="16"/>
                <w:szCs w:val="16"/>
              </w:rPr>
              <w:t xml:space="preserve"> of annual income tax liability</w:t>
            </w:r>
          </w:p>
        </w:tc>
        <w:tc>
          <w:tcPr>
            <w:tcW w:w="698" w:type="dxa"/>
            <w:tcBorders>
              <w:top w:val="nil"/>
              <w:left w:val="nil"/>
              <w:bottom w:val="single" w:sz="4" w:space="0" w:color="auto"/>
              <w:right w:val="single" w:sz="4" w:space="0" w:color="auto"/>
            </w:tcBorders>
            <w:shd w:val="clear" w:color="auto" w:fill="auto"/>
            <w:noWrap/>
            <w:vAlign w:val="center"/>
            <w:hideMark/>
          </w:tcPr>
          <w:p w14:paraId="7D76B42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DEB1B4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0.7</w:t>
            </w:r>
          </w:p>
        </w:tc>
        <w:tc>
          <w:tcPr>
            <w:tcW w:w="698" w:type="dxa"/>
            <w:tcBorders>
              <w:top w:val="nil"/>
              <w:left w:val="nil"/>
              <w:bottom w:val="single" w:sz="4" w:space="0" w:color="auto"/>
              <w:right w:val="single" w:sz="4" w:space="0" w:color="auto"/>
            </w:tcBorders>
            <w:shd w:val="clear" w:color="auto" w:fill="auto"/>
            <w:noWrap/>
            <w:vAlign w:val="center"/>
            <w:hideMark/>
          </w:tcPr>
          <w:p w14:paraId="4F82799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5.6</w:t>
            </w:r>
          </w:p>
        </w:tc>
        <w:tc>
          <w:tcPr>
            <w:tcW w:w="691" w:type="dxa"/>
            <w:tcBorders>
              <w:top w:val="nil"/>
              <w:left w:val="nil"/>
              <w:bottom w:val="single" w:sz="4" w:space="0" w:color="auto"/>
              <w:right w:val="single" w:sz="4" w:space="0" w:color="auto"/>
            </w:tcBorders>
            <w:shd w:val="clear" w:color="auto" w:fill="auto"/>
            <w:noWrap/>
            <w:vAlign w:val="center"/>
            <w:hideMark/>
          </w:tcPr>
          <w:p w14:paraId="5B7F66E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8.9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9C8078" w14:textId="09F8010A"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9.8</w:t>
            </w:r>
          </w:p>
        </w:tc>
      </w:tr>
      <w:tr w:rsidR="00185884" w:rsidRPr="00957EC6" w14:paraId="565B1AF7"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4C2D25B"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Major lifelong personal allowance in case of illness or disability</w:t>
            </w:r>
          </w:p>
        </w:tc>
        <w:tc>
          <w:tcPr>
            <w:tcW w:w="698" w:type="dxa"/>
            <w:tcBorders>
              <w:top w:val="nil"/>
              <w:left w:val="nil"/>
              <w:bottom w:val="single" w:sz="4" w:space="0" w:color="auto"/>
              <w:right w:val="single" w:sz="4" w:space="0" w:color="auto"/>
            </w:tcBorders>
            <w:shd w:val="clear" w:color="auto" w:fill="auto"/>
            <w:noWrap/>
            <w:vAlign w:val="center"/>
            <w:hideMark/>
          </w:tcPr>
          <w:p w14:paraId="110CAED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E9C80B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4503BE8F" w14:textId="50BEFF85" w:rsidR="00957EC6" w:rsidRPr="00957EC6" w:rsidRDefault="00300B67"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31.2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BB23D01" w14:textId="6C5768DF"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w:t>
            </w:r>
            <w:r w:rsidR="0070683D">
              <w:rPr>
                <w:rFonts w:ascii="Arial Narrow" w:eastAsia="Times New Roman" w:hAnsi="Arial Narrow" w:cs="Arial"/>
                <w:color w:val="000000"/>
                <w:sz w:val="16"/>
                <w:szCs w:val="16"/>
              </w:rPr>
              <w:t>5.3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FDB2D06" w14:textId="04193ECE" w:rsidR="00957EC6" w:rsidRPr="00957EC6" w:rsidRDefault="0096024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38.8`</w:t>
            </w:r>
          </w:p>
        </w:tc>
      </w:tr>
      <w:tr w:rsidR="00185884" w:rsidRPr="00957EC6" w14:paraId="74757CBF"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0266321"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Spouse major allowance</w:t>
            </w:r>
          </w:p>
        </w:tc>
        <w:tc>
          <w:tcPr>
            <w:tcW w:w="698" w:type="dxa"/>
            <w:tcBorders>
              <w:top w:val="nil"/>
              <w:left w:val="nil"/>
              <w:bottom w:val="single" w:sz="4" w:space="0" w:color="auto"/>
              <w:right w:val="single" w:sz="4" w:space="0" w:color="auto"/>
            </w:tcBorders>
            <w:shd w:val="clear" w:color="auto" w:fill="auto"/>
            <w:noWrap/>
            <w:vAlign w:val="center"/>
            <w:hideMark/>
          </w:tcPr>
          <w:p w14:paraId="5BB5A3F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25FC5F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F3AACC3" w14:textId="0D75FDFC" w:rsidR="00957EC6" w:rsidRPr="00957EC6" w:rsidRDefault="00300B67"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11.9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027D5F" w14:textId="1CEBE6FE" w:rsidR="00957EC6" w:rsidRPr="00957EC6" w:rsidRDefault="0096024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w:t>
            </w:r>
            <w:r w:rsidR="000767C1">
              <w:rPr>
                <w:rFonts w:ascii="Arial Narrow" w:eastAsia="Times New Roman" w:hAnsi="Arial Narrow" w:cs="Arial"/>
                <w:color w:val="000000"/>
                <w:sz w:val="16"/>
                <w:szCs w:val="16"/>
              </w:rPr>
              <w:t>3.5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F9078C2" w14:textId="1310B0FC" w:rsidR="00957EC6" w:rsidRPr="00957EC6" w:rsidRDefault="000767C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14.8</w:t>
            </w:r>
          </w:p>
        </w:tc>
      </w:tr>
      <w:tr w:rsidR="00185884" w:rsidRPr="00957EC6" w14:paraId="66667AC3" w14:textId="77777777" w:rsidTr="00180026">
        <w:trPr>
          <w:trHeight w:val="210"/>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5A3F962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Allowance for a child and other dependent</w:t>
            </w:r>
          </w:p>
        </w:tc>
        <w:tc>
          <w:tcPr>
            <w:tcW w:w="698" w:type="dxa"/>
            <w:tcBorders>
              <w:top w:val="nil"/>
              <w:left w:val="nil"/>
              <w:bottom w:val="single" w:sz="4" w:space="0" w:color="auto"/>
              <w:right w:val="single" w:sz="4" w:space="0" w:color="auto"/>
            </w:tcBorders>
            <w:shd w:val="clear" w:color="auto" w:fill="auto"/>
            <w:noWrap/>
            <w:vAlign w:val="center"/>
            <w:hideMark/>
          </w:tcPr>
          <w:p w14:paraId="5470769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982549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17F35D74" w14:textId="4C04638F" w:rsidR="00957EC6" w:rsidRPr="00957EC6" w:rsidRDefault="00300B67"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131.8</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E54DAB8" w14:textId="01D7171F" w:rsidR="00957EC6" w:rsidRPr="00957EC6" w:rsidRDefault="00711113"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149.2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857ABCC" w14:textId="5BFA906C" w:rsidR="00957EC6" w:rsidRPr="00957EC6" w:rsidRDefault="00711113"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163.9</w:t>
            </w:r>
          </w:p>
        </w:tc>
      </w:tr>
      <w:tr w:rsidR="00185884" w:rsidRPr="00957EC6" w14:paraId="7480A8F2" w14:textId="77777777" w:rsidTr="00180026">
        <w:trPr>
          <w:trHeight w:val="288"/>
        </w:trPr>
        <w:tc>
          <w:tcPr>
            <w:tcW w:w="6115" w:type="dxa"/>
            <w:tcBorders>
              <w:top w:val="nil"/>
              <w:left w:val="single" w:sz="4" w:space="0" w:color="auto"/>
              <w:bottom w:val="double" w:sz="6" w:space="0" w:color="auto"/>
              <w:right w:val="single" w:sz="4" w:space="0" w:color="auto"/>
            </w:tcBorders>
            <w:shd w:val="clear" w:color="auto" w:fill="auto"/>
            <w:noWrap/>
            <w:vAlign w:val="center"/>
            <w:hideMark/>
          </w:tcPr>
          <w:p w14:paraId="048079E3"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Allowance for a child and other dependent with disabilities</w:t>
            </w:r>
          </w:p>
        </w:tc>
        <w:tc>
          <w:tcPr>
            <w:tcW w:w="698" w:type="dxa"/>
            <w:tcBorders>
              <w:top w:val="nil"/>
              <w:left w:val="nil"/>
              <w:bottom w:val="double" w:sz="6" w:space="0" w:color="auto"/>
              <w:right w:val="single" w:sz="4" w:space="0" w:color="auto"/>
            </w:tcBorders>
            <w:shd w:val="clear" w:color="auto" w:fill="auto"/>
            <w:noWrap/>
            <w:vAlign w:val="center"/>
            <w:hideMark/>
          </w:tcPr>
          <w:p w14:paraId="4FD0B44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double" w:sz="6" w:space="0" w:color="auto"/>
              <w:right w:val="single" w:sz="4" w:space="0" w:color="auto"/>
            </w:tcBorders>
            <w:shd w:val="clear" w:color="auto" w:fill="auto"/>
            <w:noWrap/>
            <w:vAlign w:val="center"/>
            <w:hideMark/>
          </w:tcPr>
          <w:p w14:paraId="14A11E8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double" w:sz="6" w:space="0" w:color="auto"/>
              <w:right w:val="single" w:sz="4" w:space="0" w:color="auto"/>
            </w:tcBorders>
            <w:shd w:val="clear" w:color="auto" w:fill="auto"/>
            <w:noWrap/>
            <w:vAlign w:val="center"/>
            <w:hideMark/>
          </w:tcPr>
          <w:p w14:paraId="041DCC63" w14:textId="31DE60EA" w:rsidR="00957EC6" w:rsidRPr="00957EC6" w:rsidRDefault="00300B67"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16.6</w:t>
            </w:r>
          </w:p>
        </w:tc>
        <w:tc>
          <w:tcPr>
            <w:tcW w:w="691" w:type="dxa"/>
            <w:tcBorders>
              <w:top w:val="nil"/>
              <w:left w:val="nil"/>
              <w:bottom w:val="double" w:sz="6" w:space="0" w:color="auto"/>
              <w:right w:val="single" w:sz="4" w:space="0" w:color="auto"/>
            </w:tcBorders>
            <w:shd w:val="clear" w:color="auto" w:fill="F2F2F2" w:themeFill="background1" w:themeFillShade="F2"/>
            <w:noWrap/>
            <w:vAlign w:val="center"/>
            <w:hideMark/>
          </w:tcPr>
          <w:p w14:paraId="0636982F" w14:textId="75B72C9D" w:rsidR="00957EC6" w:rsidRPr="00957EC6" w:rsidRDefault="001F4FD0"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18.8</w:t>
            </w:r>
          </w:p>
        </w:tc>
        <w:tc>
          <w:tcPr>
            <w:tcW w:w="691" w:type="dxa"/>
            <w:tcBorders>
              <w:top w:val="nil"/>
              <w:left w:val="nil"/>
              <w:bottom w:val="double" w:sz="6" w:space="0" w:color="auto"/>
              <w:right w:val="single" w:sz="4" w:space="0" w:color="auto"/>
            </w:tcBorders>
            <w:shd w:val="clear" w:color="auto" w:fill="F2F2F2" w:themeFill="background1" w:themeFillShade="F2"/>
            <w:noWrap/>
            <w:vAlign w:val="center"/>
            <w:hideMark/>
          </w:tcPr>
          <w:p w14:paraId="7778E89C" w14:textId="6443F35C" w:rsidR="00957EC6" w:rsidRPr="00957EC6" w:rsidRDefault="001F4FD0"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20.7</w:t>
            </w:r>
          </w:p>
        </w:tc>
      </w:tr>
      <w:tr w:rsidR="00957EC6" w:rsidRPr="00957EC6" w14:paraId="00112E9E" w14:textId="77777777" w:rsidTr="00742DDB">
        <w:trPr>
          <w:trHeight w:val="288"/>
        </w:trPr>
        <w:tc>
          <w:tcPr>
            <w:tcW w:w="6115" w:type="dxa"/>
            <w:tcBorders>
              <w:top w:val="nil"/>
              <w:left w:val="single" w:sz="4" w:space="0" w:color="auto"/>
              <w:bottom w:val="double" w:sz="6" w:space="0" w:color="auto"/>
              <w:right w:val="nil"/>
            </w:tcBorders>
            <w:shd w:val="clear" w:color="auto" w:fill="auto"/>
            <w:noWrap/>
            <w:vAlign w:val="center"/>
            <w:hideMark/>
          </w:tcPr>
          <w:p w14:paraId="06DE4AEC" w14:textId="0226D8C5"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Total Revenue Forgone from Personal </w:t>
            </w:r>
            <w:r w:rsidR="006E05D1" w:rsidRPr="00957EC6">
              <w:rPr>
                <w:rFonts w:ascii="Arial Narrow" w:eastAsia="Times New Roman" w:hAnsi="Arial Narrow" w:cs="Arial"/>
                <w:color w:val="000000"/>
                <w:sz w:val="16"/>
                <w:szCs w:val="16"/>
              </w:rPr>
              <w:t>Income Tax</w:t>
            </w:r>
          </w:p>
        </w:tc>
        <w:tc>
          <w:tcPr>
            <w:tcW w:w="698" w:type="dxa"/>
            <w:tcBorders>
              <w:top w:val="nil"/>
              <w:left w:val="nil"/>
              <w:bottom w:val="double" w:sz="6" w:space="0" w:color="auto"/>
              <w:right w:val="nil"/>
            </w:tcBorders>
            <w:shd w:val="clear" w:color="auto" w:fill="auto"/>
            <w:noWrap/>
            <w:vAlign w:val="center"/>
            <w:hideMark/>
          </w:tcPr>
          <w:p w14:paraId="18ECEEB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764.5</w:t>
            </w:r>
          </w:p>
        </w:tc>
        <w:tc>
          <w:tcPr>
            <w:tcW w:w="691" w:type="dxa"/>
            <w:tcBorders>
              <w:top w:val="nil"/>
              <w:left w:val="nil"/>
              <w:bottom w:val="double" w:sz="6" w:space="0" w:color="auto"/>
              <w:right w:val="nil"/>
            </w:tcBorders>
            <w:shd w:val="clear" w:color="auto" w:fill="auto"/>
            <w:noWrap/>
            <w:vAlign w:val="center"/>
            <w:hideMark/>
          </w:tcPr>
          <w:p w14:paraId="548EB80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1,391.1</w:t>
            </w:r>
          </w:p>
        </w:tc>
        <w:tc>
          <w:tcPr>
            <w:tcW w:w="698" w:type="dxa"/>
            <w:tcBorders>
              <w:top w:val="nil"/>
              <w:left w:val="nil"/>
              <w:bottom w:val="double" w:sz="6" w:space="0" w:color="auto"/>
              <w:right w:val="nil"/>
            </w:tcBorders>
            <w:shd w:val="clear" w:color="auto" w:fill="auto"/>
            <w:noWrap/>
            <w:vAlign w:val="center"/>
            <w:hideMark/>
          </w:tcPr>
          <w:p w14:paraId="02378ED6" w14:textId="04D71393" w:rsidR="00957EC6" w:rsidRPr="00957EC6" w:rsidRDefault="00E9499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w:t>
            </w:r>
            <w:r w:rsidR="00502671">
              <w:rPr>
                <w:rFonts w:ascii="Arial Narrow" w:eastAsia="Times New Roman" w:hAnsi="Arial Narrow" w:cs="Arial"/>
                <w:color w:val="000000"/>
                <w:sz w:val="16"/>
                <w:szCs w:val="16"/>
              </w:rPr>
              <w:t>,</w:t>
            </w:r>
            <w:r>
              <w:rPr>
                <w:rFonts w:ascii="Arial Narrow" w:eastAsia="Times New Roman" w:hAnsi="Arial Narrow" w:cs="Arial"/>
                <w:color w:val="000000"/>
                <w:sz w:val="16"/>
                <w:szCs w:val="16"/>
              </w:rPr>
              <w:t>5</w:t>
            </w:r>
            <w:r w:rsidR="00502671">
              <w:rPr>
                <w:rFonts w:ascii="Arial Narrow" w:eastAsia="Times New Roman" w:hAnsi="Arial Narrow" w:cs="Arial"/>
                <w:color w:val="000000"/>
                <w:sz w:val="16"/>
                <w:szCs w:val="16"/>
              </w:rPr>
              <w:t>67.9</w:t>
            </w:r>
          </w:p>
        </w:tc>
        <w:tc>
          <w:tcPr>
            <w:tcW w:w="691" w:type="dxa"/>
            <w:tcBorders>
              <w:top w:val="nil"/>
              <w:left w:val="nil"/>
              <w:bottom w:val="double" w:sz="6" w:space="0" w:color="auto"/>
              <w:right w:val="nil"/>
            </w:tcBorders>
            <w:shd w:val="clear" w:color="auto" w:fill="auto"/>
            <w:noWrap/>
            <w:vAlign w:val="center"/>
            <w:hideMark/>
          </w:tcPr>
          <w:p w14:paraId="286F5F7E" w14:textId="22CC04B3" w:rsidR="00957EC6" w:rsidRPr="00957EC6" w:rsidRDefault="0050267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1,779.6</w:t>
            </w:r>
          </w:p>
        </w:tc>
        <w:tc>
          <w:tcPr>
            <w:tcW w:w="691" w:type="dxa"/>
            <w:tcBorders>
              <w:top w:val="nil"/>
              <w:left w:val="nil"/>
              <w:bottom w:val="double" w:sz="6" w:space="0" w:color="auto"/>
              <w:right w:val="single" w:sz="4" w:space="0" w:color="auto"/>
            </w:tcBorders>
            <w:shd w:val="clear" w:color="auto" w:fill="auto"/>
            <w:noWrap/>
            <w:vAlign w:val="center"/>
            <w:hideMark/>
          </w:tcPr>
          <w:p w14:paraId="53AF1DA5" w14:textId="3712365B" w:rsidR="00957EC6" w:rsidRPr="00957EC6" w:rsidRDefault="0050267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1,956</w:t>
            </w:r>
            <w:r w:rsidR="004B43A8">
              <w:rPr>
                <w:rFonts w:ascii="Arial Narrow" w:eastAsia="Times New Roman" w:hAnsi="Arial Narrow" w:cs="Arial"/>
                <w:color w:val="000000"/>
                <w:sz w:val="16"/>
                <w:szCs w:val="16"/>
              </w:rPr>
              <w:t>.3</w:t>
            </w:r>
          </w:p>
        </w:tc>
      </w:tr>
      <w:tr w:rsidR="00957EC6" w:rsidRPr="00957EC6" w14:paraId="0E2AE26A" w14:textId="77777777" w:rsidTr="00742DDB">
        <w:trPr>
          <w:trHeight w:val="288"/>
        </w:trPr>
        <w:tc>
          <w:tcPr>
            <w:tcW w:w="6115" w:type="dxa"/>
            <w:tcBorders>
              <w:top w:val="nil"/>
              <w:left w:val="single" w:sz="4" w:space="0" w:color="auto"/>
              <w:bottom w:val="nil"/>
              <w:right w:val="nil"/>
            </w:tcBorders>
            <w:shd w:val="clear" w:color="auto" w:fill="auto"/>
            <w:noWrap/>
            <w:vAlign w:val="center"/>
            <w:hideMark/>
          </w:tcPr>
          <w:p w14:paraId="2E36178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Total Revenue Forgone from Personal Income Tax as a % of GDP</w:t>
            </w:r>
          </w:p>
        </w:tc>
        <w:tc>
          <w:tcPr>
            <w:tcW w:w="698" w:type="dxa"/>
            <w:tcBorders>
              <w:top w:val="nil"/>
              <w:left w:val="nil"/>
              <w:bottom w:val="single" w:sz="4" w:space="0" w:color="auto"/>
              <w:right w:val="nil"/>
            </w:tcBorders>
            <w:shd w:val="clear" w:color="auto" w:fill="auto"/>
            <w:noWrap/>
            <w:vAlign w:val="center"/>
            <w:hideMark/>
          </w:tcPr>
          <w:p w14:paraId="6C323FE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0.4%</w:t>
            </w:r>
          </w:p>
        </w:tc>
        <w:tc>
          <w:tcPr>
            <w:tcW w:w="691" w:type="dxa"/>
            <w:tcBorders>
              <w:top w:val="nil"/>
              <w:left w:val="nil"/>
              <w:bottom w:val="single" w:sz="4" w:space="0" w:color="auto"/>
              <w:right w:val="nil"/>
            </w:tcBorders>
            <w:shd w:val="clear" w:color="auto" w:fill="auto"/>
            <w:noWrap/>
            <w:vAlign w:val="center"/>
            <w:hideMark/>
          </w:tcPr>
          <w:p w14:paraId="5EC9A96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0.7%</w:t>
            </w:r>
          </w:p>
        </w:tc>
        <w:tc>
          <w:tcPr>
            <w:tcW w:w="698" w:type="dxa"/>
            <w:tcBorders>
              <w:top w:val="nil"/>
              <w:left w:val="nil"/>
              <w:bottom w:val="single" w:sz="4" w:space="0" w:color="auto"/>
              <w:right w:val="nil"/>
            </w:tcBorders>
            <w:shd w:val="clear" w:color="auto" w:fill="auto"/>
            <w:noWrap/>
            <w:vAlign w:val="center"/>
            <w:hideMark/>
          </w:tcPr>
          <w:p w14:paraId="7974A84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0.7%</w:t>
            </w:r>
          </w:p>
        </w:tc>
        <w:tc>
          <w:tcPr>
            <w:tcW w:w="691" w:type="dxa"/>
            <w:tcBorders>
              <w:top w:val="nil"/>
              <w:left w:val="nil"/>
              <w:bottom w:val="single" w:sz="4" w:space="0" w:color="auto"/>
              <w:right w:val="nil"/>
            </w:tcBorders>
            <w:shd w:val="clear" w:color="auto" w:fill="auto"/>
            <w:noWrap/>
            <w:vAlign w:val="center"/>
            <w:hideMark/>
          </w:tcPr>
          <w:p w14:paraId="0B67F5F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0.8%</w:t>
            </w:r>
          </w:p>
        </w:tc>
        <w:tc>
          <w:tcPr>
            <w:tcW w:w="691" w:type="dxa"/>
            <w:tcBorders>
              <w:top w:val="nil"/>
              <w:left w:val="nil"/>
              <w:bottom w:val="single" w:sz="4" w:space="0" w:color="auto"/>
              <w:right w:val="single" w:sz="4" w:space="0" w:color="auto"/>
            </w:tcBorders>
            <w:shd w:val="clear" w:color="auto" w:fill="auto"/>
            <w:noWrap/>
            <w:vAlign w:val="center"/>
            <w:hideMark/>
          </w:tcPr>
          <w:p w14:paraId="2E55019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0.8%</w:t>
            </w:r>
          </w:p>
        </w:tc>
      </w:tr>
      <w:tr w:rsidR="00591308" w:rsidRPr="00957EC6" w14:paraId="50D91B52" w14:textId="77777777" w:rsidTr="003F1281">
        <w:trPr>
          <w:trHeight w:val="288"/>
        </w:trPr>
        <w:tc>
          <w:tcPr>
            <w:tcW w:w="6115" w:type="dxa"/>
            <w:tcBorders>
              <w:top w:val="single" w:sz="4" w:space="0" w:color="auto"/>
              <w:left w:val="single" w:sz="4" w:space="0" w:color="auto"/>
              <w:bottom w:val="single" w:sz="4" w:space="0" w:color="auto"/>
              <w:right w:val="nil"/>
            </w:tcBorders>
            <w:shd w:val="clear" w:color="auto" w:fill="auto"/>
            <w:noWrap/>
            <w:vAlign w:val="center"/>
            <w:hideMark/>
          </w:tcPr>
          <w:p w14:paraId="4180EA18" w14:textId="46B16579" w:rsidR="00591308" w:rsidRPr="00957EC6" w:rsidRDefault="00591308" w:rsidP="00FD11D9">
            <w:pPr>
              <w:spacing w:after="0" w:line="240" w:lineRule="auto"/>
              <w:jc w:val="both"/>
              <w:rPr>
                <w:rFonts w:ascii="Arial Narrow" w:eastAsia="Times New Roman" w:hAnsi="Arial Narrow" w:cs="Arial"/>
                <w:b/>
                <w:bCs/>
                <w:color w:val="000000"/>
                <w:sz w:val="16"/>
                <w:szCs w:val="16"/>
              </w:rPr>
            </w:pPr>
            <w:r w:rsidRPr="00CB1E53">
              <w:rPr>
                <w:rFonts w:ascii="Arial Narrow" w:eastAsia="Times New Roman" w:hAnsi="Arial Narrow" w:cs="Arial"/>
                <w:b/>
                <w:bCs/>
                <w:color w:val="000000"/>
                <w:sz w:val="16"/>
                <w:szCs w:val="16"/>
              </w:rPr>
              <w:t>Business Income Tax</w:t>
            </w:r>
          </w:p>
        </w:tc>
        <w:tc>
          <w:tcPr>
            <w:tcW w:w="3469" w:type="dxa"/>
            <w:gridSpan w:val="5"/>
            <w:tcBorders>
              <w:top w:val="single" w:sz="4" w:space="0" w:color="auto"/>
              <w:left w:val="nil"/>
              <w:bottom w:val="double" w:sz="4" w:space="0" w:color="auto"/>
              <w:right w:val="single" w:sz="4" w:space="0" w:color="auto"/>
            </w:tcBorders>
            <w:shd w:val="clear" w:color="auto" w:fill="auto"/>
            <w:noWrap/>
            <w:vAlign w:val="center"/>
            <w:hideMark/>
          </w:tcPr>
          <w:p w14:paraId="272851DC" w14:textId="1A144F6B" w:rsidR="00591308" w:rsidRPr="00957EC6" w:rsidRDefault="00591308" w:rsidP="00FD11D9">
            <w:pPr>
              <w:spacing w:after="0" w:line="240" w:lineRule="auto"/>
              <w:jc w:val="both"/>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Million MDL</w:t>
            </w:r>
          </w:p>
        </w:tc>
      </w:tr>
      <w:tr w:rsidR="00742DDB" w:rsidRPr="00957EC6" w14:paraId="72A9FFC5" w14:textId="77777777" w:rsidTr="00180026">
        <w:trPr>
          <w:trHeight w:val="288"/>
        </w:trPr>
        <w:tc>
          <w:tcPr>
            <w:tcW w:w="6115" w:type="dxa"/>
            <w:tcBorders>
              <w:top w:val="double" w:sz="6" w:space="0" w:color="auto"/>
              <w:left w:val="single" w:sz="4" w:space="0" w:color="auto"/>
              <w:bottom w:val="nil"/>
              <w:right w:val="nil"/>
            </w:tcBorders>
            <w:shd w:val="clear" w:color="auto" w:fill="auto"/>
            <w:noWrap/>
            <w:vAlign w:val="center"/>
          </w:tcPr>
          <w:p w14:paraId="33F9EDAF" w14:textId="51530955"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t>Tax exemption of private education authorities</w:t>
            </w:r>
          </w:p>
        </w:tc>
        <w:tc>
          <w:tcPr>
            <w:tcW w:w="698" w:type="dxa"/>
            <w:tcBorders>
              <w:top w:val="double" w:sz="4" w:space="0" w:color="auto"/>
              <w:left w:val="single" w:sz="4" w:space="0" w:color="auto"/>
              <w:bottom w:val="single" w:sz="4" w:space="0" w:color="auto"/>
              <w:right w:val="single" w:sz="4" w:space="0" w:color="auto"/>
            </w:tcBorders>
            <w:shd w:val="clear" w:color="auto" w:fill="auto"/>
            <w:vAlign w:val="center"/>
          </w:tcPr>
          <w:p w14:paraId="162024B3" w14:textId="79770C57"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33.1</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tcPr>
          <w:p w14:paraId="6A2C9D7F" w14:textId="1E634A82"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33.1</w:t>
            </w:r>
          </w:p>
        </w:tc>
        <w:tc>
          <w:tcPr>
            <w:tcW w:w="698" w:type="dxa"/>
            <w:tcBorders>
              <w:top w:val="double" w:sz="4" w:space="0" w:color="auto"/>
              <w:left w:val="nil"/>
              <w:bottom w:val="single" w:sz="4" w:space="0" w:color="auto"/>
              <w:right w:val="single" w:sz="4" w:space="0" w:color="auto"/>
            </w:tcBorders>
            <w:shd w:val="clear" w:color="auto" w:fill="F2F2F2" w:themeFill="background1" w:themeFillShade="F2"/>
            <w:vAlign w:val="center"/>
          </w:tcPr>
          <w:p w14:paraId="4CA3135D" w14:textId="668B5E1E"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31.6</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tcPr>
          <w:p w14:paraId="272AA4CA" w14:textId="7F67147A"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36.5</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tcPr>
          <w:p w14:paraId="2A00903B" w14:textId="55CFC4BC"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40.7</w:t>
            </w:r>
          </w:p>
        </w:tc>
      </w:tr>
      <w:tr w:rsidR="00742DDB" w:rsidRPr="00957EC6" w14:paraId="280790A7" w14:textId="77777777" w:rsidTr="00180026">
        <w:trPr>
          <w:trHeight w:val="288"/>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2EAF" w14:textId="5919CDB2"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lastRenderedPageBreak/>
              <w:t>Tax exemption of the administration of a Free Economic Zone (FEZ)</w:t>
            </w:r>
          </w:p>
        </w:tc>
        <w:tc>
          <w:tcPr>
            <w:tcW w:w="698" w:type="dxa"/>
            <w:tcBorders>
              <w:top w:val="nil"/>
              <w:left w:val="nil"/>
              <w:bottom w:val="single" w:sz="4" w:space="0" w:color="auto"/>
              <w:right w:val="single" w:sz="4" w:space="0" w:color="auto"/>
            </w:tcBorders>
            <w:shd w:val="clear" w:color="auto" w:fill="auto"/>
            <w:noWrap/>
            <w:vAlign w:val="center"/>
          </w:tcPr>
          <w:p w14:paraId="13F9F52D" w14:textId="2A1870E8"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73F6DBA" w14:textId="65BDE6E3"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5761631E" w14:textId="4B6BD282"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E245B20" w14:textId="679F2121"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3C8C3AC" w14:textId="1AD58077"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0.8</w:t>
            </w:r>
          </w:p>
        </w:tc>
      </w:tr>
      <w:tr w:rsidR="00742DDB" w:rsidRPr="00957EC6" w14:paraId="7F91E438" w14:textId="77777777" w:rsidTr="008917CF">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4545111D" w14:textId="0094C870"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t>Tax exemption of the administration of IT parks</w:t>
            </w:r>
          </w:p>
        </w:tc>
        <w:tc>
          <w:tcPr>
            <w:tcW w:w="698" w:type="dxa"/>
            <w:tcBorders>
              <w:top w:val="nil"/>
              <w:left w:val="nil"/>
              <w:bottom w:val="single" w:sz="4" w:space="0" w:color="auto"/>
              <w:right w:val="single" w:sz="4" w:space="0" w:color="auto"/>
            </w:tcBorders>
            <w:shd w:val="clear" w:color="auto" w:fill="auto"/>
            <w:noWrap/>
            <w:vAlign w:val="center"/>
          </w:tcPr>
          <w:p w14:paraId="05AE5317" w14:textId="7EEC59EC"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0BB64CC3" w14:textId="4C42B256"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tcPr>
          <w:p w14:paraId="6BAB792D" w14:textId="35C073F8"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2C54B739" w14:textId="45129D4F"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4905D38F" w14:textId="52BF95BA"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r>
      <w:tr w:rsidR="00742DDB" w:rsidRPr="00957EC6" w14:paraId="0962DE78"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1AED3F4B" w14:textId="65446373"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t>Tax exemption of non-commercial organizations (NCOs)</w:t>
            </w:r>
            <w:r w:rsidRPr="00AC6F0E">
              <w:rPr>
                <w:rFonts w:ascii="Arial Narrow" w:eastAsia="Times New Roman" w:hAnsi="Arial Narrow" w:cs="Arial"/>
                <w:sz w:val="16"/>
                <w:szCs w:val="16"/>
              </w:rPr>
              <w:t> </w:t>
            </w:r>
          </w:p>
        </w:tc>
        <w:tc>
          <w:tcPr>
            <w:tcW w:w="698" w:type="dxa"/>
            <w:tcBorders>
              <w:top w:val="nil"/>
              <w:left w:val="nil"/>
              <w:bottom w:val="single" w:sz="4" w:space="0" w:color="auto"/>
              <w:right w:val="single" w:sz="4" w:space="0" w:color="auto"/>
            </w:tcBorders>
            <w:shd w:val="clear" w:color="auto" w:fill="auto"/>
            <w:noWrap/>
            <w:vAlign w:val="center"/>
          </w:tcPr>
          <w:p w14:paraId="1AA1D8F8" w14:textId="259F2C56"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E0D68D3" w14:textId="3ACED4E8"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737B5279" w14:textId="0D0CB0E8"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5D17D468" w14:textId="2BDFF295"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63C7BB6" w14:textId="7B977252" w:rsidR="00742DDB" w:rsidRPr="00957EC6" w:rsidRDefault="00AC6F0E"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0.8</w:t>
            </w:r>
          </w:p>
        </w:tc>
      </w:tr>
      <w:tr w:rsidR="00742DDB" w:rsidRPr="00957EC6" w14:paraId="7C3F15E4"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0FD640E" w14:textId="6F8C7D45"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t>Tax exemption of religious organizations</w:t>
            </w:r>
          </w:p>
        </w:tc>
        <w:tc>
          <w:tcPr>
            <w:tcW w:w="698" w:type="dxa"/>
            <w:tcBorders>
              <w:top w:val="nil"/>
              <w:left w:val="nil"/>
              <w:bottom w:val="single" w:sz="4" w:space="0" w:color="auto"/>
              <w:right w:val="single" w:sz="4" w:space="0" w:color="auto"/>
            </w:tcBorders>
            <w:shd w:val="clear" w:color="auto" w:fill="auto"/>
            <w:noWrap/>
            <w:vAlign w:val="center"/>
          </w:tcPr>
          <w:p w14:paraId="03F44B5A" w14:textId="007941B9"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DFB5C24" w14:textId="684BFE30"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0.3</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3F0A9D81" w14:textId="1E3CF390"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5494232" w14:textId="4ECC650B"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67D33F5" w14:textId="4B3AFDAA"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0.3</w:t>
            </w:r>
          </w:p>
        </w:tc>
      </w:tr>
      <w:tr w:rsidR="00742DDB" w:rsidRPr="00CB1E53" w14:paraId="562A83F6"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1B37CE81" w14:textId="12C70A2F"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AC6F0E">
              <w:rPr>
                <w:rFonts w:ascii="Arial Narrow" w:eastAsia="Times New Roman" w:hAnsi="Arial Narrow" w:cs="Arial"/>
                <w:color w:val="000000"/>
                <w:sz w:val="16"/>
                <w:szCs w:val="16"/>
              </w:rPr>
              <w:t>Tax exemption of income generated by societies of blind, deaf and people with disabilities</w:t>
            </w:r>
          </w:p>
        </w:tc>
        <w:tc>
          <w:tcPr>
            <w:tcW w:w="698" w:type="dxa"/>
            <w:tcBorders>
              <w:top w:val="nil"/>
              <w:left w:val="nil"/>
              <w:bottom w:val="single" w:sz="4" w:space="0" w:color="auto"/>
              <w:right w:val="single" w:sz="4" w:space="0" w:color="auto"/>
            </w:tcBorders>
            <w:shd w:val="clear" w:color="000000" w:fill="FFFFFF"/>
            <w:noWrap/>
            <w:vAlign w:val="center"/>
          </w:tcPr>
          <w:p w14:paraId="46F9FC4F" w14:textId="0CF8B1C3"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F514D8B" w14:textId="3DE0D387"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6D18CE72" w14:textId="278DBBAA"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BB4DC7B" w14:textId="5E2C701B"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47B3846" w14:textId="45505A55"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0.1</w:t>
            </w:r>
          </w:p>
        </w:tc>
      </w:tr>
      <w:tr w:rsidR="00742DDB" w:rsidRPr="00957EC6" w14:paraId="4DA26B83"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815467D" w14:textId="3CCE2782"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Tax exemption for savings and loan associations</w:t>
            </w:r>
          </w:p>
        </w:tc>
        <w:tc>
          <w:tcPr>
            <w:tcW w:w="698" w:type="dxa"/>
            <w:tcBorders>
              <w:top w:val="nil"/>
              <w:left w:val="nil"/>
              <w:bottom w:val="single" w:sz="4" w:space="0" w:color="auto"/>
              <w:right w:val="single" w:sz="4" w:space="0" w:color="auto"/>
            </w:tcBorders>
            <w:shd w:val="clear" w:color="auto" w:fill="auto"/>
            <w:noWrap/>
            <w:vAlign w:val="center"/>
          </w:tcPr>
          <w:p w14:paraId="233E0640" w14:textId="145929E2"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8.7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D827AC0" w14:textId="2762CA68"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8.8</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31ABE5C0" w14:textId="3097A538"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8.4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2A99D3F6" w14:textId="237C244C"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9.7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A655CB5" w14:textId="0923001F"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10.8</w:t>
            </w:r>
          </w:p>
        </w:tc>
      </w:tr>
      <w:tr w:rsidR="00742DDB" w:rsidRPr="00957EC6" w14:paraId="26BF1814"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6B035FAC" w14:textId="5BFA29CD" w:rsidR="00742DDB"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Tax incentive for participation in non-state pension funds</w:t>
            </w:r>
          </w:p>
        </w:tc>
        <w:tc>
          <w:tcPr>
            <w:tcW w:w="698" w:type="dxa"/>
            <w:tcBorders>
              <w:top w:val="nil"/>
              <w:left w:val="nil"/>
              <w:bottom w:val="single" w:sz="4" w:space="0" w:color="auto"/>
              <w:right w:val="single" w:sz="4" w:space="0" w:color="auto"/>
            </w:tcBorders>
            <w:shd w:val="clear" w:color="auto" w:fill="auto"/>
            <w:noWrap/>
            <w:vAlign w:val="center"/>
          </w:tcPr>
          <w:p w14:paraId="7B7A3694" w14:textId="15D2D38D"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A8CB797" w14:textId="665F2CF8"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236BDE05" w14:textId="3078B47E"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C312833" w14:textId="62F17A37"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4E02A30" w14:textId="688B1A1A"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2.4</w:t>
            </w:r>
          </w:p>
        </w:tc>
      </w:tr>
      <w:tr w:rsidR="00591308" w:rsidRPr="00957EC6" w14:paraId="6D0B6CDF"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99A53CD" w14:textId="3A69EF81" w:rsidR="00591308" w:rsidRPr="00957EC6" w:rsidRDefault="00AC6F0E"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Tax exemption for trade unions and employers’ associations</w:t>
            </w:r>
          </w:p>
        </w:tc>
        <w:tc>
          <w:tcPr>
            <w:tcW w:w="698" w:type="dxa"/>
            <w:tcBorders>
              <w:top w:val="nil"/>
              <w:left w:val="nil"/>
              <w:bottom w:val="single" w:sz="4" w:space="0" w:color="auto"/>
              <w:right w:val="single" w:sz="4" w:space="0" w:color="auto"/>
            </w:tcBorders>
            <w:shd w:val="clear" w:color="auto" w:fill="auto"/>
            <w:noWrap/>
            <w:vAlign w:val="center"/>
          </w:tcPr>
          <w:p w14:paraId="708DB710" w14:textId="545355F8"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7B4C79E" w14:textId="402D0158"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3D5AB3F8" w14:textId="2DB8B800"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5BB6F414" w14:textId="5C0D46F8"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4BE8BF2" w14:textId="020698BB"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1.2</w:t>
            </w:r>
          </w:p>
        </w:tc>
      </w:tr>
      <w:tr w:rsidR="00591308" w:rsidRPr="00957EC6" w14:paraId="270125BC"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1DA1D9B0" w14:textId="211DB546" w:rsidR="00591308"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Allowance for encouraging businesses to grow their payroll</w:t>
            </w:r>
          </w:p>
        </w:tc>
        <w:tc>
          <w:tcPr>
            <w:tcW w:w="698" w:type="dxa"/>
            <w:tcBorders>
              <w:top w:val="nil"/>
              <w:left w:val="nil"/>
              <w:bottom w:val="single" w:sz="4" w:space="0" w:color="auto"/>
              <w:right w:val="single" w:sz="4" w:space="0" w:color="auto"/>
            </w:tcBorders>
            <w:shd w:val="clear" w:color="auto" w:fill="auto"/>
            <w:noWrap/>
            <w:vAlign w:val="center"/>
          </w:tcPr>
          <w:p w14:paraId="652907E2" w14:textId="75BC91E5"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22045DC" w14:textId="35F72D04"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5B25042D" w14:textId="656EF5BF"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61E2AE9" w14:textId="2C548874"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E60EA16" w14:textId="3DB70262" w:rsidR="00591308"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2.6</w:t>
            </w:r>
          </w:p>
        </w:tc>
      </w:tr>
      <w:tr w:rsidR="00591308" w:rsidRPr="00957EC6" w14:paraId="64AEEA06"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40BD1A8D" w14:textId="1317E03C" w:rsidR="00591308"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Allowance for charitable and sponsorship donations</w:t>
            </w:r>
          </w:p>
        </w:tc>
        <w:tc>
          <w:tcPr>
            <w:tcW w:w="698" w:type="dxa"/>
            <w:tcBorders>
              <w:top w:val="nil"/>
              <w:left w:val="nil"/>
              <w:bottom w:val="single" w:sz="4" w:space="0" w:color="auto"/>
              <w:right w:val="single" w:sz="4" w:space="0" w:color="auto"/>
            </w:tcBorders>
            <w:shd w:val="clear" w:color="auto" w:fill="auto"/>
            <w:noWrap/>
            <w:vAlign w:val="center"/>
          </w:tcPr>
          <w:p w14:paraId="31B069B1" w14:textId="493D7C62"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11.2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57D3764E" w14:textId="18C8E0EB"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11.2</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666E615B" w14:textId="42D737DB"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399C3CA" w14:textId="32DA20C1"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12.4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2CF8ED28" w14:textId="4DC84582" w:rsidR="00591308"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13.8</w:t>
            </w:r>
          </w:p>
        </w:tc>
      </w:tr>
      <w:tr w:rsidR="00EE6255" w:rsidRPr="00957EC6" w14:paraId="44172A55" w14:textId="77777777" w:rsidTr="00180026">
        <w:trPr>
          <w:trHeight w:val="288"/>
        </w:trPr>
        <w:tc>
          <w:tcPr>
            <w:tcW w:w="6115" w:type="dxa"/>
            <w:vMerge w:val="restart"/>
            <w:tcBorders>
              <w:top w:val="nil"/>
              <w:left w:val="single" w:sz="4" w:space="0" w:color="auto"/>
              <w:right w:val="single" w:sz="4" w:space="0" w:color="auto"/>
            </w:tcBorders>
            <w:shd w:val="clear" w:color="auto" w:fill="auto"/>
            <w:noWrap/>
            <w:vAlign w:val="center"/>
          </w:tcPr>
          <w:p w14:paraId="434618BD" w14:textId="421A3B1B" w:rsidR="00EE6255" w:rsidRPr="00957EC6" w:rsidRDefault="00EE6255"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Reduced BIT rate of 7% for farmers</w:t>
            </w:r>
          </w:p>
        </w:tc>
        <w:tc>
          <w:tcPr>
            <w:tcW w:w="698" w:type="dxa"/>
            <w:tcBorders>
              <w:top w:val="nil"/>
              <w:left w:val="nil"/>
              <w:bottom w:val="single" w:sz="4" w:space="0" w:color="auto"/>
              <w:right w:val="single" w:sz="4" w:space="0" w:color="auto"/>
            </w:tcBorders>
            <w:shd w:val="clear" w:color="auto" w:fill="auto"/>
            <w:noWrap/>
            <w:vAlign w:val="center"/>
          </w:tcPr>
          <w:p w14:paraId="732FD7FC" w14:textId="5E98CA7C" w:rsidR="00EE6255"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14.1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D7DC9C6" w14:textId="62EF07A0" w:rsidR="00EE6255"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14.1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2DB261B6" w14:textId="1FA4032F" w:rsidR="00EE6255"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13.5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2F5B401C" w14:textId="23BEB8AC" w:rsidR="00EE6255"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15.5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5AB74677" w14:textId="13E0683F" w:rsidR="00EE6255" w:rsidRPr="00957EC6" w:rsidRDefault="009D60B1"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17.3</w:t>
            </w:r>
          </w:p>
        </w:tc>
      </w:tr>
      <w:tr w:rsidR="00EE6255" w:rsidRPr="00957EC6" w14:paraId="4829F5F5" w14:textId="77777777" w:rsidTr="00180026">
        <w:trPr>
          <w:trHeight w:val="288"/>
        </w:trPr>
        <w:tc>
          <w:tcPr>
            <w:tcW w:w="6115" w:type="dxa"/>
            <w:vMerge/>
            <w:tcBorders>
              <w:left w:val="single" w:sz="4" w:space="0" w:color="auto"/>
              <w:bottom w:val="single" w:sz="4" w:space="0" w:color="auto"/>
              <w:right w:val="single" w:sz="4" w:space="0" w:color="auto"/>
            </w:tcBorders>
            <w:shd w:val="clear" w:color="auto" w:fill="auto"/>
            <w:noWrap/>
            <w:vAlign w:val="center"/>
          </w:tcPr>
          <w:p w14:paraId="51E1EDC9" w14:textId="77777777" w:rsidR="00EE6255" w:rsidRPr="00905911" w:rsidRDefault="00EE6255" w:rsidP="00FD11D9">
            <w:pPr>
              <w:spacing w:after="0" w:line="240" w:lineRule="auto"/>
              <w:ind w:firstLineChars="100" w:firstLine="160"/>
              <w:jc w:val="both"/>
              <w:rPr>
                <w:rFonts w:ascii="Arial Narrow" w:eastAsia="Times New Roman" w:hAnsi="Arial Narrow" w:cs="Arial"/>
                <w:color w:val="000000"/>
                <w:sz w:val="16"/>
                <w:szCs w:val="16"/>
              </w:rPr>
            </w:pPr>
          </w:p>
        </w:tc>
        <w:tc>
          <w:tcPr>
            <w:tcW w:w="698" w:type="dxa"/>
            <w:tcBorders>
              <w:top w:val="nil"/>
              <w:left w:val="nil"/>
              <w:bottom w:val="single" w:sz="4" w:space="0" w:color="auto"/>
              <w:right w:val="single" w:sz="4" w:space="0" w:color="auto"/>
            </w:tcBorders>
            <w:shd w:val="clear" w:color="auto" w:fill="auto"/>
            <w:noWrap/>
            <w:vAlign w:val="center"/>
          </w:tcPr>
          <w:p w14:paraId="636C1E72" w14:textId="11DA9821" w:rsidR="00EE6255"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5D8E0DE" w14:textId="5A53DE13" w:rsidR="00EE6255"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5.2</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2C377C3E" w14:textId="00B545D8" w:rsidR="00EE6255"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7A616F6" w14:textId="3DCAAA34" w:rsidR="00EE6255"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5.8</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9CBBD4C" w14:textId="205484A9" w:rsidR="00EE6255"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6.4</w:t>
            </w:r>
          </w:p>
        </w:tc>
      </w:tr>
      <w:tr w:rsidR="00591308" w:rsidRPr="00957EC6" w14:paraId="32685E3C"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62A78D24" w14:textId="1C2AE2C4" w:rsidR="00591308"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Reduced BIT rate of 7% for IT parks</w:t>
            </w:r>
          </w:p>
        </w:tc>
        <w:tc>
          <w:tcPr>
            <w:tcW w:w="698" w:type="dxa"/>
            <w:tcBorders>
              <w:top w:val="nil"/>
              <w:left w:val="nil"/>
              <w:bottom w:val="single" w:sz="4" w:space="0" w:color="auto"/>
              <w:right w:val="single" w:sz="4" w:space="0" w:color="auto"/>
            </w:tcBorders>
            <w:shd w:val="clear" w:color="auto" w:fill="auto"/>
            <w:noWrap/>
            <w:vAlign w:val="center"/>
          </w:tcPr>
          <w:p w14:paraId="50DE88DA" w14:textId="3B9BB6FC" w:rsidR="00591308"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182.5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434E6D2" w14:textId="6F64E2C5" w:rsidR="00591308"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182.8</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7C87AEAC" w14:textId="14243A9D" w:rsidR="00591308"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174.6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C44F903" w14:textId="217E732A" w:rsidR="00591308"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201.5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7D11E418" w14:textId="49AC49FF" w:rsidR="00591308"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224.5</w:t>
            </w:r>
          </w:p>
        </w:tc>
      </w:tr>
      <w:tr w:rsidR="00905911" w:rsidRPr="00957EC6" w14:paraId="111A6CA0"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AEDFAE9" w14:textId="0CFCACB7"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50% reduced BIT rate for income earned on exports in Free Economic Zones (FEZs)</w:t>
            </w:r>
          </w:p>
        </w:tc>
        <w:tc>
          <w:tcPr>
            <w:tcW w:w="698" w:type="dxa"/>
            <w:tcBorders>
              <w:top w:val="nil"/>
              <w:left w:val="nil"/>
              <w:bottom w:val="single" w:sz="4" w:space="0" w:color="auto"/>
              <w:right w:val="single" w:sz="4" w:space="0" w:color="auto"/>
            </w:tcBorders>
            <w:shd w:val="clear" w:color="auto" w:fill="auto"/>
            <w:noWrap/>
            <w:vAlign w:val="center"/>
          </w:tcPr>
          <w:p w14:paraId="56BF9C07" w14:textId="56BBA85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FD19B27" w14:textId="48C551C6"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10.0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7739DC24" w14:textId="76903C4F"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9.5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1BF3B08" w14:textId="02B6EC6A"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11.0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20484F64" w14:textId="63C765BA"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12.2</w:t>
            </w:r>
          </w:p>
        </w:tc>
      </w:tr>
      <w:tr w:rsidR="00905911" w:rsidRPr="00957EC6" w14:paraId="5418670E"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DC5F092" w14:textId="71FCFC85"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25% reduced BIT rate for income earned on domestic sales in Free Economic Zones (FEZs)</w:t>
            </w:r>
          </w:p>
        </w:tc>
        <w:tc>
          <w:tcPr>
            <w:tcW w:w="698" w:type="dxa"/>
            <w:tcBorders>
              <w:top w:val="nil"/>
              <w:left w:val="nil"/>
              <w:bottom w:val="single" w:sz="4" w:space="0" w:color="auto"/>
              <w:right w:val="single" w:sz="4" w:space="0" w:color="auto"/>
            </w:tcBorders>
            <w:shd w:val="clear" w:color="auto" w:fill="auto"/>
            <w:noWrap/>
            <w:vAlign w:val="center"/>
          </w:tcPr>
          <w:p w14:paraId="6DAADE96" w14:textId="6AE76E4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F2A209E" w14:textId="192BA617"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1.5</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1E323E9E" w14:textId="531DF7E0"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898F87C" w14:textId="5000CAC4"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F8172A7" w14:textId="6195AAFB"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1.8</w:t>
            </w:r>
          </w:p>
        </w:tc>
      </w:tr>
      <w:tr w:rsidR="00905911" w:rsidRPr="00957EC6" w14:paraId="0AE16112"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0840C3ED" w14:textId="2AF63BD1"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3-year tax holiday for US$1M+ investments in Free Economic Zones (FEZs)</w:t>
            </w:r>
          </w:p>
        </w:tc>
        <w:tc>
          <w:tcPr>
            <w:tcW w:w="698" w:type="dxa"/>
            <w:tcBorders>
              <w:top w:val="nil"/>
              <w:left w:val="nil"/>
              <w:bottom w:val="single" w:sz="4" w:space="0" w:color="auto"/>
              <w:right w:val="single" w:sz="4" w:space="0" w:color="auto"/>
            </w:tcBorders>
            <w:shd w:val="clear" w:color="auto" w:fill="auto"/>
            <w:noWrap/>
            <w:vAlign w:val="center"/>
          </w:tcPr>
          <w:p w14:paraId="37A910E6" w14:textId="29CC33E6"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BFA0B10" w14:textId="4E58DB5A"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728757E6" w14:textId="70FDA9E9"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1.9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D4412C2" w14:textId="1609D571"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7906E39" w14:textId="1C29AB68"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2.5</w:t>
            </w:r>
          </w:p>
        </w:tc>
      </w:tr>
      <w:tr w:rsidR="00905911" w:rsidRPr="00957EC6" w14:paraId="5A3E66FB"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03559349" w14:textId="5DE9EF89"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5-year tax holiday for US$5M+ investments in Free Economic Zones (FEZs)</w:t>
            </w:r>
          </w:p>
        </w:tc>
        <w:tc>
          <w:tcPr>
            <w:tcW w:w="698" w:type="dxa"/>
            <w:tcBorders>
              <w:top w:val="nil"/>
              <w:left w:val="nil"/>
              <w:bottom w:val="single" w:sz="4" w:space="0" w:color="auto"/>
              <w:right w:val="single" w:sz="4" w:space="0" w:color="auto"/>
            </w:tcBorders>
            <w:shd w:val="clear" w:color="auto" w:fill="auto"/>
            <w:noWrap/>
            <w:vAlign w:val="center"/>
          </w:tcPr>
          <w:p w14:paraId="04FFFD4A" w14:textId="0B402F3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BA4A1F9" w14:textId="04517BFD"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5.4</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25E6C019" w14:textId="1D4E6F1A"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206455A0" w14:textId="1A118FA1"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6.0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4435AD19" w14:textId="3DD7B709"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6.6</w:t>
            </w:r>
          </w:p>
        </w:tc>
      </w:tr>
      <w:tr w:rsidR="00905911" w:rsidRPr="00957EC6" w14:paraId="0BA88B77"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37BA974C" w14:textId="13F6D7F4"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Additional 1, 3 or 5-year tax holiday for additional US$1, 3 or 5M+ investments in Free Economic Zones (FEZs)</w:t>
            </w:r>
          </w:p>
        </w:tc>
        <w:tc>
          <w:tcPr>
            <w:tcW w:w="698" w:type="dxa"/>
            <w:tcBorders>
              <w:top w:val="nil"/>
              <w:left w:val="nil"/>
              <w:bottom w:val="single" w:sz="4" w:space="0" w:color="auto"/>
              <w:right w:val="single" w:sz="4" w:space="0" w:color="auto"/>
            </w:tcBorders>
            <w:shd w:val="clear" w:color="auto" w:fill="auto"/>
            <w:noWrap/>
            <w:vAlign w:val="center"/>
          </w:tcPr>
          <w:p w14:paraId="0C4B1382" w14:textId="0F89C1FA"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7380DFC" w14:textId="336E9A2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7C7D5961" w14:textId="407568A9"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6FDAE076" w14:textId="44BEFC51"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AE20362" w14:textId="22C54983"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0.0</w:t>
            </w:r>
          </w:p>
        </w:tc>
      </w:tr>
      <w:tr w:rsidR="00905911" w:rsidRPr="00957EC6" w14:paraId="10A31336" w14:textId="77777777" w:rsidTr="00180026">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5BFB04EF" w14:textId="371946A4" w:rsidR="00905911" w:rsidRPr="00957EC6" w:rsidRDefault="00905911" w:rsidP="00FD11D9">
            <w:pPr>
              <w:spacing w:after="0" w:line="240" w:lineRule="auto"/>
              <w:ind w:firstLineChars="100" w:firstLine="160"/>
              <w:jc w:val="both"/>
              <w:rPr>
                <w:rFonts w:ascii="Arial Narrow" w:eastAsia="Times New Roman" w:hAnsi="Arial Narrow" w:cs="Arial"/>
                <w:color w:val="000000"/>
                <w:sz w:val="16"/>
                <w:szCs w:val="16"/>
              </w:rPr>
            </w:pPr>
            <w:r w:rsidRPr="00905911">
              <w:rPr>
                <w:rFonts w:ascii="Arial Narrow" w:eastAsia="Times New Roman" w:hAnsi="Arial Narrow" w:cs="Arial"/>
                <w:color w:val="000000"/>
                <w:sz w:val="16"/>
                <w:szCs w:val="16"/>
              </w:rPr>
              <w:t>Tax exemption of income from international grants for research and development, and from special funds and grants approved by the governm</w:t>
            </w:r>
            <w:r w:rsidR="00EE6255">
              <w:rPr>
                <w:rFonts w:ascii="Arial Narrow" w:eastAsia="Times New Roman" w:hAnsi="Arial Narrow" w:cs="Arial"/>
                <w:color w:val="000000"/>
                <w:sz w:val="16"/>
                <w:szCs w:val="16"/>
              </w:rPr>
              <w:t>ent</w:t>
            </w:r>
          </w:p>
        </w:tc>
        <w:tc>
          <w:tcPr>
            <w:tcW w:w="698" w:type="dxa"/>
            <w:tcBorders>
              <w:top w:val="nil"/>
              <w:left w:val="nil"/>
              <w:bottom w:val="single" w:sz="4" w:space="0" w:color="auto"/>
              <w:right w:val="single" w:sz="4" w:space="0" w:color="auto"/>
            </w:tcBorders>
            <w:shd w:val="clear" w:color="auto" w:fill="auto"/>
            <w:noWrap/>
            <w:vAlign w:val="center"/>
          </w:tcPr>
          <w:p w14:paraId="47F92136" w14:textId="3EBAEF5F"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480.9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3B7BED08" w14:textId="0F15C91F"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481.7</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tcPr>
          <w:p w14:paraId="1C4132A3" w14:textId="5665778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459.9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0C404BD1" w14:textId="4761A728"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531.2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tcPr>
          <w:p w14:paraId="19A95809" w14:textId="333177BC"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590.8</w:t>
            </w:r>
          </w:p>
        </w:tc>
      </w:tr>
      <w:tr w:rsidR="00905911" w:rsidRPr="00957EC6" w14:paraId="486CCA86" w14:textId="77777777" w:rsidTr="00742DDB">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752FA0A5" w14:textId="23DE05B9" w:rsidR="00905911" w:rsidRPr="00180026" w:rsidRDefault="00EE6255" w:rsidP="00FD11D9">
            <w:pPr>
              <w:spacing w:after="0" w:line="240" w:lineRule="auto"/>
              <w:ind w:firstLineChars="100" w:firstLine="160"/>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Tax exemption of donations to homes providing foster care</w:t>
            </w:r>
          </w:p>
        </w:tc>
        <w:tc>
          <w:tcPr>
            <w:tcW w:w="698" w:type="dxa"/>
            <w:tcBorders>
              <w:top w:val="nil"/>
              <w:left w:val="nil"/>
              <w:bottom w:val="single" w:sz="4" w:space="0" w:color="auto"/>
              <w:right w:val="single" w:sz="4" w:space="0" w:color="auto"/>
            </w:tcBorders>
            <w:shd w:val="clear" w:color="auto" w:fill="auto"/>
            <w:noWrap/>
            <w:vAlign w:val="center"/>
          </w:tcPr>
          <w:p w14:paraId="3F32C264" w14:textId="66480208"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19585843" w14:textId="7382CC83"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tcPr>
          <w:p w14:paraId="6D3EC553" w14:textId="42EC757F"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1C24E9D4" w14:textId="7BECB519"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4F2B3A6A" w14:textId="046454E5"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r>
      <w:tr w:rsidR="00905911" w:rsidRPr="00957EC6" w14:paraId="0F7872E2" w14:textId="77777777" w:rsidTr="00742DDB">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57EB1EA1" w14:textId="573A9177" w:rsidR="00905911" w:rsidRPr="00180026" w:rsidRDefault="00EE6255" w:rsidP="00FD11D9">
            <w:pPr>
              <w:spacing w:after="0" w:line="240" w:lineRule="auto"/>
              <w:ind w:firstLineChars="100" w:firstLine="160"/>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Tax exemption of aid received from charitable organizations</w:t>
            </w:r>
          </w:p>
        </w:tc>
        <w:tc>
          <w:tcPr>
            <w:tcW w:w="698" w:type="dxa"/>
            <w:tcBorders>
              <w:top w:val="nil"/>
              <w:left w:val="nil"/>
              <w:bottom w:val="single" w:sz="4" w:space="0" w:color="auto"/>
              <w:right w:val="single" w:sz="4" w:space="0" w:color="auto"/>
            </w:tcBorders>
            <w:shd w:val="clear" w:color="auto" w:fill="auto"/>
            <w:noWrap/>
            <w:vAlign w:val="center"/>
          </w:tcPr>
          <w:p w14:paraId="7202DAB4" w14:textId="53D9D187"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728D31E2" w14:textId="4EDB730E"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tcPr>
          <w:p w14:paraId="2DBFAD1B" w14:textId="2ACB2872"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2D609DFB" w14:textId="79E6EAD0"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6E99705C" w14:textId="394DD4BB"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r>
      <w:tr w:rsidR="00905911" w:rsidRPr="00957EC6" w14:paraId="550DCFD7" w14:textId="77777777" w:rsidTr="00742DDB">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53EF5C7A" w14:textId="555153CE" w:rsidR="00905911" w:rsidRDefault="00EE6255" w:rsidP="00FD11D9">
            <w:pPr>
              <w:spacing w:after="0" w:line="240" w:lineRule="auto"/>
              <w:ind w:firstLineChars="100" w:firstLine="160"/>
              <w:jc w:val="both"/>
              <w:rPr>
                <w:rFonts w:ascii="Calibri" w:hAnsi="Calibri" w:cs="Calibri"/>
                <w:color w:val="000000"/>
                <w:shd w:val="clear" w:color="auto" w:fill="FFF2CC"/>
              </w:rPr>
            </w:pPr>
            <w:r w:rsidRPr="00180026">
              <w:rPr>
                <w:rFonts w:ascii="Arial Narrow" w:eastAsia="Times New Roman" w:hAnsi="Arial Narrow" w:cs="Arial"/>
                <w:color w:val="000000"/>
                <w:sz w:val="16"/>
                <w:szCs w:val="16"/>
              </w:rPr>
              <w:t>Tax exemption of financial assistance received from the National Olympic and Sports Committee</w:t>
            </w:r>
          </w:p>
        </w:tc>
        <w:tc>
          <w:tcPr>
            <w:tcW w:w="698" w:type="dxa"/>
            <w:tcBorders>
              <w:top w:val="nil"/>
              <w:left w:val="nil"/>
              <w:bottom w:val="single" w:sz="4" w:space="0" w:color="auto"/>
              <w:right w:val="single" w:sz="4" w:space="0" w:color="auto"/>
            </w:tcBorders>
            <w:shd w:val="clear" w:color="auto" w:fill="auto"/>
            <w:noWrap/>
            <w:vAlign w:val="center"/>
          </w:tcPr>
          <w:p w14:paraId="20BB8F10" w14:textId="15507E47"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566C0B03" w14:textId="4C091CD2"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tcPr>
          <w:p w14:paraId="09EF66C2" w14:textId="14A37284"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4045CCD6" w14:textId="5D6CFDB4" w:rsidR="00905911" w:rsidRPr="00957EC6" w:rsidRDefault="00EE6255"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tcPr>
          <w:p w14:paraId="50CFF599" w14:textId="77777777" w:rsidR="00905911" w:rsidRPr="00957EC6" w:rsidRDefault="00905911" w:rsidP="00FD11D9">
            <w:pPr>
              <w:spacing w:after="0" w:line="240" w:lineRule="auto"/>
              <w:jc w:val="both"/>
              <w:rPr>
                <w:rFonts w:ascii="Arial Narrow" w:eastAsia="Times New Roman" w:hAnsi="Arial Narrow" w:cs="Arial"/>
                <w:color w:val="000000"/>
                <w:sz w:val="16"/>
                <w:szCs w:val="16"/>
              </w:rPr>
            </w:pPr>
          </w:p>
        </w:tc>
      </w:tr>
      <w:tr w:rsidR="00742DDB" w:rsidRPr="00957EC6" w14:paraId="53C73FB7" w14:textId="77777777" w:rsidTr="00591308">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tcPr>
          <w:p w14:paraId="0C0B8A4A" w14:textId="1C9B3BD1" w:rsidR="00742DDB" w:rsidRPr="00180026" w:rsidRDefault="008A096C" w:rsidP="00FD11D9">
            <w:pPr>
              <w:spacing w:after="0" w:line="240" w:lineRule="auto"/>
              <w:ind w:firstLineChars="100" w:firstLine="160"/>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Total Revenue Forgone from Business Income Tax</w:t>
            </w:r>
          </w:p>
        </w:tc>
        <w:tc>
          <w:tcPr>
            <w:tcW w:w="698" w:type="dxa"/>
            <w:tcBorders>
              <w:top w:val="nil"/>
              <w:left w:val="nil"/>
              <w:bottom w:val="single" w:sz="4" w:space="0" w:color="auto"/>
              <w:right w:val="single" w:sz="4" w:space="0" w:color="auto"/>
            </w:tcBorders>
            <w:shd w:val="clear" w:color="auto" w:fill="auto"/>
            <w:noWrap/>
            <w:vAlign w:val="center"/>
          </w:tcPr>
          <w:p w14:paraId="31C4F640" w14:textId="44EF516C" w:rsidR="00742DDB" w:rsidRPr="00180026" w:rsidRDefault="00180026" w:rsidP="00FD11D9">
            <w:pPr>
              <w:spacing w:after="0" w:line="240" w:lineRule="auto"/>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761.3</w:t>
            </w:r>
          </w:p>
        </w:tc>
        <w:tc>
          <w:tcPr>
            <w:tcW w:w="691" w:type="dxa"/>
            <w:tcBorders>
              <w:top w:val="nil"/>
              <w:left w:val="nil"/>
              <w:bottom w:val="single" w:sz="4" w:space="0" w:color="auto"/>
              <w:right w:val="single" w:sz="4" w:space="0" w:color="auto"/>
            </w:tcBorders>
            <w:shd w:val="clear" w:color="auto" w:fill="auto"/>
            <w:noWrap/>
            <w:vAlign w:val="center"/>
          </w:tcPr>
          <w:p w14:paraId="6C27C605" w14:textId="0E4A2892" w:rsidR="00742DDB" w:rsidRPr="00180026" w:rsidRDefault="00180026" w:rsidP="00FD11D9">
            <w:pPr>
              <w:spacing w:after="0" w:line="240" w:lineRule="auto"/>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762.5</w:t>
            </w:r>
          </w:p>
        </w:tc>
        <w:tc>
          <w:tcPr>
            <w:tcW w:w="698" w:type="dxa"/>
            <w:tcBorders>
              <w:top w:val="nil"/>
              <w:left w:val="nil"/>
              <w:bottom w:val="single" w:sz="4" w:space="0" w:color="auto"/>
              <w:right w:val="single" w:sz="4" w:space="0" w:color="auto"/>
            </w:tcBorders>
            <w:shd w:val="clear" w:color="auto" w:fill="auto"/>
            <w:noWrap/>
            <w:vAlign w:val="center"/>
          </w:tcPr>
          <w:p w14:paraId="4CE4A6AD" w14:textId="4AE9553C" w:rsidR="00742DDB" w:rsidRPr="00180026" w:rsidRDefault="00180026" w:rsidP="00FD11D9">
            <w:pPr>
              <w:spacing w:after="0" w:line="240" w:lineRule="auto"/>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728.1</w:t>
            </w:r>
          </w:p>
        </w:tc>
        <w:tc>
          <w:tcPr>
            <w:tcW w:w="691" w:type="dxa"/>
            <w:tcBorders>
              <w:top w:val="nil"/>
              <w:left w:val="nil"/>
              <w:bottom w:val="single" w:sz="4" w:space="0" w:color="auto"/>
              <w:right w:val="single" w:sz="4" w:space="0" w:color="auto"/>
            </w:tcBorders>
            <w:shd w:val="clear" w:color="auto" w:fill="auto"/>
            <w:noWrap/>
            <w:vAlign w:val="center"/>
          </w:tcPr>
          <w:p w14:paraId="7ADB143C" w14:textId="62E5C12D" w:rsidR="00742DDB" w:rsidRPr="00180026" w:rsidRDefault="00180026" w:rsidP="00FD11D9">
            <w:pPr>
              <w:spacing w:after="0" w:line="240" w:lineRule="auto"/>
              <w:jc w:val="both"/>
              <w:rPr>
                <w:rFonts w:ascii="Arial Narrow" w:eastAsia="Times New Roman" w:hAnsi="Arial Narrow" w:cs="Arial"/>
                <w:color w:val="000000"/>
                <w:sz w:val="16"/>
                <w:szCs w:val="16"/>
              </w:rPr>
            </w:pPr>
            <w:r w:rsidRPr="00180026">
              <w:rPr>
                <w:rFonts w:ascii="Arial Narrow" w:eastAsia="Times New Roman" w:hAnsi="Arial Narrow" w:cs="Arial"/>
                <w:color w:val="000000"/>
                <w:sz w:val="16"/>
                <w:szCs w:val="16"/>
              </w:rPr>
              <w:t>840.8</w:t>
            </w:r>
          </w:p>
        </w:tc>
        <w:tc>
          <w:tcPr>
            <w:tcW w:w="691" w:type="dxa"/>
            <w:tcBorders>
              <w:top w:val="nil"/>
              <w:left w:val="nil"/>
              <w:bottom w:val="single" w:sz="4" w:space="0" w:color="auto"/>
              <w:right w:val="single" w:sz="4" w:space="0" w:color="auto"/>
            </w:tcBorders>
            <w:shd w:val="clear" w:color="auto" w:fill="auto"/>
            <w:noWrap/>
            <w:vAlign w:val="center"/>
          </w:tcPr>
          <w:p w14:paraId="41A43663" w14:textId="32227FE8" w:rsidR="00742DDB" w:rsidRPr="00957EC6" w:rsidRDefault="00180026" w:rsidP="00FD11D9">
            <w:pPr>
              <w:spacing w:after="0" w:line="240" w:lineRule="auto"/>
              <w:jc w:val="both"/>
              <w:rPr>
                <w:rFonts w:ascii="Arial Narrow" w:eastAsia="Times New Roman" w:hAnsi="Arial Narrow" w:cs="Arial"/>
                <w:color w:val="000000"/>
                <w:sz w:val="16"/>
                <w:szCs w:val="16"/>
              </w:rPr>
            </w:pPr>
            <w:r>
              <w:rPr>
                <w:rFonts w:ascii="Arial Narrow" w:eastAsia="Times New Roman" w:hAnsi="Arial Narrow" w:cs="Arial"/>
                <w:color w:val="000000"/>
                <w:sz w:val="16"/>
                <w:szCs w:val="16"/>
              </w:rPr>
              <w:t>935.6</w:t>
            </w:r>
          </w:p>
        </w:tc>
      </w:tr>
      <w:tr w:rsidR="00591308" w:rsidRPr="00957EC6" w14:paraId="04C56504" w14:textId="77777777" w:rsidTr="00591308">
        <w:trPr>
          <w:trHeight w:val="288"/>
        </w:trPr>
        <w:tc>
          <w:tcPr>
            <w:tcW w:w="6115" w:type="dxa"/>
            <w:tcBorders>
              <w:top w:val="single" w:sz="4" w:space="0" w:color="auto"/>
              <w:left w:val="single" w:sz="4" w:space="0" w:color="auto"/>
              <w:bottom w:val="single" w:sz="4" w:space="0" w:color="auto"/>
              <w:right w:val="nil"/>
            </w:tcBorders>
            <w:shd w:val="clear" w:color="auto" w:fill="auto"/>
            <w:noWrap/>
            <w:vAlign w:val="center"/>
            <w:hideMark/>
          </w:tcPr>
          <w:p w14:paraId="1E3CA6D8" w14:textId="77777777" w:rsidR="00591308" w:rsidRPr="00957EC6" w:rsidRDefault="00591308" w:rsidP="00FD11D9">
            <w:pPr>
              <w:spacing w:after="0" w:line="240" w:lineRule="auto"/>
              <w:jc w:val="both"/>
              <w:rPr>
                <w:rFonts w:ascii="Arial Narrow" w:eastAsia="Times New Roman" w:hAnsi="Arial Narrow" w:cs="Arial"/>
                <w:b/>
                <w:bCs/>
                <w:color w:val="000000"/>
                <w:sz w:val="16"/>
                <w:szCs w:val="16"/>
              </w:rPr>
            </w:pPr>
            <w:r w:rsidRPr="00957EC6">
              <w:rPr>
                <w:rFonts w:ascii="Arial Narrow" w:eastAsia="Times New Roman" w:hAnsi="Arial Narrow" w:cs="Arial"/>
                <w:b/>
                <w:bCs/>
                <w:color w:val="000000"/>
                <w:sz w:val="16"/>
                <w:szCs w:val="16"/>
              </w:rPr>
              <w:t>Value Added Tax</w:t>
            </w:r>
          </w:p>
        </w:tc>
        <w:tc>
          <w:tcPr>
            <w:tcW w:w="3469" w:type="dxa"/>
            <w:gridSpan w:val="5"/>
            <w:tcBorders>
              <w:top w:val="single" w:sz="4" w:space="0" w:color="auto"/>
              <w:left w:val="nil"/>
              <w:bottom w:val="double" w:sz="4" w:space="0" w:color="auto"/>
              <w:right w:val="single" w:sz="4" w:space="0" w:color="auto"/>
            </w:tcBorders>
            <w:shd w:val="clear" w:color="auto" w:fill="auto"/>
            <w:noWrap/>
            <w:vAlign w:val="center"/>
            <w:hideMark/>
          </w:tcPr>
          <w:p w14:paraId="05540EB8" w14:textId="5B9AACDB" w:rsidR="00591308" w:rsidRPr="00957EC6" w:rsidRDefault="00591308" w:rsidP="00FD11D9">
            <w:pPr>
              <w:spacing w:after="0" w:line="240" w:lineRule="auto"/>
              <w:jc w:val="both"/>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Million MDL</w:t>
            </w:r>
          </w:p>
        </w:tc>
      </w:tr>
      <w:tr w:rsidR="00185884" w:rsidRPr="00957EC6" w14:paraId="73B86936" w14:textId="77777777" w:rsidTr="00010394">
        <w:trPr>
          <w:trHeight w:val="288"/>
        </w:trPr>
        <w:tc>
          <w:tcPr>
            <w:tcW w:w="6115" w:type="dxa"/>
            <w:tcBorders>
              <w:top w:val="double" w:sz="6" w:space="0" w:color="auto"/>
              <w:left w:val="single" w:sz="4" w:space="0" w:color="auto"/>
              <w:bottom w:val="nil"/>
              <w:right w:val="nil"/>
            </w:tcBorders>
            <w:shd w:val="clear" w:color="auto" w:fill="auto"/>
            <w:noWrap/>
            <w:vAlign w:val="center"/>
            <w:hideMark/>
          </w:tcPr>
          <w:p w14:paraId="23C0F876"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Reduced VAT rate applies to services and food supplied by hotels and restaurants</w:t>
            </w:r>
          </w:p>
        </w:tc>
        <w:tc>
          <w:tcPr>
            <w:tcW w:w="698"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88E9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27.3</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hideMark/>
          </w:tcPr>
          <w:p w14:paraId="0C5270B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79.7</w:t>
            </w:r>
          </w:p>
        </w:tc>
        <w:tc>
          <w:tcPr>
            <w:tcW w:w="698" w:type="dxa"/>
            <w:tcBorders>
              <w:top w:val="double" w:sz="4" w:space="0" w:color="auto"/>
              <w:left w:val="nil"/>
              <w:bottom w:val="single" w:sz="4" w:space="0" w:color="auto"/>
              <w:right w:val="single" w:sz="4" w:space="0" w:color="auto"/>
            </w:tcBorders>
            <w:shd w:val="clear" w:color="auto" w:fill="F2F2F2" w:themeFill="background1" w:themeFillShade="F2"/>
            <w:vAlign w:val="center"/>
            <w:hideMark/>
          </w:tcPr>
          <w:p w14:paraId="51BB427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38.7</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hideMark/>
          </w:tcPr>
          <w:p w14:paraId="17F0F61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134.6</w:t>
            </w:r>
          </w:p>
        </w:tc>
        <w:tc>
          <w:tcPr>
            <w:tcW w:w="691" w:type="dxa"/>
            <w:tcBorders>
              <w:top w:val="double" w:sz="4" w:space="0" w:color="auto"/>
              <w:left w:val="nil"/>
              <w:bottom w:val="single" w:sz="4" w:space="0" w:color="auto"/>
              <w:right w:val="single" w:sz="4" w:space="0" w:color="auto"/>
            </w:tcBorders>
            <w:shd w:val="clear" w:color="auto" w:fill="F2F2F2" w:themeFill="background1" w:themeFillShade="F2"/>
            <w:vAlign w:val="center"/>
            <w:hideMark/>
          </w:tcPr>
          <w:p w14:paraId="121CBE2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218.4</w:t>
            </w:r>
          </w:p>
        </w:tc>
      </w:tr>
      <w:tr w:rsidR="00957EC6" w:rsidRPr="00957EC6" w14:paraId="1501A99E" w14:textId="77777777" w:rsidTr="00010394">
        <w:trPr>
          <w:trHeight w:val="288"/>
        </w:trPr>
        <w:tc>
          <w:tcPr>
            <w:tcW w:w="6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248C"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Goods and Services supplied at Reduced Rate of 8 percent: bakery and dairy</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7EBBFE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258.1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A2F330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282.8</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5FC663E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275.0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8F330C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335.0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3A51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369.1</w:t>
            </w:r>
          </w:p>
        </w:tc>
      </w:tr>
      <w:tr w:rsidR="00957EC6" w:rsidRPr="00957EC6" w14:paraId="55870C3D"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7BD4DDB3"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Goods and Services supplied at Reduced Rate of 8 percent: pharmaceutical</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04A0AE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27.7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391D2F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30.1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C57B97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29.2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7281E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33.0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FEEC1A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36.3</w:t>
            </w:r>
          </w:p>
        </w:tc>
      </w:tr>
      <w:tr w:rsidR="00957EC6" w:rsidRPr="00957EC6" w14:paraId="472DCA6B"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8ED5654" w14:textId="0403291F"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Natural and </w:t>
            </w:r>
            <w:r w:rsidR="00D1150B">
              <w:rPr>
                <w:rFonts w:ascii="Arial Narrow" w:eastAsia="Times New Roman" w:hAnsi="Arial Narrow" w:cs="Arial"/>
                <w:color w:val="000000"/>
                <w:sz w:val="16"/>
                <w:szCs w:val="16"/>
              </w:rPr>
              <w:t>liquified natural gas (</w:t>
            </w:r>
            <w:r w:rsidRPr="00957EC6">
              <w:rPr>
                <w:rFonts w:ascii="Arial Narrow" w:eastAsia="Times New Roman" w:hAnsi="Arial Narrow" w:cs="Arial"/>
                <w:color w:val="000000"/>
                <w:sz w:val="16"/>
                <w:szCs w:val="16"/>
              </w:rPr>
              <w:t>LNG</w:t>
            </w:r>
            <w:r w:rsidR="00D1150B">
              <w:rPr>
                <w:rFonts w:ascii="Arial Narrow" w:eastAsia="Times New Roman" w:hAnsi="Arial Narrow" w:cs="Arial"/>
                <w:color w:val="000000"/>
                <w:sz w:val="16"/>
                <w:szCs w:val="16"/>
              </w:rPr>
              <w:t>)</w:t>
            </w:r>
            <w:r w:rsidRPr="00957EC6">
              <w:rPr>
                <w:rFonts w:ascii="Arial Narrow" w:eastAsia="Times New Roman" w:hAnsi="Arial Narrow" w:cs="Arial"/>
                <w:color w:val="000000"/>
                <w:sz w:val="16"/>
                <w:szCs w:val="16"/>
              </w:rPr>
              <w:t xml:space="preserve"> supplied at Reduced Rate of 8 percent</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15AA0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222.6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E27F23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244.0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D84A3A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237.2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878F9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289.0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F9D78B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318.4</w:t>
            </w:r>
          </w:p>
        </w:tc>
      </w:tr>
      <w:tr w:rsidR="00957EC6" w:rsidRPr="00957EC6" w14:paraId="16B8139E"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42BB49F5" w14:textId="787C7B23"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Moldovan crop, horticulture</w:t>
            </w:r>
            <w:r w:rsidR="00D1150B">
              <w:rPr>
                <w:rFonts w:ascii="Arial Narrow" w:eastAsia="Times New Roman" w:hAnsi="Arial Narrow" w:cs="Arial"/>
                <w:color w:val="000000"/>
                <w:sz w:val="16"/>
                <w:szCs w:val="16"/>
              </w:rPr>
              <w:t>,</w:t>
            </w:r>
            <w:r w:rsidRPr="00957EC6">
              <w:rPr>
                <w:rFonts w:ascii="Arial Narrow" w:eastAsia="Times New Roman" w:hAnsi="Arial Narrow" w:cs="Arial"/>
                <w:color w:val="000000"/>
                <w:sz w:val="16"/>
                <w:szCs w:val="16"/>
              </w:rPr>
              <w:t xml:space="preserve"> and livestock production supplied at </w:t>
            </w:r>
            <w:r w:rsidR="00D1150B">
              <w:rPr>
                <w:rFonts w:ascii="Arial Narrow" w:eastAsia="Times New Roman" w:hAnsi="Arial Narrow" w:cs="Arial"/>
                <w:color w:val="000000"/>
                <w:sz w:val="16"/>
                <w:szCs w:val="16"/>
              </w:rPr>
              <w:t>R</w:t>
            </w:r>
            <w:r w:rsidRPr="00957EC6">
              <w:rPr>
                <w:rFonts w:ascii="Arial Narrow" w:eastAsia="Times New Roman" w:hAnsi="Arial Narrow" w:cs="Arial"/>
                <w:color w:val="000000"/>
                <w:sz w:val="16"/>
                <w:szCs w:val="16"/>
              </w:rPr>
              <w:t xml:space="preserve">educed </w:t>
            </w:r>
            <w:r w:rsidR="00D1150B">
              <w:rPr>
                <w:rFonts w:ascii="Arial Narrow" w:eastAsia="Times New Roman" w:hAnsi="Arial Narrow" w:cs="Arial"/>
                <w:color w:val="000000"/>
                <w:sz w:val="16"/>
                <w:szCs w:val="16"/>
              </w:rPr>
              <w:t>R</w:t>
            </w:r>
            <w:r w:rsidRPr="00957EC6">
              <w:rPr>
                <w:rFonts w:ascii="Arial Narrow" w:eastAsia="Times New Roman" w:hAnsi="Arial Narrow" w:cs="Arial"/>
                <w:color w:val="000000"/>
                <w:sz w:val="16"/>
                <w:szCs w:val="16"/>
              </w:rPr>
              <w:t>ate of 8 %</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61102B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1,017.4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5A2D21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1,114.9</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263B15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1,084.2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597854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1,320.7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0E044B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1,455.0</w:t>
            </w:r>
          </w:p>
        </w:tc>
      </w:tr>
      <w:tr w:rsidR="008C76F5" w:rsidRPr="00CB1E53" w14:paraId="4DD3360C"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ED55BA8" w14:textId="5A8CE54D"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Reduced </w:t>
            </w:r>
            <w:r w:rsidR="00D1150B">
              <w:rPr>
                <w:rFonts w:ascii="Arial Narrow" w:eastAsia="Times New Roman" w:hAnsi="Arial Narrow" w:cs="Arial"/>
                <w:color w:val="000000"/>
                <w:sz w:val="16"/>
                <w:szCs w:val="16"/>
              </w:rPr>
              <w:t>R</w:t>
            </w:r>
            <w:r w:rsidRPr="00957EC6">
              <w:rPr>
                <w:rFonts w:ascii="Arial Narrow" w:eastAsia="Times New Roman" w:hAnsi="Arial Narrow" w:cs="Arial"/>
                <w:color w:val="000000"/>
                <w:sz w:val="16"/>
                <w:szCs w:val="16"/>
              </w:rPr>
              <w:t>ate for beet sugar produced, imported, and supplied in Moldova</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A2A0BE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A178EE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5.5</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D1588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E3D35F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D4CFEAE" w14:textId="3EBA7A36"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6.6</w:t>
            </w:r>
          </w:p>
        </w:tc>
      </w:tr>
      <w:tr w:rsidR="00957EC6" w:rsidRPr="00957EC6" w14:paraId="3EF76566"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ACD463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Reduced VAT rate of 8% applies for solid biofuel used in the production of electricity</w:t>
            </w:r>
          </w:p>
        </w:tc>
        <w:tc>
          <w:tcPr>
            <w:tcW w:w="698" w:type="dxa"/>
            <w:tcBorders>
              <w:top w:val="nil"/>
              <w:left w:val="nil"/>
              <w:bottom w:val="single" w:sz="4" w:space="0" w:color="auto"/>
              <w:right w:val="single" w:sz="4" w:space="0" w:color="auto"/>
            </w:tcBorders>
            <w:shd w:val="clear" w:color="auto" w:fill="auto"/>
            <w:noWrap/>
            <w:vAlign w:val="center"/>
            <w:hideMark/>
          </w:tcPr>
          <w:p w14:paraId="700BC6B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ED2EAF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4C8CDE1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330384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BEC9AB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074F9FC0"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3F9BF84"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The supplies of zero-rated goods and services—i.e., electricity to residential customers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34ED0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499.4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767A6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547.3</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8430FE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532.2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FC69B4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648.3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140357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714.3</w:t>
            </w:r>
          </w:p>
        </w:tc>
      </w:tr>
      <w:tr w:rsidR="00957EC6" w:rsidRPr="00957EC6" w14:paraId="37F04F51"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4B03EDA"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Zero-rating of supplies of goods and services consumed by foreign diplomatic mission and representative offices of international organizations</w:t>
            </w:r>
          </w:p>
        </w:tc>
        <w:tc>
          <w:tcPr>
            <w:tcW w:w="698" w:type="dxa"/>
            <w:tcBorders>
              <w:top w:val="nil"/>
              <w:left w:val="nil"/>
              <w:bottom w:val="single" w:sz="4" w:space="0" w:color="auto"/>
              <w:right w:val="single" w:sz="4" w:space="0" w:color="auto"/>
            </w:tcBorders>
            <w:shd w:val="clear" w:color="auto" w:fill="auto"/>
            <w:noWrap/>
            <w:vAlign w:val="center"/>
            <w:hideMark/>
          </w:tcPr>
          <w:p w14:paraId="4867EA3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591229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3BE8AFD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8AE41F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025746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73C19925"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191FA87A"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Zero-rating the supply of goods and services destined for technical and investment assistance projects conducted in the territory of Moldova</w:t>
            </w:r>
          </w:p>
        </w:tc>
        <w:tc>
          <w:tcPr>
            <w:tcW w:w="698" w:type="dxa"/>
            <w:tcBorders>
              <w:top w:val="nil"/>
              <w:left w:val="nil"/>
              <w:bottom w:val="single" w:sz="4" w:space="0" w:color="auto"/>
              <w:right w:val="single" w:sz="4" w:space="0" w:color="auto"/>
            </w:tcBorders>
            <w:shd w:val="clear" w:color="auto" w:fill="auto"/>
            <w:noWrap/>
            <w:vAlign w:val="center"/>
            <w:hideMark/>
          </w:tcPr>
          <w:p w14:paraId="6E8F0E3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12108C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6B5BA2E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5861AA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74B8E1F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78C156D2"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651D072B" w14:textId="61A8078F"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residential buildings, land and the lease of such buildings, land</w:t>
            </w:r>
            <w:r w:rsidR="00D1150B">
              <w:rPr>
                <w:rFonts w:ascii="Arial Narrow" w:eastAsia="Times New Roman" w:hAnsi="Arial Narrow" w:cs="Arial"/>
                <w:color w:val="000000"/>
                <w:sz w:val="16"/>
                <w:szCs w:val="16"/>
              </w:rPr>
              <w:t>,</w:t>
            </w:r>
            <w:r w:rsidRPr="00957EC6">
              <w:rPr>
                <w:rFonts w:ascii="Arial Narrow" w:eastAsia="Times New Roman" w:hAnsi="Arial Narrow" w:cs="Arial"/>
                <w:color w:val="000000"/>
                <w:sz w:val="16"/>
                <w:szCs w:val="16"/>
              </w:rPr>
              <w:t xml:space="preserve"> and land plots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5A8D7A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233.3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663C7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257.1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22AABC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249.3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A0C9F2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304.2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14254F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336.3</w:t>
            </w:r>
          </w:p>
        </w:tc>
      </w:tr>
      <w:tr w:rsidR="00957EC6" w:rsidRPr="00957EC6" w14:paraId="161475D7"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C2CBC1D"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baby food and non-food baby products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B3967E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20.4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453A15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22.2</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7618F0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21.5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B9B6B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3A3983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26.8</w:t>
            </w:r>
          </w:p>
        </w:tc>
      </w:tr>
      <w:tr w:rsidR="00957EC6" w:rsidRPr="00957EC6" w14:paraId="366E1DE4"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9F9817D"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educational services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3E95DB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912.9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D365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1,004.1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B2B1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974.7</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E109F4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1,188.6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EBBD1D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1,312.4</w:t>
            </w:r>
          </w:p>
        </w:tc>
      </w:tr>
      <w:tr w:rsidR="00957EC6" w:rsidRPr="00957EC6" w14:paraId="15ECBE81"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97D862D"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services and goods used for the care of the sick and elderly</w:t>
            </w:r>
          </w:p>
        </w:tc>
        <w:tc>
          <w:tcPr>
            <w:tcW w:w="698" w:type="dxa"/>
            <w:tcBorders>
              <w:top w:val="nil"/>
              <w:left w:val="nil"/>
              <w:bottom w:val="single" w:sz="4" w:space="0" w:color="auto"/>
              <w:right w:val="single" w:sz="4" w:space="0" w:color="auto"/>
            </w:tcBorders>
            <w:shd w:val="clear" w:color="auto" w:fill="auto"/>
            <w:noWrap/>
            <w:vAlign w:val="center"/>
            <w:hideMark/>
          </w:tcPr>
          <w:p w14:paraId="1F9137B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113AA1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A7043A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FE0A36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7E98DA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409B6C26"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6550520"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Exempting the supply of medical services and associated goods </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6B2612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787.6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44729A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864.0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914F28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839.8</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23A84A1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1,023.3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2ECDD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1,128.1</w:t>
            </w:r>
          </w:p>
        </w:tc>
      </w:tr>
      <w:tr w:rsidR="00957EC6" w:rsidRPr="00957EC6" w14:paraId="5F68A1DC"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590CCBE"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goods and services in canteens of educational and healthcare institutions</w:t>
            </w:r>
          </w:p>
        </w:tc>
        <w:tc>
          <w:tcPr>
            <w:tcW w:w="698" w:type="dxa"/>
            <w:tcBorders>
              <w:top w:val="nil"/>
              <w:left w:val="nil"/>
              <w:bottom w:val="single" w:sz="4" w:space="0" w:color="auto"/>
              <w:right w:val="single" w:sz="4" w:space="0" w:color="auto"/>
            </w:tcBorders>
            <w:shd w:val="clear" w:color="auto" w:fill="auto"/>
            <w:noWrap/>
            <w:vAlign w:val="center"/>
            <w:hideMark/>
          </w:tcPr>
          <w:p w14:paraId="3F0B4DD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FB53EF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573E579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0DB3E48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951BA6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234C1CBA"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4C1667B6"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VAT exemption of fee-based [and margin-based] financial services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95957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F93189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92270E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-2.1</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5336C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8691B6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w:t>
            </w:r>
          </w:p>
        </w:tc>
      </w:tr>
      <w:tr w:rsidR="00957EC6" w:rsidRPr="00957EC6" w14:paraId="7030F1F6"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9F6BFCC"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lastRenderedPageBreak/>
              <w:t>VAT exemption of postal services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4A28BFB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20.3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8508C3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22.3</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51F78D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21.6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36C853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26.4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53E402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29.2</w:t>
            </w:r>
          </w:p>
        </w:tc>
      </w:tr>
      <w:tr w:rsidR="00957EC6" w:rsidRPr="00957EC6" w14:paraId="777A83D7"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0BF4EB3"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VAT exemption of gaming and gambling services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63AE4E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41.5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6C040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48.0</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56E43EE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45.5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0D4E68E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56.3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1B543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64.1</w:t>
            </w:r>
          </w:p>
        </w:tc>
      </w:tr>
      <w:tr w:rsidR="00957EC6" w:rsidRPr="00957EC6" w14:paraId="4549220D"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220C25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VAT exemption for burial and crematorium services of human and animal bodies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DCC91E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5.5</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1C05D58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6.1</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26DEA0D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45CD6CC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7.2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4D25D1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8.0</w:t>
            </w:r>
          </w:p>
        </w:tc>
      </w:tr>
      <w:tr w:rsidR="00957EC6" w:rsidRPr="00957EC6" w14:paraId="0107C939"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1AC34A6"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VAT exemption for utilities for the general public, rental of dwelling, water supply, sewage, heating, sanitation, elevators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666C9BA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113.3</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F9CE76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124.7</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65628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121.0</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81E3A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147.6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7068AC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163.0</w:t>
            </w:r>
          </w:p>
        </w:tc>
      </w:tr>
      <w:tr w:rsidR="00957EC6" w:rsidRPr="00957EC6" w14:paraId="589FCB73"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22BF2EA8"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editorial services of books and periodicals as well as publishing services, copyright services and other related rights used in the editing of books and periodicals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1B6D972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98.9</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64DB53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108.4</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EA81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105.4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EF40C2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128.4</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5382B67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141.6</w:t>
            </w:r>
          </w:p>
        </w:tc>
      </w:tr>
      <w:tr w:rsidR="00957EC6" w:rsidRPr="00957EC6" w14:paraId="7F6E2004"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54CE627"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fixed assets used as contributions to the owner’s equity of a company</w:t>
            </w:r>
          </w:p>
        </w:tc>
        <w:tc>
          <w:tcPr>
            <w:tcW w:w="698" w:type="dxa"/>
            <w:tcBorders>
              <w:top w:val="nil"/>
              <w:left w:val="nil"/>
              <w:bottom w:val="single" w:sz="4" w:space="0" w:color="auto"/>
              <w:right w:val="single" w:sz="4" w:space="0" w:color="auto"/>
            </w:tcBorders>
            <w:shd w:val="clear" w:color="auto" w:fill="auto"/>
            <w:noWrap/>
            <w:vAlign w:val="center"/>
            <w:hideMark/>
          </w:tcPr>
          <w:p w14:paraId="722624C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C5EED5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20C4223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F6131E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EC4654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1B19F37D" w14:textId="77777777" w:rsidTr="00010394">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ECF47BE"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services performed by entities operating in the field of science and innovation technologies</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1001B7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1.6</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A7D1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1.8</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50DEBE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1.8</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1F728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w:t>
            </w:r>
          </w:p>
        </w:tc>
        <w:tc>
          <w:tcPr>
            <w:tcW w:w="691"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88F3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w:t>
            </w:r>
          </w:p>
        </w:tc>
      </w:tr>
      <w:tr w:rsidR="00957EC6" w:rsidRPr="00957EC6" w14:paraId="6238AD4D"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4D9ECE16"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aircraft, helicopters and trains for passenger transportation, and related leasing services</w:t>
            </w:r>
          </w:p>
        </w:tc>
        <w:tc>
          <w:tcPr>
            <w:tcW w:w="698" w:type="dxa"/>
            <w:tcBorders>
              <w:top w:val="nil"/>
              <w:left w:val="nil"/>
              <w:bottom w:val="single" w:sz="4" w:space="0" w:color="auto"/>
              <w:right w:val="single" w:sz="4" w:space="0" w:color="auto"/>
            </w:tcBorders>
            <w:shd w:val="clear" w:color="auto" w:fill="auto"/>
            <w:noWrap/>
            <w:vAlign w:val="center"/>
            <w:hideMark/>
          </w:tcPr>
          <w:p w14:paraId="60550D5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39EE8DC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FC2528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CE4DE36"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32D76E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4AB128C0"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335D5431"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air medical services</w:t>
            </w:r>
          </w:p>
        </w:tc>
        <w:tc>
          <w:tcPr>
            <w:tcW w:w="698" w:type="dxa"/>
            <w:tcBorders>
              <w:top w:val="nil"/>
              <w:left w:val="nil"/>
              <w:bottom w:val="single" w:sz="4" w:space="0" w:color="auto"/>
              <w:right w:val="single" w:sz="4" w:space="0" w:color="auto"/>
            </w:tcBorders>
            <w:shd w:val="clear" w:color="auto" w:fill="auto"/>
            <w:noWrap/>
            <w:vAlign w:val="center"/>
            <w:hideMark/>
          </w:tcPr>
          <w:p w14:paraId="1E73A0E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4EFEA13"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12F3AAE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8F11FA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5578C6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114AE6D6"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9751A7B" w14:textId="4704E717" w:rsidR="00957EC6" w:rsidRPr="00957EC6" w:rsidRDefault="00BE5883" w:rsidP="00FD11D9">
            <w:pPr>
              <w:spacing w:after="0" w:line="240" w:lineRule="auto"/>
              <w:ind w:firstLineChars="100" w:firstLine="160"/>
              <w:jc w:val="both"/>
              <w:rPr>
                <w:rFonts w:ascii="Arial Narrow" w:eastAsia="Times New Roman" w:hAnsi="Arial Narrow" w:cs="Arial"/>
                <w:color w:val="000000"/>
                <w:sz w:val="16"/>
                <w:szCs w:val="16"/>
              </w:rPr>
            </w:pPr>
            <w:r>
              <w:rPr>
                <w:rFonts w:ascii="Arial Narrow" w:eastAsia="Times New Roman" w:hAnsi="Arial Narrow" w:cs="Arial"/>
                <w:noProof/>
                <w:color w:val="000000"/>
                <w:sz w:val="16"/>
                <w:szCs w:val="16"/>
                <w:lang w:val="en-GB" w:eastAsia="en-GB"/>
              </w:rPr>
              <mc:AlternateContent>
                <mc:Choice Requires="wpi">
                  <w:drawing>
                    <wp:anchor distT="0" distB="0" distL="114300" distR="114300" simplePos="0" relativeHeight="251664384" behindDoc="0" locked="0" layoutInCell="1" allowOverlap="1" wp14:anchorId="194571D1" wp14:editId="551AB02A">
                      <wp:simplePos x="0" y="0"/>
                      <wp:positionH relativeFrom="column">
                        <wp:posOffset>1328180</wp:posOffset>
                      </wp:positionH>
                      <wp:positionV relativeFrom="paragraph">
                        <wp:posOffset>48595</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C707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04.25pt;margin-top:3.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">
                      <v:imagedata r:id="rId15" o:title=""/>
                    </v:shape>
                  </w:pict>
                </mc:Fallback>
              </mc:AlternateContent>
            </w:r>
            <w:r>
              <w:rPr>
                <w:rFonts w:ascii="Arial Narrow" w:eastAsia="Times New Roman" w:hAnsi="Arial Narrow" w:cs="Arial"/>
                <w:noProof/>
                <w:color w:val="000000"/>
                <w:sz w:val="16"/>
                <w:szCs w:val="16"/>
                <w:lang w:val="en-GB" w:eastAsia="en-GB"/>
              </w:rPr>
              <mc:AlternateContent>
                <mc:Choice Requires="wpi">
                  <w:drawing>
                    <wp:anchor distT="0" distB="0" distL="114300" distR="114300" simplePos="0" relativeHeight="251663360" behindDoc="0" locked="0" layoutInCell="1" allowOverlap="1" wp14:anchorId="16145D39" wp14:editId="106EB131">
                      <wp:simplePos x="0" y="0"/>
                      <wp:positionH relativeFrom="column">
                        <wp:posOffset>1365885</wp:posOffset>
                      </wp:positionH>
                      <wp:positionV relativeFrom="paragraph">
                        <wp:posOffset>67310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875F4C" id="Ink 8" o:spid="_x0000_s1026" type="#_x0000_t75" style="position:absolute;margin-left:107.2pt;margin-top:4.9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">
                      <v:imagedata r:id="rId15" o:title=""/>
                    </v:shape>
                  </w:pict>
                </mc:Fallback>
              </mc:AlternateContent>
            </w:r>
            <w:r w:rsidR="00957EC6" w:rsidRPr="00957EC6">
              <w:rPr>
                <w:rFonts w:ascii="Arial Narrow" w:eastAsia="Times New Roman" w:hAnsi="Arial Narrow" w:cs="Arial"/>
                <w:color w:val="000000"/>
                <w:sz w:val="16"/>
                <w:szCs w:val="16"/>
              </w:rPr>
              <w:t xml:space="preserve">Exempting the supply (and </w:t>
            </w:r>
            <w:r w:rsidR="008A096C" w:rsidRPr="00957EC6">
              <w:rPr>
                <w:rFonts w:ascii="Arial Narrow" w:eastAsia="Times New Roman" w:hAnsi="Arial Narrow" w:cs="Arial"/>
                <w:color w:val="000000"/>
                <w:sz w:val="16"/>
                <w:szCs w:val="16"/>
              </w:rPr>
              <w:t>importation</w:t>
            </w:r>
            <w:r w:rsidR="00957EC6" w:rsidRPr="00957EC6">
              <w:rPr>
                <w:rFonts w:ascii="Arial Narrow" w:eastAsia="Times New Roman" w:hAnsi="Arial Narrow" w:cs="Arial"/>
                <w:color w:val="000000"/>
                <w:sz w:val="16"/>
                <w:szCs w:val="16"/>
              </w:rPr>
              <w:t>) of samples the value of which does not exceed MDL22,000</w:t>
            </w:r>
          </w:p>
        </w:tc>
        <w:tc>
          <w:tcPr>
            <w:tcW w:w="698" w:type="dxa"/>
            <w:tcBorders>
              <w:top w:val="nil"/>
              <w:left w:val="nil"/>
              <w:bottom w:val="single" w:sz="4" w:space="0" w:color="auto"/>
              <w:right w:val="single" w:sz="4" w:space="0" w:color="auto"/>
            </w:tcBorders>
            <w:shd w:val="clear" w:color="auto" w:fill="auto"/>
            <w:noWrap/>
            <w:vAlign w:val="center"/>
            <w:hideMark/>
          </w:tcPr>
          <w:p w14:paraId="6C85942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B91BA9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0AF263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5A59E82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62B96F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515FA442"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01864B34"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(and importation) of tractors and other agricultural machinery, provided that these are not rented or leased during 3 years from the date of importation or acquisition</w:t>
            </w:r>
          </w:p>
        </w:tc>
        <w:tc>
          <w:tcPr>
            <w:tcW w:w="698" w:type="dxa"/>
            <w:tcBorders>
              <w:top w:val="nil"/>
              <w:left w:val="nil"/>
              <w:bottom w:val="single" w:sz="4" w:space="0" w:color="auto"/>
              <w:right w:val="single" w:sz="4" w:space="0" w:color="auto"/>
            </w:tcBorders>
            <w:shd w:val="clear" w:color="auto" w:fill="auto"/>
            <w:noWrap/>
            <w:vAlign w:val="center"/>
            <w:hideMark/>
          </w:tcPr>
          <w:p w14:paraId="17FFCAD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4B15F98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2513218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69F8FF1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060170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429B4CB3" w14:textId="77777777" w:rsidTr="008C76F5">
        <w:trPr>
          <w:trHeight w:val="288"/>
        </w:trPr>
        <w:tc>
          <w:tcPr>
            <w:tcW w:w="6115" w:type="dxa"/>
            <w:tcBorders>
              <w:top w:val="nil"/>
              <w:left w:val="single" w:sz="4" w:space="0" w:color="auto"/>
              <w:bottom w:val="single" w:sz="4" w:space="0" w:color="auto"/>
              <w:right w:val="single" w:sz="4" w:space="0" w:color="auto"/>
            </w:tcBorders>
            <w:shd w:val="clear" w:color="auto" w:fill="auto"/>
            <w:noWrap/>
            <w:vAlign w:val="center"/>
            <w:hideMark/>
          </w:tcPr>
          <w:p w14:paraId="5D2D4D78"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the supply of goods and services for no consideration for the promotion of trade in the amount of 0.5% of sales return for the previous year</w:t>
            </w:r>
          </w:p>
        </w:tc>
        <w:tc>
          <w:tcPr>
            <w:tcW w:w="698" w:type="dxa"/>
            <w:tcBorders>
              <w:top w:val="nil"/>
              <w:left w:val="nil"/>
              <w:bottom w:val="single" w:sz="4" w:space="0" w:color="auto"/>
              <w:right w:val="single" w:sz="4" w:space="0" w:color="auto"/>
            </w:tcBorders>
            <w:shd w:val="clear" w:color="auto" w:fill="auto"/>
            <w:noWrap/>
            <w:vAlign w:val="center"/>
            <w:hideMark/>
          </w:tcPr>
          <w:p w14:paraId="2E01D81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17CC195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single" w:sz="4" w:space="0" w:color="auto"/>
              <w:right w:val="single" w:sz="4" w:space="0" w:color="auto"/>
            </w:tcBorders>
            <w:shd w:val="clear" w:color="auto" w:fill="auto"/>
            <w:noWrap/>
            <w:vAlign w:val="center"/>
            <w:hideMark/>
          </w:tcPr>
          <w:p w14:paraId="0BF3F0E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86E65ED"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14:paraId="2E4906E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76030800" w14:textId="77777777" w:rsidTr="008C76F5">
        <w:trPr>
          <w:trHeight w:val="288"/>
        </w:trPr>
        <w:tc>
          <w:tcPr>
            <w:tcW w:w="6115" w:type="dxa"/>
            <w:tcBorders>
              <w:top w:val="nil"/>
              <w:left w:val="single" w:sz="4" w:space="0" w:color="auto"/>
              <w:bottom w:val="double" w:sz="6" w:space="0" w:color="auto"/>
              <w:right w:val="single" w:sz="4" w:space="0" w:color="auto"/>
            </w:tcBorders>
            <w:shd w:val="clear" w:color="auto" w:fill="auto"/>
            <w:noWrap/>
            <w:vAlign w:val="center"/>
            <w:hideMark/>
          </w:tcPr>
          <w:p w14:paraId="5ADA3502"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Exempting property transferred as a result of a company reorganization</w:t>
            </w:r>
          </w:p>
        </w:tc>
        <w:tc>
          <w:tcPr>
            <w:tcW w:w="698" w:type="dxa"/>
            <w:tcBorders>
              <w:top w:val="nil"/>
              <w:left w:val="nil"/>
              <w:bottom w:val="double" w:sz="6" w:space="0" w:color="auto"/>
              <w:right w:val="single" w:sz="4" w:space="0" w:color="auto"/>
            </w:tcBorders>
            <w:shd w:val="clear" w:color="auto" w:fill="auto"/>
            <w:noWrap/>
            <w:vAlign w:val="center"/>
            <w:hideMark/>
          </w:tcPr>
          <w:p w14:paraId="00308099"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double" w:sz="6" w:space="0" w:color="auto"/>
              <w:right w:val="single" w:sz="4" w:space="0" w:color="auto"/>
            </w:tcBorders>
            <w:shd w:val="clear" w:color="auto" w:fill="auto"/>
            <w:noWrap/>
            <w:vAlign w:val="center"/>
            <w:hideMark/>
          </w:tcPr>
          <w:p w14:paraId="5FC20C27"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8" w:type="dxa"/>
            <w:tcBorders>
              <w:top w:val="nil"/>
              <w:left w:val="nil"/>
              <w:bottom w:val="double" w:sz="6" w:space="0" w:color="auto"/>
              <w:right w:val="single" w:sz="4" w:space="0" w:color="auto"/>
            </w:tcBorders>
            <w:shd w:val="clear" w:color="auto" w:fill="auto"/>
            <w:noWrap/>
            <w:vAlign w:val="center"/>
            <w:hideMark/>
          </w:tcPr>
          <w:p w14:paraId="32591235"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double" w:sz="6" w:space="0" w:color="auto"/>
              <w:right w:val="single" w:sz="4" w:space="0" w:color="auto"/>
            </w:tcBorders>
            <w:shd w:val="clear" w:color="auto" w:fill="auto"/>
            <w:noWrap/>
            <w:vAlign w:val="center"/>
            <w:hideMark/>
          </w:tcPr>
          <w:p w14:paraId="1E1C3B8B"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nil"/>
              <w:left w:val="nil"/>
              <w:bottom w:val="double" w:sz="6" w:space="0" w:color="auto"/>
              <w:right w:val="single" w:sz="4" w:space="0" w:color="auto"/>
            </w:tcBorders>
            <w:shd w:val="clear" w:color="auto" w:fill="auto"/>
            <w:noWrap/>
            <w:vAlign w:val="center"/>
            <w:hideMark/>
          </w:tcPr>
          <w:p w14:paraId="3C25177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r>
      <w:tr w:rsidR="00957EC6" w:rsidRPr="00957EC6" w14:paraId="11C4BD6E" w14:textId="77777777" w:rsidTr="008C76F5">
        <w:trPr>
          <w:trHeight w:val="288"/>
        </w:trPr>
        <w:tc>
          <w:tcPr>
            <w:tcW w:w="6115" w:type="dxa"/>
            <w:tcBorders>
              <w:top w:val="nil"/>
              <w:left w:val="single" w:sz="4" w:space="0" w:color="auto"/>
              <w:bottom w:val="double" w:sz="6" w:space="0" w:color="auto"/>
              <w:right w:val="nil"/>
            </w:tcBorders>
            <w:shd w:val="clear" w:color="auto" w:fill="auto"/>
            <w:noWrap/>
            <w:vAlign w:val="center"/>
            <w:hideMark/>
          </w:tcPr>
          <w:p w14:paraId="6D56CFEC"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Total Revenue Forgone from Value Added Tax</w:t>
            </w:r>
          </w:p>
        </w:tc>
        <w:tc>
          <w:tcPr>
            <w:tcW w:w="698" w:type="dxa"/>
            <w:tcBorders>
              <w:top w:val="nil"/>
              <w:left w:val="single" w:sz="4" w:space="0" w:color="auto"/>
              <w:bottom w:val="double" w:sz="6" w:space="0" w:color="auto"/>
              <w:right w:val="nil"/>
            </w:tcBorders>
            <w:shd w:val="clear" w:color="auto" w:fill="auto"/>
            <w:noWrap/>
            <w:vAlign w:val="center"/>
            <w:hideMark/>
          </w:tcPr>
          <w:p w14:paraId="36738E8A" w14:textId="7D6F2E8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4,290.7</w:t>
            </w:r>
          </w:p>
        </w:tc>
        <w:tc>
          <w:tcPr>
            <w:tcW w:w="691" w:type="dxa"/>
            <w:tcBorders>
              <w:top w:val="nil"/>
              <w:left w:val="nil"/>
              <w:bottom w:val="double" w:sz="6" w:space="0" w:color="auto"/>
              <w:right w:val="nil"/>
            </w:tcBorders>
            <w:shd w:val="clear" w:color="auto" w:fill="auto"/>
            <w:noWrap/>
            <w:vAlign w:val="center"/>
            <w:hideMark/>
          </w:tcPr>
          <w:p w14:paraId="0A301D14" w14:textId="4A50D702"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4,761.0</w:t>
            </w:r>
          </w:p>
        </w:tc>
        <w:tc>
          <w:tcPr>
            <w:tcW w:w="698" w:type="dxa"/>
            <w:tcBorders>
              <w:top w:val="nil"/>
              <w:left w:val="nil"/>
              <w:bottom w:val="double" w:sz="6" w:space="0" w:color="auto"/>
              <w:right w:val="nil"/>
            </w:tcBorders>
            <w:shd w:val="clear" w:color="auto" w:fill="auto"/>
            <w:noWrap/>
            <w:vAlign w:val="center"/>
            <w:hideMark/>
          </w:tcPr>
          <w:p w14:paraId="72D82CAE" w14:textId="52CCD45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4,586.2</w:t>
            </w:r>
          </w:p>
        </w:tc>
        <w:tc>
          <w:tcPr>
            <w:tcW w:w="691" w:type="dxa"/>
            <w:tcBorders>
              <w:top w:val="nil"/>
              <w:left w:val="nil"/>
              <w:bottom w:val="double" w:sz="6" w:space="0" w:color="auto"/>
              <w:right w:val="nil"/>
            </w:tcBorders>
            <w:shd w:val="clear" w:color="auto" w:fill="auto"/>
            <w:noWrap/>
            <w:vAlign w:val="center"/>
            <w:hideMark/>
          </w:tcPr>
          <w:p w14:paraId="6A36F3B0" w14:textId="333D2A33"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5,672.6</w:t>
            </w:r>
          </w:p>
        </w:tc>
        <w:tc>
          <w:tcPr>
            <w:tcW w:w="691" w:type="dxa"/>
            <w:tcBorders>
              <w:top w:val="nil"/>
              <w:left w:val="nil"/>
              <w:bottom w:val="double" w:sz="6" w:space="0" w:color="auto"/>
              <w:right w:val="single" w:sz="4" w:space="0" w:color="auto"/>
            </w:tcBorders>
            <w:shd w:val="clear" w:color="auto" w:fill="auto"/>
            <w:noWrap/>
            <w:vAlign w:val="center"/>
            <w:hideMark/>
          </w:tcPr>
          <w:p w14:paraId="592F971B" w14:textId="3209ED32"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6,321.0</w:t>
            </w:r>
          </w:p>
        </w:tc>
      </w:tr>
      <w:tr w:rsidR="00957EC6" w:rsidRPr="00957EC6" w14:paraId="57317988" w14:textId="77777777" w:rsidTr="008C76F5">
        <w:trPr>
          <w:trHeight w:val="288"/>
        </w:trPr>
        <w:tc>
          <w:tcPr>
            <w:tcW w:w="6115" w:type="dxa"/>
            <w:tcBorders>
              <w:top w:val="nil"/>
              <w:left w:val="single" w:sz="4" w:space="0" w:color="auto"/>
              <w:bottom w:val="double" w:sz="6" w:space="0" w:color="auto"/>
              <w:right w:val="nil"/>
            </w:tcBorders>
            <w:shd w:val="clear" w:color="auto" w:fill="auto"/>
            <w:noWrap/>
            <w:vAlign w:val="center"/>
            <w:hideMark/>
          </w:tcPr>
          <w:p w14:paraId="43A3D78A"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Total Revenue Forgone from Value Added Tax as a % of GDP</w:t>
            </w:r>
          </w:p>
        </w:tc>
        <w:tc>
          <w:tcPr>
            <w:tcW w:w="698" w:type="dxa"/>
            <w:tcBorders>
              <w:top w:val="nil"/>
              <w:left w:val="single" w:sz="4" w:space="0" w:color="auto"/>
              <w:bottom w:val="double" w:sz="6" w:space="0" w:color="auto"/>
              <w:right w:val="nil"/>
            </w:tcBorders>
            <w:shd w:val="clear" w:color="auto" w:fill="auto"/>
            <w:noWrap/>
            <w:vAlign w:val="center"/>
            <w:hideMark/>
          </w:tcPr>
          <w:p w14:paraId="7F9093E8"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w:t>
            </w:r>
          </w:p>
        </w:tc>
        <w:tc>
          <w:tcPr>
            <w:tcW w:w="691" w:type="dxa"/>
            <w:tcBorders>
              <w:top w:val="nil"/>
              <w:left w:val="nil"/>
              <w:bottom w:val="double" w:sz="6" w:space="0" w:color="auto"/>
              <w:right w:val="nil"/>
            </w:tcBorders>
            <w:shd w:val="clear" w:color="auto" w:fill="auto"/>
            <w:noWrap/>
            <w:vAlign w:val="center"/>
            <w:hideMark/>
          </w:tcPr>
          <w:p w14:paraId="6887361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2.3%</w:t>
            </w:r>
          </w:p>
        </w:tc>
        <w:tc>
          <w:tcPr>
            <w:tcW w:w="698" w:type="dxa"/>
            <w:tcBorders>
              <w:top w:val="nil"/>
              <w:left w:val="nil"/>
              <w:bottom w:val="double" w:sz="6" w:space="0" w:color="auto"/>
              <w:right w:val="nil"/>
            </w:tcBorders>
            <w:shd w:val="clear" w:color="auto" w:fill="auto"/>
            <w:noWrap/>
            <w:vAlign w:val="center"/>
            <w:hideMark/>
          </w:tcPr>
          <w:p w14:paraId="2634336E"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2.2%</w:t>
            </w:r>
          </w:p>
        </w:tc>
        <w:tc>
          <w:tcPr>
            <w:tcW w:w="691" w:type="dxa"/>
            <w:tcBorders>
              <w:top w:val="nil"/>
              <w:left w:val="nil"/>
              <w:bottom w:val="double" w:sz="6" w:space="0" w:color="auto"/>
              <w:right w:val="nil"/>
            </w:tcBorders>
            <w:shd w:val="clear" w:color="auto" w:fill="auto"/>
            <w:noWrap/>
            <w:vAlign w:val="center"/>
            <w:hideMark/>
          </w:tcPr>
          <w:p w14:paraId="3BA5D99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w:t>
            </w:r>
          </w:p>
        </w:tc>
        <w:tc>
          <w:tcPr>
            <w:tcW w:w="691" w:type="dxa"/>
            <w:tcBorders>
              <w:top w:val="nil"/>
              <w:left w:val="nil"/>
              <w:bottom w:val="double" w:sz="6" w:space="0" w:color="auto"/>
              <w:right w:val="single" w:sz="4" w:space="0" w:color="auto"/>
            </w:tcBorders>
            <w:shd w:val="clear" w:color="auto" w:fill="auto"/>
            <w:noWrap/>
            <w:vAlign w:val="center"/>
            <w:hideMark/>
          </w:tcPr>
          <w:p w14:paraId="6498DBB4"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w:t>
            </w:r>
          </w:p>
        </w:tc>
      </w:tr>
      <w:tr w:rsidR="00957EC6" w:rsidRPr="00957EC6" w14:paraId="7ED88454" w14:textId="77777777" w:rsidTr="008C76F5">
        <w:trPr>
          <w:trHeight w:val="288"/>
        </w:trPr>
        <w:tc>
          <w:tcPr>
            <w:tcW w:w="6115" w:type="dxa"/>
            <w:tcBorders>
              <w:top w:val="nil"/>
              <w:left w:val="nil"/>
              <w:bottom w:val="nil"/>
              <w:right w:val="nil"/>
            </w:tcBorders>
            <w:shd w:val="clear" w:color="auto" w:fill="auto"/>
            <w:noWrap/>
            <w:vAlign w:val="center"/>
            <w:hideMark/>
          </w:tcPr>
          <w:p w14:paraId="20103AE3" w14:textId="77777777" w:rsidR="00957EC6" w:rsidRPr="00957EC6" w:rsidRDefault="00957EC6" w:rsidP="00FD11D9">
            <w:pPr>
              <w:spacing w:after="0" w:line="240" w:lineRule="auto"/>
              <w:jc w:val="both"/>
              <w:rPr>
                <w:rFonts w:ascii="Arial Narrow" w:eastAsia="Times New Roman" w:hAnsi="Arial Narrow" w:cs="Arial"/>
                <w:sz w:val="16"/>
                <w:szCs w:val="16"/>
              </w:rPr>
            </w:pPr>
            <w:r w:rsidRPr="00957EC6">
              <w:rPr>
                <w:rFonts w:ascii="Arial Narrow" w:eastAsia="Times New Roman" w:hAnsi="Arial Narrow" w:cs="Arial"/>
                <w:sz w:val="16"/>
                <w:szCs w:val="16"/>
              </w:rPr>
              <w:t>Memorandum Item:</w:t>
            </w:r>
          </w:p>
        </w:tc>
        <w:tc>
          <w:tcPr>
            <w:tcW w:w="698" w:type="dxa"/>
            <w:tcBorders>
              <w:top w:val="nil"/>
              <w:left w:val="nil"/>
              <w:bottom w:val="nil"/>
              <w:right w:val="nil"/>
            </w:tcBorders>
            <w:shd w:val="clear" w:color="auto" w:fill="auto"/>
            <w:noWrap/>
            <w:vAlign w:val="center"/>
            <w:hideMark/>
          </w:tcPr>
          <w:p w14:paraId="29AFE032" w14:textId="77777777" w:rsidR="00957EC6" w:rsidRPr="00957EC6" w:rsidRDefault="00957EC6" w:rsidP="00FD11D9">
            <w:pPr>
              <w:spacing w:after="0" w:line="240" w:lineRule="auto"/>
              <w:jc w:val="both"/>
              <w:rPr>
                <w:rFonts w:ascii="Arial Narrow" w:eastAsia="Times New Roman" w:hAnsi="Arial Narrow" w:cs="Arial"/>
                <w:sz w:val="16"/>
                <w:szCs w:val="16"/>
              </w:rPr>
            </w:pPr>
          </w:p>
        </w:tc>
        <w:tc>
          <w:tcPr>
            <w:tcW w:w="691" w:type="dxa"/>
            <w:tcBorders>
              <w:top w:val="nil"/>
              <w:left w:val="nil"/>
              <w:bottom w:val="nil"/>
              <w:right w:val="nil"/>
            </w:tcBorders>
            <w:shd w:val="clear" w:color="auto" w:fill="auto"/>
            <w:noWrap/>
            <w:vAlign w:val="center"/>
            <w:hideMark/>
          </w:tcPr>
          <w:p w14:paraId="5B38ADD0" w14:textId="77777777" w:rsidR="00957EC6" w:rsidRPr="00957EC6" w:rsidRDefault="00957EC6" w:rsidP="00FD11D9">
            <w:pPr>
              <w:spacing w:after="0" w:line="240" w:lineRule="auto"/>
              <w:jc w:val="both"/>
              <w:rPr>
                <w:rFonts w:ascii="Times New Roman" w:eastAsia="Times New Roman" w:hAnsi="Times New Roman" w:cs="Times New Roman"/>
                <w:sz w:val="20"/>
                <w:szCs w:val="20"/>
              </w:rPr>
            </w:pPr>
          </w:p>
        </w:tc>
        <w:tc>
          <w:tcPr>
            <w:tcW w:w="698" w:type="dxa"/>
            <w:tcBorders>
              <w:top w:val="nil"/>
              <w:left w:val="nil"/>
              <w:bottom w:val="nil"/>
              <w:right w:val="nil"/>
            </w:tcBorders>
            <w:shd w:val="clear" w:color="auto" w:fill="auto"/>
            <w:noWrap/>
            <w:vAlign w:val="center"/>
            <w:hideMark/>
          </w:tcPr>
          <w:p w14:paraId="2870E1A0" w14:textId="77777777" w:rsidR="00957EC6" w:rsidRPr="00957EC6" w:rsidRDefault="00957EC6" w:rsidP="00FD11D9">
            <w:pPr>
              <w:spacing w:after="0" w:line="240" w:lineRule="auto"/>
              <w:jc w:val="both"/>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center"/>
            <w:hideMark/>
          </w:tcPr>
          <w:p w14:paraId="0D8C8188" w14:textId="77777777" w:rsidR="00957EC6" w:rsidRPr="00957EC6" w:rsidRDefault="00957EC6" w:rsidP="00FD11D9">
            <w:pPr>
              <w:spacing w:after="0" w:line="240" w:lineRule="auto"/>
              <w:jc w:val="both"/>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center"/>
            <w:hideMark/>
          </w:tcPr>
          <w:p w14:paraId="6252000B" w14:textId="77777777" w:rsidR="00957EC6" w:rsidRPr="00957EC6" w:rsidRDefault="00957EC6" w:rsidP="00FD11D9">
            <w:pPr>
              <w:spacing w:after="0" w:line="240" w:lineRule="auto"/>
              <w:jc w:val="both"/>
              <w:rPr>
                <w:rFonts w:ascii="Times New Roman" w:eastAsia="Times New Roman" w:hAnsi="Times New Roman" w:cs="Times New Roman"/>
                <w:sz w:val="20"/>
                <w:szCs w:val="20"/>
              </w:rPr>
            </w:pPr>
          </w:p>
        </w:tc>
      </w:tr>
      <w:tr w:rsidR="00957EC6" w:rsidRPr="00957EC6" w14:paraId="6A9EC129" w14:textId="77777777" w:rsidTr="008C76F5">
        <w:trPr>
          <w:trHeight w:val="288"/>
        </w:trPr>
        <w:tc>
          <w:tcPr>
            <w:tcW w:w="6115" w:type="dxa"/>
            <w:tcBorders>
              <w:top w:val="single" w:sz="4" w:space="0" w:color="auto"/>
              <w:left w:val="single" w:sz="4" w:space="0" w:color="auto"/>
              <w:bottom w:val="double" w:sz="6" w:space="0" w:color="auto"/>
              <w:right w:val="nil"/>
            </w:tcBorders>
            <w:shd w:val="clear" w:color="auto" w:fill="auto"/>
            <w:noWrap/>
            <w:vAlign w:val="center"/>
            <w:hideMark/>
          </w:tcPr>
          <w:p w14:paraId="53597EA7" w14:textId="0AEF87DF"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 xml:space="preserve">GDP (million LCU) </w:t>
            </w:r>
          </w:p>
        </w:tc>
        <w:tc>
          <w:tcPr>
            <w:tcW w:w="698" w:type="dxa"/>
            <w:tcBorders>
              <w:top w:val="single" w:sz="4" w:space="0" w:color="auto"/>
              <w:left w:val="nil"/>
              <w:bottom w:val="double" w:sz="6" w:space="0" w:color="auto"/>
              <w:right w:val="nil"/>
            </w:tcBorders>
            <w:shd w:val="clear" w:color="auto" w:fill="auto"/>
            <w:noWrap/>
            <w:vAlign w:val="center"/>
            <w:hideMark/>
          </w:tcPr>
          <w:p w14:paraId="2B5CBB7D" w14:textId="6775E2D6"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192,509</w:t>
            </w:r>
          </w:p>
        </w:tc>
        <w:tc>
          <w:tcPr>
            <w:tcW w:w="691" w:type="dxa"/>
            <w:tcBorders>
              <w:top w:val="single" w:sz="4" w:space="0" w:color="auto"/>
              <w:left w:val="nil"/>
              <w:bottom w:val="double" w:sz="6" w:space="0" w:color="auto"/>
              <w:right w:val="nil"/>
            </w:tcBorders>
            <w:shd w:val="clear" w:color="auto" w:fill="auto"/>
            <w:noWrap/>
            <w:vAlign w:val="center"/>
            <w:hideMark/>
          </w:tcPr>
          <w:p w14:paraId="1F9176B1" w14:textId="07AD8C12"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210,378</w:t>
            </w:r>
          </w:p>
        </w:tc>
        <w:tc>
          <w:tcPr>
            <w:tcW w:w="698" w:type="dxa"/>
            <w:tcBorders>
              <w:top w:val="single" w:sz="4" w:space="0" w:color="auto"/>
              <w:left w:val="nil"/>
              <w:bottom w:val="double" w:sz="6" w:space="0" w:color="auto"/>
              <w:right w:val="nil"/>
            </w:tcBorders>
            <w:shd w:val="clear" w:color="auto" w:fill="auto"/>
            <w:noWrap/>
            <w:vAlign w:val="center"/>
            <w:hideMark/>
          </w:tcPr>
          <w:p w14:paraId="2A831455" w14:textId="54D2C05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205,432</w:t>
            </w:r>
          </w:p>
        </w:tc>
        <w:tc>
          <w:tcPr>
            <w:tcW w:w="691" w:type="dxa"/>
            <w:tcBorders>
              <w:top w:val="single" w:sz="4" w:space="0" w:color="auto"/>
              <w:left w:val="nil"/>
              <w:bottom w:val="double" w:sz="6" w:space="0" w:color="auto"/>
              <w:right w:val="nil"/>
            </w:tcBorders>
            <w:shd w:val="clear" w:color="auto" w:fill="auto"/>
            <w:noWrap/>
            <w:vAlign w:val="center"/>
            <w:hideMark/>
          </w:tcPr>
          <w:p w14:paraId="01AFC4EB" w14:textId="3C843D2E"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232,500</w:t>
            </w:r>
          </w:p>
        </w:tc>
        <w:tc>
          <w:tcPr>
            <w:tcW w:w="691" w:type="dxa"/>
            <w:tcBorders>
              <w:top w:val="single" w:sz="4" w:space="0" w:color="auto"/>
              <w:left w:val="nil"/>
              <w:bottom w:val="double" w:sz="6" w:space="0" w:color="auto"/>
              <w:right w:val="single" w:sz="4" w:space="0" w:color="auto"/>
            </w:tcBorders>
            <w:shd w:val="clear" w:color="auto" w:fill="auto"/>
            <w:noWrap/>
            <w:vAlign w:val="center"/>
            <w:hideMark/>
          </w:tcPr>
          <w:p w14:paraId="4F221C26" w14:textId="08BAAE40"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255,600</w:t>
            </w:r>
          </w:p>
        </w:tc>
      </w:tr>
      <w:tr w:rsidR="00957EC6" w:rsidRPr="00957EC6" w14:paraId="1616613A" w14:textId="77777777" w:rsidTr="008C76F5">
        <w:trPr>
          <w:trHeight w:val="288"/>
        </w:trPr>
        <w:tc>
          <w:tcPr>
            <w:tcW w:w="6115" w:type="dxa"/>
            <w:tcBorders>
              <w:top w:val="single" w:sz="4" w:space="0" w:color="auto"/>
              <w:left w:val="single" w:sz="4" w:space="0" w:color="auto"/>
              <w:bottom w:val="double" w:sz="6" w:space="0" w:color="auto"/>
              <w:right w:val="nil"/>
            </w:tcBorders>
            <w:shd w:val="clear" w:color="auto" w:fill="auto"/>
            <w:noWrap/>
            <w:vAlign w:val="center"/>
            <w:hideMark/>
          </w:tcPr>
          <w:p w14:paraId="540EDAE9"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GDP Growth</w:t>
            </w:r>
          </w:p>
        </w:tc>
        <w:tc>
          <w:tcPr>
            <w:tcW w:w="698" w:type="dxa"/>
            <w:tcBorders>
              <w:top w:val="single" w:sz="4" w:space="0" w:color="auto"/>
              <w:left w:val="nil"/>
              <w:bottom w:val="double" w:sz="6" w:space="0" w:color="auto"/>
              <w:right w:val="nil"/>
            </w:tcBorders>
            <w:shd w:val="clear" w:color="auto" w:fill="auto"/>
            <w:noWrap/>
            <w:vAlign w:val="center"/>
            <w:hideMark/>
          </w:tcPr>
          <w:p w14:paraId="58F0FC8D" w14:textId="77777777" w:rsidR="00957EC6" w:rsidRPr="00957EC6" w:rsidRDefault="00957EC6" w:rsidP="00FD11D9">
            <w:pPr>
              <w:spacing w:after="0" w:line="240" w:lineRule="auto"/>
              <w:ind w:firstLineChars="100" w:firstLine="160"/>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w:t>
            </w:r>
          </w:p>
        </w:tc>
        <w:tc>
          <w:tcPr>
            <w:tcW w:w="691" w:type="dxa"/>
            <w:tcBorders>
              <w:top w:val="single" w:sz="4" w:space="0" w:color="auto"/>
              <w:left w:val="nil"/>
              <w:bottom w:val="double" w:sz="6" w:space="0" w:color="auto"/>
              <w:right w:val="nil"/>
            </w:tcBorders>
            <w:shd w:val="clear" w:color="auto" w:fill="auto"/>
            <w:noWrap/>
            <w:vAlign w:val="center"/>
            <w:hideMark/>
          </w:tcPr>
          <w:p w14:paraId="30159A3F"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9.3%</w:t>
            </w:r>
          </w:p>
        </w:tc>
        <w:tc>
          <w:tcPr>
            <w:tcW w:w="698" w:type="dxa"/>
            <w:tcBorders>
              <w:top w:val="single" w:sz="4" w:space="0" w:color="auto"/>
              <w:left w:val="nil"/>
              <w:bottom w:val="double" w:sz="6" w:space="0" w:color="auto"/>
              <w:right w:val="nil"/>
            </w:tcBorders>
            <w:shd w:val="clear" w:color="auto" w:fill="auto"/>
            <w:noWrap/>
            <w:vAlign w:val="center"/>
            <w:hideMark/>
          </w:tcPr>
          <w:p w14:paraId="47CB2160"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-2.4%</w:t>
            </w:r>
          </w:p>
        </w:tc>
        <w:tc>
          <w:tcPr>
            <w:tcW w:w="691" w:type="dxa"/>
            <w:tcBorders>
              <w:top w:val="single" w:sz="4" w:space="0" w:color="auto"/>
              <w:left w:val="nil"/>
              <w:bottom w:val="double" w:sz="6" w:space="0" w:color="auto"/>
              <w:right w:val="nil"/>
            </w:tcBorders>
            <w:shd w:val="clear" w:color="auto" w:fill="auto"/>
            <w:noWrap/>
            <w:vAlign w:val="center"/>
            <w:hideMark/>
          </w:tcPr>
          <w:p w14:paraId="56CC4C72"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13.2%</w:t>
            </w:r>
          </w:p>
        </w:tc>
        <w:tc>
          <w:tcPr>
            <w:tcW w:w="691" w:type="dxa"/>
            <w:tcBorders>
              <w:top w:val="single" w:sz="4" w:space="0" w:color="auto"/>
              <w:left w:val="nil"/>
              <w:bottom w:val="double" w:sz="6" w:space="0" w:color="auto"/>
              <w:right w:val="single" w:sz="4" w:space="0" w:color="auto"/>
            </w:tcBorders>
            <w:shd w:val="clear" w:color="auto" w:fill="auto"/>
            <w:noWrap/>
            <w:vAlign w:val="center"/>
            <w:hideMark/>
          </w:tcPr>
          <w:p w14:paraId="769D92D1" w14:textId="77777777" w:rsidR="00957EC6" w:rsidRPr="00957EC6" w:rsidRDefault="00957EC6" w:rsidP="00FD11D9">
            <w:pPr>
              <w:spacing w:after="0" w:line="240" w:lineRule="auto"/>
              <w:jc w:val="both"/>
              <w:rPr>
                <w:rFonts w:ascii="Arial Narrow" w:eastAsia="Times New Roman" w:hAnsi="Arial Narrow" w:cs="Arial"/>
                <w:color w:val="000000"/>
                <w:sz w:val="16"/>
                <w:szCs w:val="16"/>
              </w:rPr>
            </w:pPr>
            <w:r w:rsidRPr="00957EC6">
              <w:rPr>
                <w:rFonts w:ascii="Arial Narrow" w:eastAsia="Times New Roman" w:hAnsi="Arial Narrow" w:cs="Arial"/>
                <w:color w:val="000000"/>
                <w:sz w:val="16"/>
                <w:szCs w:val="16"/>
              </w:rPr>
              <w:t>9.9%</w:t>
            </w:r>
          </w:p>
        </w:tc>
      </w:tr>
    </w:tbl>
    <w:p w14:paraId="6386BC21" w14:textId="77777777" w:rsidR="008C76F5" w:rsidRPr="00CB1E53" w:rsidRDefault="008C76F5" w:rsidP="00FD11D9">
      <w:pPr>
        <w:spacing w:after="0" w:line="240" w:lineRule="auto"/>
        <w:jc w:val="both"/>
        <w:rPr>
          <w:rFonts w:ascii="Segoe UI" w:hAnsi="Segoe UI" w:cs="Segoe UI"/>
          <w:sz w:val="16"/>
          <w:szCs w:val="16"/>
        </w:rPr>
      </w:pPr>
      <w:r w:rsidRPr="00CB1E53">
        <w:rPr>
          <w:rFonts w:ascii="Segoe UI" w:hAnsi="Segoe UI" w:cs="Segoe UI"/>
          <w:sz w:val="16"/>
          <w:szCs w:val="16"/>
        </w:rPr>
        <w:t xml:space="preserve">Note: </w:t>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p>
    <w:p w14:paraId="2DE7CB50" w14:textId="5E6456E1" w:rsidR="00A53411" w:rsidRDefault="008C76F5" w:rsidP="00FD11D9">
      <w:pPr>
        <w:spacing w:after="0" w:line="240" w:lineRule="auto"/>
        <w:jc w:val="both"/>
        <w:rPr>
          <w:rFonts w:ascii="Segoe UI" w:hAnsi="Segoe UI" w:cs="Segoe UI"/>
          <w:sz w:val="16"/>
          <w:szCs w:val="16"/>
        </w:rPr>
      </w:pPr>
      <w:r w:rsidRPr="00CB1E53">
        <w:rPr>
          <w:rFonts w:ascii="Segoe UI" w:hAnsi="Segoe UI" w:cs="Segoe UI"/>
          <w:sz w:val="16"/>
          <w:szCs w:val="16"/>
        </w:rPr>
        <w:t xml:space="preserve">(1) Estimated costs in million </w:t>
      </w:r>
      <w:r w:rsidR="00A53411">
        <w:rPr>
          <w:rFonts w:ascii="Segoe UI" w:hAnsi="Segoe UI" w:cs="Segoe UI"/>
          <w:sz w:val="16"/>
          <w:szCs w:val="16"/>
        </w:rPr>
        <w:t>MDL</w:t>
      </w:r>
    </w:p>
    <w:p w14:paraId="42EC20D2" w14:textId="74F9CAD9" w:rsidR="008C76F5" w:rsidRPr="00CB1E53" w:rsidRDefault="008C76F5" w:rsidP="00FD11D9">
      <w:pPr>
        <w:spacing w:after="0" w:line="240" w:lineRule="auto"/>
        <w:jc w:val="both"/>
        <w:rPr>
          <w:rFonts w:ascii="Segoe UI" w:hAnsi="Segoe UI" w:cs="Segoe UI"/>
          <w:sz w:val="16"/>
          <w:szCs w:val="16"/>
        </w:rPr>
      </w:pP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p>
    <w:p w14:paraId="77B3E22A" w14:textId="138E7F71" w:rsidR="008C76F5" w:rsidRPr="00CB1E53" w:rsidRDefault="008C76F5" w:rsidP="00FD11D9">
      <w:pPr>
        <w:spacing w:after="0" w:line="240" w:lineRule="auto"/>
        <w:jc w:val="both"/>
        <w:rPr>
          <w:rFonts w:ascii="Segoe UI" w:hAnsi="Segoe UI" w:cs="Segoe UI"/>
          <w:sz w:val="16"/>
          <w:szCs w:val="16"/>
        </w:rPr>
      </w:pPr>
      <w:r w:rsidRPr="00CB1E53">
        <w:rPr>
          <w:rFonts w:ascii="Segoe UI" w:hAnsi="Segoe UI" w:cs="Segoe UI"/>
          <w:sz w:val="16"/>
          <w:szCs w:val="16"/>
        </w:rPr>
        <w:t>(2) Projections based on GDP growth are</w:t>
      </w:r>
      <w:r w:rsidR="00CC75A3" w:rsidRPr="00CB1E53">
        <w:rPr>
          <w:rFonts w:ascii="Segoe UI" w:hAnsi="Segoe UI" w:cs="Segoe UI"/>
          <w:sz w:val="16"/>
          <w:szCs w:val="16"/>
        </w:rPr>
        <w:t xml:space="preserve"> shaded.</w:t>
      </w:r>
      <w:r w:rsidRPr="00CB1E53">
        <w:rPr>
          <w:rFonts w:ascii="Segoe UI" w:hAnsi="Segoe UI" w:cs="Segoe UI"/>
          <w:sz w:val="16"/>
          <w:szCs w:val="16"/>
        </w:rPr>
        <w:tab/>
      </w:r>
      <w:r w:rsidRPr="00CB1E53">
        <w:rPr>
          <w:rFonts w:ascii="Segoe UI" w:hAnsi="Segoe UI" w:cs="Segoe UI"/>
          <w:sz w:val="16"/>
          <w:szCs w:val="16"/>
        </w:rPr>
        <w:tab/>
      </w:r>
      <w:r w:rsidRPr="00CB1E53">
        <w:rPr>
          <w:rFonts w:ascii="Segoe UI" w:hAnsi="Segoe UI" w:cs="Segoe UI"/>
          <w:sz w:val="16"/>
          <w:szCs w:val="16"/>
        </w:rPr>
        <w:tab/>
      </w:r>
    </w:p>
    <w:p w14:paraId="009A7B73" w14:textId="7CD7595E" w:rsidR="007B27B9" w:rsidRPr="00CB1E53" w:rsidRDefault="007B27B9" w:rsidP="00FD11D9">
      <w:pPr>
        <w:spacing w:after="240" w:line="264" w:lineRule="auto"/>
        <w:jc w:val="both"/>
        <w:rPr>
          <w:rFonts w:ascii="Segoe UI" w:hAnsi="Segoe UI" w:cs="Segoe UI"/>
          <w:sz w:val="21"/>
          <w:szCs w:val="21"/>
        </w:rPr>
      </w:pPr>
    </w:p>
    <w:p w14:paraId="02C12257" w14:textId="77777777" w:rsidR="00F77F6D" w:rsidRPr="00CB1E53" w:rsidRDefault="00F77F6D" w:rsidP="00FD11D9">
      <w:pPr>
        <w:spacing w:after="240" w:line="264" w:lineRule="auto"/>
        <w:jc w:val="both"/>
        <w:rPr>
          <w:rFonts w:ascii="Segoe UI" w:hAnsi="Segoe UI" w:cs="Segoe UI"/>
          <w:b/>
          <w:bCs/>
          <w:sz w:val="21"/>
          <w:szCs w:val="21"/>
        </w:rPr>
      </w:pPr>
      <w:r w:rsidRPr="00CB1E53">
        <w:rPr>
          <w:rFonts w:ascii="Segoe UI" w:hAnsi="Segoe UI" w:cs="Segoe UI"/>
          <w:b/>
          <w:bCs/>
          <w:sz w:val="21"/>
          <w:szCs w:val="21"/>
        </w:rPr>
        <w:br w:type="page"/>
      </w:r>
    </w:p>
    <w:p w14:paraId="57A94C8E" w14:textId="6A4590EA" w:rsidR="00F77F6D" w:rsidRPr="00CB1E53" w:rsidRDefault="008235BF" w:rsidP="00FD11D9">
      <w:pPr>
        <w:pStyle w:val="Heading2"/>
        <w:numPr>
          <w:ilvl w:val="0"/>
          <w:numId w:val="14"/>
        </w:numPr>
        <w:ind w:left="720"/>
        <w:jc w:val="both"/>
      </w:pPr>
      <w:bookmarkStart w:id="39" w:name="_Toc99298776"/>
      <w:r w:rsidRPr="00CB1E53">
        <w:lastRenderedPageBreak/>
        <w:t xml:space="preserve">The </w:t>
      </w:r>
      <w:r w:rsidR="007B27B9" w:rsidRPr="00CB1E53">
        <w:t>W</w:t>
      </w:r>
      <w:r w:rsidR="007F2858" w:rsidRPr="00CB1E53">
        <w:t>ay forward</w:t>
      </w:r>
      <w:bookmarkEnd w:id="39"/>
    </w:p>
    <w:p w14:paraId="7EA03280" w14:textId="6EFAA8F5" w:rsidR="008235BF" w:rsidRPr="00CB1E53" w:rsidRDefault="008235BF" w:rsidP="00FD11D9">
      <w:pPr>
        <w:spacing w:after="240" w:line="264" w:lineRule="auto"/>
        <w:jc w:val="both"/>
        <w:rPr>
          <w:rFonts w:ascii="Segoe UI" w:hAnsi="Segoe UI" w:cs="Segoe UI"/>
          <w:sz w:val="21"/>
          <w:szCs w:val="21"/>
        </w:rPr>
      </w:pPr>
      <w:r w:rsidRPr="00CB1E53">
        <w:rPr>
          <w:rFonts w:ascii="Segoe UI" w:hAnsi="Segoe UI" w:cs="Segoe UI"/>
          <w:sz w:val="21"/>
          <w:szCs w:val="21"/>
        </w:rPr>
        <w:t xml:space="preserve">As experience and capacity for assessing and reporting on TEs develops, TEs evaluation of other key tax instruments will be advanced by the MoF. </w:t>
      </w:r>
      <w:r w:rsidR="00482047" w:rsidRPr="00CB1E53">
        <w:rPr>
          <w:rFonts w:ascii="Segoe UI" w:hAnsi="Segoe UI" w:cs="Segoe UI"/>
          <w:sz w:val="21"/>
          <w:szCs w:val="21"/>
        </w:rPr>
        <w:t xml:space="preserve">Over the short to medium term, the TEs assessment will be broadened to include excise taxes, customs duties, and data permitting, taxes on movable and immovable property. </w:t>
      </w:r>
      <w:r w:rsidRPr="00CB1E53">
        <w:rPr>
          <w:rFonts w:ascii="Segoe UI" w:hAnsi="Segoe UI" w:cs="Segoe UI"/>
          <w:sz w:val="21"/>
          <w:szCs w:val="21"/>
        </w:rPr>
        <w:t>In addition, the estimation methods for BIT, PIT and VAT will be refined, attempting more granular analysis such as which economic sectors benefit most from tax relief measures. Tax return data permitting, future analysis will also seek to analyze the important distributional effects of tax expenditures.</w:t>
      </w:r>
    </w:p>
    <w:p w14:paraId="62BE4D29" w14:textId="7E0C2B14" w:rsidR="008235BF" w:rsidRPr="00CB1E53" w:rsidRDefault="008235BF" w:rsidP="00FD11D9">
      <w:pPr>
        <w:spacing w:after="240" w:line="264" w:lineRule="auto"/>
        <w:jc w:val="both"/>
        <w:rPr>
          <w:rFonts w:ascii="Segoe UI" w:hAnsi="Segoe UI" w:cs="Segoe UI"/>
          <w:sz w:val="21"/>
          <w:szCs w:val="21"/>
        </w:rPr>
      </w:pPr>
      <w:r w:rsidRPr="00CB1E53">
        <w:rPr>
          <w:rFonts w:ascii="Segoe UI" w:hAnsi="Segoe UI" w:cs="Segoe UI"/>
          <w:sz w:val="21"/>
          <w:szCs w:val="21"/>
        </w:rPr>
        <w:t>One of the key objectives of TE reporting is to improve the transparency in fiscal management and provide relevant analysis to inform decision making and legislation. Another benefit of regularly estimating TEs is that it implicitly creates a catalog of potential measures that can be used to raise revenues when needed. For these reasons, the MoF will commit itself to ensuring the integrity of the estimates. It is important that the MoF will be responsible for delineating or defining the variations of tax measures vis-à-vis the benchmark regime as defined in the TEAR. Furthermore, data availability is key for the exercise and data organization and provision from key agencies and ministries should be well documented and legally binding. The MoF should continue to have oversight over legislation that involves the introduction of TEs. A well-administered system of TEs with careful oversight plays an important role in promoting fiscal transparency and financial control by the government.</w:t>
      </w:r>
    </w:p>
    <w:p w14:paraId="39A3170E" w14:textId="77777777" w:rsidR="008235BF" w:rsidRPr="00CB1E53" w:rsidRDefault="008235BF" w:rsidP="00FD11D9">
      <w:pPr>
        <w:spacing w:after="240" w:line="264" w:lineRule="auto"/>
        <w:jc w:val="both"/>
        <w:rPr>
          <w:rFonts w:ascii="Segoe UI" w:hAnsi="Segoe UI" w:cs="Segoe UI"/>
          <w:sz w:val="21"/>
          <w:szCs w:val="21"/>
        </w:rPr>
      </w:pPr>
      <w:r w:rsidRPr="00CB1E53">
        <w:rPr>
          <w:rFonts w:ascii="Segoe UI" w:hAnsi="Segoe UI" w:cs="Segoe UI"/>
          <w:sz w:val="21"/>
          <w:szCs w:val="21"/>
        </w:rPr>
        <w:t>As to costing of forgone revenues future analytical work may also entail the adoption of a more granular approach to the reporting of forgone revenues per individual TEs—tax returns may need further refinement to capture such difficult to estimate TEs. The TEAR may include in future a ranking of costings of individual TEs. Moving towards some basic evaluation of TEs, it may be useful over the medium term for purposes of the STS to start capturing qualitatively and quantitatively TE administrative and compliance costs, especially where the STS is challenged with respect to resources and capacity in monitoring and administering the qualifying incentive criteria—this could assist in the design of future TEs in order to reduce the risk of tax leakage.</w:t>
      </w:r>
    </w:p>
    <w:p w14:paraId="14EAB87C" w14:textId="1D5517E0" w:rsidR="00F77F6D" w:rsidRPr="00CB1E53" w:rsidRDefault="00F77F6D" w:rsidP="00FD11D9">
      <w:pPr>
        <w:spacing w:after="240" w:line="264" w:lineRule="auto"/>
        <w:jc w:val="both"/>
        <w:rPr>
          <w:rFonts w:ascii="Segoe UI" w:hAnsi="Segoe UI" w:cs="Segoe UI"/>
          <w:b/>
          <w:bCs/>
          <w:sz w:val="21"/>
          <w:szCs w:val="21"/>
        </w:rPr>
      </w:pPr>
      <w:r w:rsidRPr="00CB1E53">
        <w:rPr>
          <w:rFonts w:ascii="Segoe UI" w:hAnsi="Segoe UI" w:cs="Segoe UI"/>
          <w:b/>
          <w:bCs/>
          <w:sz w:val="21"/>
          <w:szCs w:val="21"/>
        </w:rPr>
        <w:br w:type="page"/>
      </w:r>
    </w:p>
    <w:p w14:paraId="0BB418CF" w14:textId="1C3AFF9B" w:rsidR="00F77F6D" w:rsidRPr="00CB1E53" w:rsidRDefault="00F77F6D" w:rsidP="00FD11D9">
      <w:pPr>
        <w:pStyle w:val="Heading2"/>
        <w:jc w:val="both"/>
      </w:pPr>
      <w:bookmarkStart w:id="40" w:name="_Toc99298777"/>
      <w:r w:rsidRPr="00CB1E53">
        <w:lastRenderedPageBreak/>
        <w:t>References</w:t>
      </w:r>
      <w:bookmarkEnd w:id="40"/>
    </w:p>
    <w:p w14:paraId="4C788BF1" w14:textId="4505164D" w:rsidR="00CB14E1" w:rsidRPr="00CB1E53" w:rsidRDefault="00CB14E1"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Coady, D., Parry, I., Sears, L. and Chang, B., (2015), </w:t>
      </w:r>
      <w:hyperlink r:id="rId17" w:history="1">
        <w:r w:rsidRPr="00CB1E53">
          <w:rPr>
            <w:rStyle w:val="Hyperlink"/>
            <w:rFonts w:ascii="Segoe UI" w:hAnsi="Segoe UI" w:cs="Segoe UI"/>
            <w:sz w:val="21"/>
            <w:szCs w:val="21"/>
          </w:rPr>
          <w:t>How Large Are Global Energy Subsidies?</w:t>
        </w:r>
      </w:hyperlink>
      <w:r w:rsidRPr="00CB1E53">
        <w:rPr>
          <w:rFonts w:ascii="Segoe UI" w:hAnsi="Segoe UI" w:cs="Segoe UI"/>
          <w:color w:val="000000"/>
          <w:sz w:val="21"/>
          <w:szCs w:val="21"/>
        </w:rPr>
        <w:t>, IMF Working Paper 15/105, International Monetary Fund, Washington, DC.</w:t>
      </w:r>
    </w:p>
    <w:p w14:paraId="0AAB59F1" w14:textId="24E3A689" w:rsidR="009706D0" w:rsidRPr="00CB1E53" w:rsidRDefault="005542DF"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Heady, C. and Mansour, M. (2019), </w:t>
      </w:r>
      <w:hyperlink r:id="rId18" w:history="1">
        <w:r w:rsidRPr="00CB1E53">
          <w:rPr>
            <w:rStyle w:val="Hyperlink"/>
            <w:rFonts w:ascii="Segoe UI" w:hAnsi="Segoe UI" w:cs="Segoe UI"/>
            <w:sz w:val="21"/>
            <w:szCs w:val="21"/>
          </w:rPr>
          <w:t>Tax Expenditure Reporting and Its Use in Fiscal Management. A Guide for Developing Economies</w:t>
        </w:r>
      </w:hyperlink>
      <w:r w:rsidR="004B0260" w:rsidRPr="00CB1E53">
        <w:rPr>
          <w:rFonts w:ascii="Segoe UI" w:hAnsi="Segoe UI" w:cs="Segoe UI"/>
          <w:color w:val="000000"/>
          <w:sz w:val="21"/>
          <w:szCs w:val="21"/>
        </w:rPr>
        <w:t>,</w:t>
      </w:r>
      <w:r w:rsidRPr="00CB1E53">
        <w:rPr>
          <w:rFonts w:ascii="Segoe UI" w:hAnsi="Segoe UI" w:cs="Segoe UI"/>
          <w:color w:val="000000"/>
          <w:sz w:val="21"/>
          <w:szCs w:val="21"/>
        </w:rPr>
        <w:t xml:space="preserve"> How To Note, International Monetary Fund, Washington, D.C.</w:t>
      </w:r>
    </w:p>
    <w:p w14:paraId="6F12CBC7" w14:textId="59C0D1E5" w:rsidR="00124800" w:rsidRPr="00CB1E53" w:rsidRDefault="00124800"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EC (2014), </w:t>
      </w:r>
      <w:hyperlink r:id="rId19" w:history="1">
        <w:r w:rsidRPr="00CB1E53">
          <w:rPr>
            <w:rStyle w:val="Hyperlink"/>
            <w:rFonts w:ascii="Segoe UI" w:hAnsi="Segoe UI" w:cs="Segoe UI"/>
            <w:sz w:val="21"/>
            <w:szCs w:val="21"/>
          </w:rPr>
          <w:t>Tax expenditures in direct taxation in EU Member States</w:t>
        </w:r>
      </w:hyperlink>
      <w:r w:rsidRPr="00CB1E53">
        <w:rPr>
          <w:rFonts w:ascii="Segoe UI" w:hAnsi="Segoe UI" w:cs="Segoe UI"/>
          <w:color w:val="000000"/>
          <w:sz w:val="21"/>
          <w:szCs w:val="21"/>
        </w:rPr>
        <w:t>, Occasional Papers 207, December 2014, European Commission, Belgium.</w:t>
      </w:r>
    </w:p>
    <w:p w14:paraId="62447E04" w14:textId="4C518973" w:rsidR="00BA7D32" w:rsidRPr="00CB1E53" w:rsidRDefault="00BA7D32"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IMF (2015), Options for Low Income Countries’ Effective and Efficient Use of Tax Incentives for Investment, a </w:t>
      </w:r>
      <w:hyperlink r:id="rId20" w:history="1">
        <w:r w:rsidRPr="00CB1E53">
          <w:rPr>
            <w:rStyle w:val="Hyperlink"/>
            <w:rFonts w:ascii="Segoe UI" w:hAnsi="Segoe UI" w:cs="Segoe UI"/>
            <w:sz w:val="21"/>
            <w:szCs w:val="21"/>
          </w:rPr>
          <w:t>Report</w:t>
        </w:r>
      </w:hyperlink>
      <w:r w:rsidRPr="00CB1E53">
        <w:rPr>
          <w:rFonts w:ascii="Segoe UI" w:hAnsi="Segoe UI" w:cs="Segoe UI"/>
          <w:color w:val="000000"/>
          <w:sz w:val="21"/>
          <w:szCs w:val="21"/>
        </w:rPr>
        <w:t xml:space="preserve"> by Staff and an accompanying </w:t>
      </w:r>
      <w:hyperlink r:id="rId21" w:history="1">
        <w:r w:rsidRPr="00CB1E53">
          <w:rPr>
            <w:rStyle w:val="Hyperlink"/>
            <w:rFonts w:ascii="Segoe UI" w:hAnsi="Segoe UI" w:cs="Segoe UI"/>
            <w:sz w:val="21"/>
            <w:szCs w:val="21"/>
          </w:rPr>
          <w:t>Background Document</w:t>
        </w:r>
      </w:hyperlink>
      <w:r w:rsidRPr="00CB1E53">
        <w:rPr>
          <w:rFonts w:ascii="Segoe UI" w:hAnsi="Segoe UI" w:cs="Segoe UI"/>
          <w:color w:val="000000"/>
          <w:sz w:val="21"/>
          <w:szCs w:val="21"/>
        </w:rPr>
        <w:t>, International Monetary Fund, Washington, D.C.</w:t>
      </w:r>
    </w:p>
    <w:p w14:paraId="136D39BD" w14:textId="6530A1B7" w:rsidR="00C95FA5" w:rsidRPr="00CB1E53" w:rsidRDefault="00C95FA5"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IMF (2022), Republic of Moldova, Staff Report </w:t>
      </w:r>
      <w:r w:rsidR="00712BD4" w:rsidRPr="00CB1E53">
        <w:rPr>
          <w:rFonts w:ascii="Segoe UI" w:hAnsi="Segoe UI" w:cs="Segoe UI"/>
          <w:color w:val="000000"/>
          <w:sz w:val="21"/>
          <w:szCs w:val="21"/>
        </w:rPr>
        <w:t>f</w:t>
      </w:r>
      <w:r w:rsidRPr="00CB1E53">
        <w:rPr>
          <w:rFonts w:ascii="Segoe UI" w:hAnsi="Segoe UI" w:cs="Segoe UI"/>
          <w:color w:val="000000"/>
          <w:sz w:val="21"/>
          <w:szCs w:val="21"/>
        </w:rPr>
        <w:t xml:space="preserve">or </w:t>
      </w:r>
      <w:r w:rsidR="00712BD4" w:rsidRPr="00CB1E53">
        <w:rPr>
          <w:rFonts w:ascii="Segoe UI" w:hAnsi="Segoe UI" w:cs="Segoe UI"/>
          <w:color w:val="000000"/>
          <w:sz w:val="21"/>
          <w:szCs w:val="21"/>
        </w:rPr>
        <w:t>t</w:t>
      </w:r>
      <w:r w:rsidRPr="00CB1E53">
        <w:rPr>
          <w:rFonts w:ascii="Segoe UI" w:hAnsi="Segoe UI" w:cs="Segoe UI"/>
          <w:color w:val="000000"/>
          <w:sz w:val="21"/>
          <w:szCs w:val="21"/>
        </w:rPr>
        <w:t xml:space="preserve">he 2021 Article IV Consultation </w:t>
      </w:r>
      <w:r w:rsidR="00712BD4" w:rsidRPr="00CB1E53">
        <w:rPr>
          <w:rFonts w:ascii="Segoe UI" w:hAnsi="Segoe UI" w:cs="Segoe UI"/>
          <w:color w:val="000000"/>
          <w:sz w:val="21"/>
          <w:szCs w:val="21"/>
        </w:rPr>
        <w:t>a</w:t>
      </w:r>
      <w:r w:rsidRPr="00CB1E53">
        <w:rPr>
          <w:rFonts w:ascii="Segoe UI" w:hAnsi="Segoe UI" w:cs="Segoe UI"/>
          <w:color w:val="000000"/>
          <w:sz w:val="21"/>
          <w:szCs w:val="21"/>
        </w:rPr>
        <w:t xml:space="preserve">nd Requests </w:t>
      </w:r>
      <w:r w:rsidR="00712BD4" w:rsidRPr="00CB1E53">
        <w:rPr>
          <w:rFonts w:ascii="Segoe UI" w:hAnsi="Segoe UI" w:cs="Segoe UI"/>
          <w:color w:val="000000"/>
          <w:sz w:val="21"/>
          <w:szCs w:val="21"/>
        </w:rPr>
        <w:t>f</w:t>
      </w:r>
      <w:r w:rsidRPr="00CB1E53">
        <w:rPr>
          <w:rFonts w:ascii="Segoe UI" w:hAnsi="Segoe UI" w:cs="Segoe UI"/>
          <w:color w:val="000000"/>
          <w:sz w:val="21"/>
          <w:szCs w:val="21"/>
        </w:rPr>
        <w:t xml:space="preserve">or </w:t>
      </w:r>
      <w:r w:rsidR="00712BD4" w:rsidRPr="00CB1E53">
        <w:rPr>
          <w:rFonts w:ascii="Segoe UI" w:hAnsi="Segoe UI" w:cs="Segoe UI"/>
          <w:color w:val="000000"/>
          <w:sz w:val="21"/>
          <w:szCs w:val="21"/>
        </w:rPr>
        <w:t>a</w:t>
      </w:r>
      <w:r w:rsidRPr="00CB1E53">
        <w:rPr>
          <w:rFonts w:ascii="Segoe UI" w:hAnsi="Segoe UI" w:cs="Segoe UI"/>
          <w:color w:val="000000"/>
          <w:sz w:val="21"/>
          <w:szCs w:val="21"/>
        </w:rPr>
        <w:t>n Arrangement Under the Extended Fund Facility and an Arrangement Under the Extended Credit Facility, IMF Country Report No. 22/1, January 2022, International Monetary Fund, Washington, D.C.</w:t>
      </w:r>
    </w:p>
    <w:p w14:paraId="1D9F6EB3" w14:textId="797EE03B" w:rsidR="005542DF" w:rsidRPr="00CB1E53" w:rsidRDefault="005542DF"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OECD (2010) </w:t>
      </w:r>
      <w:hyperlink r:id="rId22" w:history="1">
        <w:r w:rsidRPr="00CB1E53">
          <w:rPr>
            <w:rStyle w:val="Hyperlink"/>
            <w:rFonts w:ascii="Segoe UI" w:hAnsi="Segoe UI" w:cs="Segoe UI"/>
            <w:sz w:val="21"/>
            <w:szCs w:val="21"/>
          </w:rPr>
          <w:t>Tax Expenditures in OECD Countries</w:t>
        </w:r>
      </w:hyperlink>
      <w:r w:rsidRPr="00CB1E53">
        <w:rPr>
          <w:rFonts w:ascii="Segoe UI" w:hAnsi="Segoe UI" w:cs="Segoe UI"/>
          <w:color w:val="000000"/>
          <w:sz w:val="21"/>
          <w:szCs w:val="21"/>
        </w:rPr>
        <w:t>, OECD Publishing, Paris</w:t>
      </w:r>
      <w:r w:rsidR="00857B30" w:rsidRPr="00CB1E53">
        <w:rPr>
          <w:rFonts w:ascii="Segoe UI" w:hAnsi="Segoe UI" w:cs="Segoe UI"/>
          <w:color w:val="000000"/>
          <w:sz w:val="21"/>
          <w:szCs w:val="21"/>
        </w:rPr>
        <w:t>, France.</w:t>
      </w:r>
    </w:p>
    <w:p w14:paraId="31784458" w14:textId="0F1B11B5" w:rsidR="00BA7D32" w:rsidRPr="00CB1E53" w:rsidRDefault="00BA7D32" w:rsidP="00FD11D9">
      <w:pPr>
        <w:autoSpaceDE w:val="0"/>
        <w:autoSpaceDN w:val="0"/>
        <w:adjustRightInd w:val="0"/>
        <w:spacing w:after="240"/>
        <w:ind w:left="540" w:hanging="540"/>
        <w:jc w:val="both"/>
        <w:rPr>
          <w:rFonts w:ascii="Segoe UI" w:hAnsi="Segoe UI" w:cs="Segoe UI"/>
          <w:color w:val="000000"/>
          <w:sz w:val="21"/>
          <w:szCs w:val="21"/>
        </w:rPr>
      </w:pPr>
      <w:r w:rsidRPr="00CB1E53">
        <w:rPr>
          <w:rFonts w:ascii="Segoe UI" w:hAnsi="Segoe UI" w:cs="Segoe UI"/>
          <w:color w:val="000000"/>
          <w:sz w:val="21"/>
          <w:szCs w:val="21"/>
        </w:rPr>
        <w:t xml:space="preserve">Redonda, A. and </w:t>
      </w:r>
      <w:proofErr w:type="spellStart"/>
      <w:r w:rsidRPr="00CB1E53">
        <w:rPr>
          <w:rFonts w:ascii="Segoe UI" w:hAnsi="Segoe UI" w:cs="Segoe UI"/>
          <w:color w:val="000000"/>
          <w:sz w:val="21"/>
          <w:szCs w:val="21"/>
        </w:rPr>
        <w:t>Neubig</w:t>
      </w:r>
      <w:proofErr w:type="spellEnd"/>
      <w:r w:rsidRPr="00CB1E53">
        <w:rPr>
          <w:rFonts w:ascii="Segoe UI" w:hAnsi="Segoe UI" w:cs="Segoe UI"/>
          <w:color w:val="000000"/>
          <w:sz w:val="21"/>
          <w:szCs w:val="21"/>
        </w:rPr>
        <w:t xml:space="preserve">, T., (2018), </w:t>
      </w:r>
      <w:hyperlink r:id="rId23" w:history="1">
        <w:r w:rsidRPr="00CB1E53">
          <w:rPr>
            <w:rStyle w:val="Hyperlink"/>
            <w:rFonts w:ascii="Segoe UI" w:hAnsi="Segoe UI" w:cs="Segoe UI"/>
            <w:sz w:val="21"/>
            <w:szCs w:val="21"/>
          </w:rPr>
          <w:t>Assessing Tax Expenditure Reporting in G20 and OECD Economies</w:t>
        </w:r>
      </w:hyperlink>
      <w:r w:rsidRPr="00CB1E53">
        <w:rPr>
          <w:rFonts w:ascii="Segoe UI" w:hAnsi="Segoe UI" w:cs="Segoe UI"/>
          <w:color w:val="000000"/>
          <w:sz w:val="21"/>
          <w:szCs w:val="21"/>
        </w:rPr>
        <w:t>, November 2018, Discussion Note 2018/3, Council on Economic Policies.</w:t>
      </w:r>
    </w:p>
    <w:p w14:paraId="172873AD" w14:textId="7917E6E3" w:rsidR="00F77F6D" w:rsidRPr="00CB1E53" w:rsidRDefault="00F77F6D" w:rsidP="00FD11D9">
      <w:pPr>
        <w:autoSpaceDE w:val="0"/>
        <w:autoSpaceDN w:val="0"/>
        <w:adjustRightInd w:val="0"/>
        <w:spacing w:after="240"/>
        <w:jc w:val="both"/>
        <w:rPr>
          <w:rFonts w:ascii="Segoe UI" w:hAnsi="Segoe UI" w:cs="Segoe UI"/>
          <w:b/>
          <w:bCs/>
          <w:sz w:val="20"/>
          <w:szCs w:val="20"/>
        </w:rPr>
      </w:pPr>
      <w:r w:rsidRPr="00CB1E53">
        <w:rPr>
          <w:rFonts w:ascii="Segoe UI" w:hAnsi="Segoe UI" w:cs="Segoe UI"/>
          <w:b/>
          <w:bCs/>
          <w:sz w:val="20"/>
          <w:szCs w:val="20"/>
        </w:rPr>
        <w:br w:type="page"/>
      </w:r>
    </w:p>
    <w:p w14:paraId="284B7436" w14:textId="32EC09A9" w:rsidR="00F77F6D" w:rsidRPr="00CB1E53" w:rsidRDefault="00F77F6D" w:rsidP="00FD11D9">
      <w:pPr>
        <w:spacing w:before="20" w:after="20" w:line="240" w:lineRule="auto"/>
        <w:jc w:val="both"/>
        <w:rPr>
          <w:rFonts w:ascii="Segoe UI" w:hAnsi="Segoe UI" w:cs="Segoe UI"/>
          <w:b/>
          <w:bCs/>
          <w:sz w:val="18"/>
          <w:szCs w:val="18"/>
        </w:rPr>
      </w:pPr>
    </w:p>
    <w:p w14:paraId="71B5FD1A" w14:textId="77853E55" w:rsidR="00F77F6D" w:rsidRPr="00CB1E53" w:rsidRDefault="00F77F6D" w:rsidP="00FD11D9">
      <w:pPr>
        <w:pStyle w:val="Heading2"/>
        <w:spacing w:before="20" w:after="20" w:line="240" w:lineRule="auto"/>
        <w:jc w:val="both"/>
        <w:rPr>
          <w:rFonts w:ascii="Segoe UI" w:hAnsi="Segoe UI" w:cs="Segoe UI"/>
          <w:sz w:val="18"/>
          <w:szCs w:val="18"/>
        </w:rPr>
      </w:pPr>
      <w:bookmarkStart w:id="41" w:name="_Toc99298778"/>
      <w:r w:rsidRPr="00CB1E53">
        <w:rPr>
          <w:rFonts w:ascii="Segoe UI" w:hAnsi="Segoe UI" w:cs="Segoe UI"/>
          <w:sz w:val="18"/>
          <w:szCs w:val="18"/>
        </w:rPr>
        <w:t xml:space="preserve">Appendix </w:t>
      </w:r>
      <w:r w:rsidR="007C2B84" w:rsidRPr="00CB1E53">
        <w:rPr>
          <w:rFonts w:ascii="Segoe UI" w:hAnsi="Segoe UI" w:cs="Segoe UI"/>
          <w:sz w:val="18"/>
          <w:szCs w:val="18"/>
        </w:rPr>
        <w:t>1</w:t>
      </w:r>
      <w:r w:rsidRPr="00CB1E53">
        <w:rPr>
          <w:rFonts w:ascii="Segoe UI" w:hAnsi="Segoe UI" w:cs="Segoe UI"/>
          <w:sz w:val="18"/>
          <w:szCs w:val="18"/>
        </w:rPr>
        <w:t>:</w:t>
      </w:r>
      <w:r w:rsidRPr="00CB1E53">
        <w:rPr>
          <w:rFonts w:ascii="Segoe UI" w:hAnsi="Segoe UI" w:cs="Segoe UI"/>
          <w:sz w:val="18"/>
          <w:szCs w:val="18"/>
        </w:rPr>
        <w:tab/>
        <w:t>PIT Tax Expenditures</w:t>
      </w:r>
      <w:r w:rsidR="00C341F0" w:rsidRPr="00CB1E53">
        <w:rPr>
          <w:rFonts w:ascii="Segoe UI" w:hAnsi="Segoe UI" w:cs="Segoe UI"/>
          <w:sz w:val="18"/>
          <w:szCs w:val="18"/>
        </w:rPr>
        <w:t xml:space="preserve"> Summary Sheets</w:t>
      </w:r>
      <w:bookmarkEnd w:id="41"/>
    </w:p>
    <w:p w14:paraId="071D5065" w14:textId="3E11BF03" w:rsidR="00280E00" w:rsidRPr="00CB1E53" w:rsidRDefault="00280E00" w:rsidP="00FD11D9">
      <w:pPr>
        <w:spacing w:before="20" w:after="20" w:line="240" w:lineRule="auto"/>
        <w:jc w:val="both"/>
        <w:rPr>
          <w:rFonts w:ascii="Segoe UI" w:hAnsi="Segoe UI" w:cs="Segoe UI"/>
          <w:sz w:val="18"/>
          <w:szCs w:val="18"/>
        </w:rPr>
      </w:pPr>
      <w:bookmarkStart w:id="42" w:name="_Hlk96084039"/>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7E0B082E" w14:textId="77777777" w:rsidTr="00280E00">
        <w:tc>
          <w:tcPr>
            <w:tcW w:w="9625" w:type="dxa"/>
            <w:gridSpan w:val="7"/>
            <w:shd w:val="clear" w:color="auto" w:fill="D9D9D9" w:themeFill="background1" w:themeFillShade="D9"/>
          </w:tcPr>
          <w:p w14:paraId="0AA1D8E9" w14:textId="10D1BD35"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 Tax exemption of received state pension</w:t>
            </w:r>
          </w:p>
        </w:tc>
      </w:tr>
      <w:tr w:rsidR="00280E00" w:rsidRPr="00CB1E53" w14:paraId="3FC79C7E" w14:textId="77777777" w:rsidTr="00280E00">
        <w:tc>
          <w:tcPr>
            <w:tcW w:w="2425" w:type="dxa"/>
          </w:tcPr>
          <w:p w14:paraId="0845CCF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8D5DE8C" w14:textId="563671DF"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color w:val="000000"/>
                <w:sz w:val="18"/>
                <w:szCs w:val="18"/>
              </w:rPr>
              <w:t xml:space="preserve">Non-taxable sources of income are an annuity received as social security rights from the state social insurances budget and social assistance rights paid from the state budget, including the payments received on the international treaties bases to which the Republic of Moldova is a party; insurance amounts and compensations received under </w:t>
            </w:r>
            <w:r w:rsidRPr="00CB1E53">
              <w:rPr>
                <w:rFonts w:ascii="Segoe UI" w:hAnsi="Segoe UI" w:cs="Segoe UI"/>
                <w:sz w:val="18"/>
                <w:szCs w:val="18"/>
              </w:rPr>
              <w:t xml:space="preserve">insurance and co-insurance contracts. Contrary to state pensions, pensions received from non‐state pension funds (domestic and foreign) are taxable. Contributions made to state pension funds are deductible (TC, </w:t>
            </w:r>
            <w:r w:rsidR="00B26CC9">
              <w:rPr>
                <w:rFonts w:ascii="Segoe UI" w:hAnsi="Segoe UI" w:cs="Segoe UI"/>
                <w:sz w:val="18"/>
                <w:szCs w:val="18"/>
              </w:rPr>
              <w:t>A</w:t>
            </w:r>
            <w:r w:rsidR="00B26CC9" w:rsidRPr="00CB1E53">
              <w:rPr>
                <w:rFonts w:ascii="Segoe UI" w:hAnsi="Segoe UI" w:cs="Segoe UI"/>
                <w:sz w:val="18"/>
                <w:szCs w:val="18"/>
              </w:rPr>
              <w:t>rt</w:t>
            </w:r>
            <w:r w:rsidRPr="00CB1E53">
              <w:rPr>
                <w:rFonts w:ascii="Segoe UI" w:hAnsi="Segoe UI" w:cs="Segoe UI"/>
                <w:sz w:val="18"/>
                <w:szCs w:val="18"/>
              </w:rPr>
              <w:t xml:space="preserve">. 36) akin to contributions made to non-state pensions funds, both domestic and foreign (TC, </w:t>
            </w:r>
            <w:r w:rsidR="00B26CC9">
              <w:rPr>
                <w:rFonts w:ascii="Segoe UI" w:hAnsi="Segoe UI" w:cs="Segoe UI"/>
                <w:sz w:val="18"/>
                <w:szCs w:val="18"/>
              </w:rPr>
              <w:t>A</w:t>
            </w:r>
            <w:r w:rsidR="00B26CC9" w:rsidRPr="00CB1E53">
              <w:rPr>
                <w:rFonts w:ascii="Segoe UI" w:hAnsi="Segoe UI" w:cs="Segoe UI"/>
                <w:sz w:val="18"/>
                <w:szCs w:val="18"/>
              </w:rPr>
              <w:t>rt</w:t>
            </w:r>
            <w:r w:rsidRPr="00CB1E53">
              <w:rPr>
                <w:rFonts w:ascii="Segoe UI" w:hAnsi="Segoe UI" w:cs="Segoe UI"/>
                <w:sz w:val="18"/>
                <w:szCs w:val="18"/>
              </w:rPr>
              <w:t>. 66‐67).</w:t>
            </w:r>
          </w:p>
        </w:tc>
      </w:tr>
      <w:tr w:rsidR="00280E00" w:rsidRPr="00CB1E53" w14:paraId="1E759854" w14:textId="77777777" w:rsidTr="00280E00">
        <w:tc>
          <w:tcPr>
            <w:tcW w:w="2425" w:type="dxa"/>
          </w:tcPr>
          <w:p w14:paraId="67CB5C8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FA956D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19FE917" w14:textId="77777777" w:rsidTr="00280E00">
        <w:tc>
          <w:tcPr>
            <w:tcW w:w="2425" w:type="dxa"/>
          </w:tcPr>
          <w:p w14:paraId="20618BB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93A6E2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 payers receiving public pension payouts</w:t>
            </w:r>
          </w:p>
        </w:tc>
      </w:tr>
      <w:tr w:rsidR="00280E00" w:rsidRPr="00CB1E53" w14:paraId="0FA9CEFE" w14:textId="77777777" w:rsidTr="00280E00">
        <w:tc>
          <w:tcPr>
            <w:tcW w:w="2425" w:type="dxa"/>
          </w:tcPr>
          <w:p w14:paraId="5EBDEFE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7A9FF0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personal income tax exemption</w:t>
            </w:r>
          </w:p>
        </w:tc>
      </w:tr>
      <w:tr w:rsidR="00280E00" w:rsidRPr="00CB1E53" w14:paraId="638686E2" w14:textId="77777777" w:rsidTr="00280E00">
        <w:tc>
          <w:tcPr>
            <w:tcW w:w="2425" w:type="dxa"/>
          </w:tcPr>
          <w:p w14:paraId="0076AE2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403093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i/>
                <w:iCs/>
                <w:sz w:val="18"/>
                <w:szCs w:val="18"/>
              </w:rPr>
              <w:t xml:space="preserve">State social security budget. </w:t>
            </w:r>
            <w:r w:rsidRPr="00CB1E53">
              <w:rPr>
                <w:rFonts w:ascii="Segoe UI" w:hAnsi="Segoe UI" w:cs="Segoe UI"/>
                <w:sz w:val="18"/>
                <w:szCs w:val="18"/>
              </w:rPr>
              <w:t>Pension received by a former employee from the state social security budget is tax exempt. Pension contributions made to the state social security budget are fully deductible. It is a structural tax exemption, benefiting the subgroup of recipients of state pensions.</w:t>
            </w:r>
          </w:p>
        </w:tc>
      </w:tr>
      <w:tr w:rsidR="00280E00" w:rsidRPr="00CB1E53" w14:paraId="794DAB93" w14:textId="77777777" w:rsidTr="00280E00">
        <w:tc>
          <w:tcPr>
            <w:tcW w:w="2425" w:type="dxa"/>
          </w:tcPr>
          <w:p w14:paraId="3AF17EF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DA0B50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Code (TC), Art 20(a)</w:t>
            </w:r>
          </w:p>
        </w:tc>
      </w:tr>
      <w:tr w:rsidR="00DD4DEB" w:rsidRPr="00CB1E53" w14:paraId="040E5428" w14:textId="77777777" w:rsidTr="00D75D26">
        <w:trPr>
          <w:trHeight w:val="182"/>
        </w:trPr>
        <w:tc>
          <w:tcPr>
            <w:tcW w:w="2425" w:type="dxa"/>
            <w:vMerge w:val="restart"/>
          </w:tcPr>
          <w:p w14:paraId="33BC2508" w14:textId="4AFE9FC8" w:rsidR="00DD4DEB" w:rsidRPr="00CB1E53" w:rsidRDefault="00DD4DEB"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5F35B9D" w14:textId="77777777" w:rsidR="00DD4DEB" w:rsidRPr="00CB1E53" w:rsidRDefault="00DD4DEB" w:rsidP="00FD11D9">
            <w:pPr>
              <w:spacing w:before="20" w:after="20"/>
              <w:jc w:val="both"/>
              <w:rPr>
                <w:rFonts w:ascii="Segoe UI" w:hAnsi="Segoe UI" w:cs="Segoe UI"/>
                <w:sz w:val="18"/>
                <w:szCs w:val="18"/>
              </w:rPr>
            </w:pPr>
          </w:p>
        </w:tc>
      </w:tr>
      <w:tr w:rsidR="00DD4DEB" w:rsidRPr="00CB1E53" w14:paraId="16A97E0C" w14:textId="77777777" w:rsidTr="00280E00">
        <w:trPr>
          <w:trHeight w:val="182"/>
        </w:trPr>
        <w:tc>
          <w:tcPr>
            <w:tcW w:w="2425" w:type="dxa"/>
            <w:vMerge/>
          </w:tcPr>
          <w:p w14:paraId="34BF25E6"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241DB83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2006</w:t>
            </w:r>
          </w:p>
        </w:tc>
        <w:tc>
          <w:tcPr>
            <w:tcW w:w="3738" w:type="dxa"/>
            <w:gridSpan w:val="3"/>
          </w:tcPr>
          <w:p w14:paraId="23307FF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76FD8D4E" w14:textId="77777777" w:rsidTr="00280E00">
        <w:tc>
          <w:tcPr>
            <w:tcW w:w="2425" w:type="dxa"/>
          </w:tcPr>
          <w:p w14:paraId="7F5553F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7843BF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Public institutions paying out transfers</w:t>
            </w:r>
          </w:p>
        </w:tc>
      </w:tr>
      <w:tr w:rsidR="00280E00" w:rsidRPr="00CB1E53" w14:paraId="22DC3976" w14:textId="77777777" w:rsidTr="00280E00">
        <w:tc>
          <w:tcPr>
            <w:tcW w:w="2425" w:type="dxa"/>
          </w:tcPr>
          <w:p w14:paraId="7822DEF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CD0D73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Estimating budget expenditures </w:t>
            </w:r>
          </w:p>
        </w:tc>
      </w:tr>
      <w:tr w:rsidR="00280E00" w:rsidRPr="00CB1E53" w14:paraId="41DC956D" w14:textId="77777777" w:rsidTr="00280E00">
        <w:tc>
          <w:tcPr>
            <w:tcW w:w="2425" w:type="dxa"/>
          </w:tcPr>
          <w:p w14:paraId="7595226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556C97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Total number of beneficiaries – 672 122 beneficiaries</w:t>
            </w:r>
          </w:p>
          <w:p w14:paraId="1D7D10F0" w14:textId="32A1DFE9"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Total number of beneficiaries that </w:t>
            </w:r>
            <w:r w:rsidR="009255E2">
              <w:rPr>
                <w:rFonts w:ascii="Segoe UI" w:hAnsi="Segoe UI" w:cs="Segoe UI"/>
                <w:sz w:val="18"/>
                <w:szCs w:val="18"/>
              </w:rPr>
              <w:t xml:space="preserve">are </w:t>
            </w:r>
            <w:r w:rsidRPr="00CB1E53">
              <w:rPr>
                <w:rFonts w:ascii="Segoe UI" w:hAnsi="Segoe UI" w:cs="Segoe UI"/>
                <w:sz w:val="18"/>
                <w:szCs w:val="18"/>
              </w:rPr>
              <w:t>still working – 174 757 beneficiaries</w:t>
            </w:r>
          </w:p>
          <w:p w14:paraId="61FF8E25" w14:textId="3E6A8016"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Beneficiaries that received pension less than </w:t>
            </w:r>
            <w:r w:rsidR="00AC458A">
              <w:rPr>
                <w:rFonts w:ascii="Segoe UI" w:hAnsi="Segoe UI" w:cs="Segoe UI"/>
                <w:sz w:val="18"/>
                <w:szCs w:val="18"/>
              </w:rPr>
              <w:t>MDL</w:t>
            </w:r>
            <w:r w:rsidR="00D51E9B">
              <w:rPr>
                <w:rFonts w:ascii="Segoe UI" w:hAnsi="Segoe UI" w:cs="Segoe UI"/>
                <w:sz w:val="18"/>
                <w:szCs w:val="18"/>
              </w:rPr>
              <w:t xml:space="preserve"> </w:t>
            </w:r>
            <w:r w:rsidRPr="00CB1E53">
              <w:rPr>
                <w:rFonts w:ascii="Segoe UI" w:hAnsi="Segoe UI" w:cs="Segoe UI"/>
                <w:sz w:val="18"/>
                <w:szCs w:val="18"/>
              </w:rPr>
              <w:t>2 000 – 610 191 beneficiaries</w:t>
            </w:r>
          </w:p>
          <w:p w14:paraId="23FCFBCF" w14:textId="642F9964"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Beneficiaries that received pension less than </w:t>
            </w:r>
            <w:r w:rsidR="00D51E9B">
              <w:rPr>
                <w:rFonts w:ascii="Segoe UI" w:hAnsi="Segoe UI" w:cs="Segoe UI"/>
                <w:sz w:val="18"/>
                <w:szCs w:val="18"/>
              </w:rPr>
              <w:t>M</w:t>
            </w:r>
            <w:r w:rsidR="00AC458A">
              <w:rPr>
                <w:rFonts w:ascii="Segoe UI" w:hAnsi="Segoe UI" w:cs="Segoe UI"/>
                <w:sz w:val="18"/>
                <w:szCs w:val="18"/>
              </w:rPr>
              <w:t>DL</w:t>
            </w:r>
            <w:r w:rsidR="00D51E9B">
              <w:rPr>
                <w:rFonts w:ascii="Segoe UI" w:hAnsi="Segoe UI" w:cs="Segoe UI"/>
                <w:sz w:val="18"/>
                <w:szCs w:val="18"/>
              </w:rPr>
              <w:t xml:space="preserve"> </w:t>
            </w:r>
            <w:r w:rsidRPr="00CB1E53">
              <w:rPr>
                <w:rFonts w:ascii="Segoe UI" w:hAnsi="Segoe UI" w:cs="Segoe UI"/>
                <w:sz w:val="18"/>
                <w:szCs w:val="18"/>
              </w:rPr>
              <w:t xml:space="preserve">2 000 but </w:t>
            </w:r>
            <w:r w:rsidR="009255E2">
              <w:rPr>
                <w:rFonts w:ascii="Segoe UI" w:hAnsi="Segoe UI" w:cs="Segoe UI"/>
                <w:sz w:val="18"/>
                <w:szCs w:val="18"/>
              </w:rPr>
              <w:t xml:space="preserve">are </w:t>
            </w:r>
            <w:r w:rsidRPr="00CB1E53">
              <w:rPr>
                <w:rFonts w:ascii="Segoe UI" w:hAnsi="Segoe UI" w:cs="Segoe UI"/>
                <w:sz w:val="18"/>
                <w:szCs w:val="18"/>
              </w:rPr>
              <w:t>still working – 158 654 beneficiaries</w:t>
            </w:r>
          </w:p>
          <w:p w14:paraId="3B54E9EC" w14:textId="65E7159D"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Beneficiaries that received pension more than </w:t>
            </w:r>
            <w:r w:rsidR="00D51E9B">
              <w:rPr>
                <w:rFonts w:ascii="Segoe UI" w:hAnsi="Segoe UI" w:cs="Segoe UI"/>
                <w:sz w:val="18"/>
                <w:szCs w:val="18"/>
              </w:rPr>
              <w:t>M</w:t>
            </w:r>
            <w:r w:rsidR="00AC458A">
              <w:rPr>
                <w:rFonts w:ascii="Segoe UI" w:hAnsi="Segoe UI" w:cs="Segoe UI"/>
                <w:sz w:val="18"/>
                <w:szCs w:val="18"/>
              </w:rPr>
              <w:t>DL</w:t>
            </w:r>
            <w:r w:rsidR="00D51E9B">
              <w:rPr>
                <w:rFonts w:ascii="Segoe UI" w:hAnsi="Segoe UI" w:cs="Segoe UI"/>
                <w:sz w:val="18"/>
                <w:szCs w:val="18"/>
              </w:rPr>
              <w:t xml:space="preserve"> </w:t>
            </w:r>
            <w:r w:rsidRPr="00CB1E53">
              <w:rPr>
                <w:rFonts w:ascii="Segoe UI" w:hAnsi="Segoe UI" w:cs="Segoe UI"/>
                <w:sz w:val="18"/>
                <w:szCs w:val="18"/>
              </w:rPr>
              <w:t>2 000 – 61 931 beneficiaries</w:t>
            </w:r>
          </w:p>
          <w:p w14:paraId="439EE5A4" w14:textId="7B997CAD"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Beneficiaries that received pension more than </w:t>
            </w:r>
            <w:r w:rsidR="00D51E9B">
              <w:rPr>
                <w:rFonts w:ascii="Segoe UI" w:hAnsi="Segoe UI" w:cs="Segoe UI"/>
                <w:sz w:val="18"/>
                <w:szCs w:val="18"/>
              </w:rPr>
              <w:t>M</w:t>
            </w:r>
            <w:r w:rsidR="00AC458A">
              <w:rPr>
                <w:rFonts w:ascii="Segoe UI" w:hAnsi="Segoe UI" w:cs="Segoe UI"/>
                <w:sz w:val="18"/>
                <w:szCs w:val="18"/>
              </w:rPr>
              <w:t>DL</w:t>
            </w:r>
            <w:r w:rsidR="00D51E9B">
              <w:rPr>
                <w:rFonts w:ascii="Segoe UI" w:hAnsi="Segoe UI" w:cs="Segoe UI"/>
                <w:sz w:val="18"/>
                <w:szCs w:val="18"/>
              </w:rPr>
              <w:t xml:space="preserve"> </w:t>
            </w:r>
            <w:r w:rsidRPr="00CB1E53">
              <w:rPr>
                <w:rFonts w:ascii="Segoe UI" w:hAnsi="Segoe UI" w:cs="Segoe UI"/>
                <w:sz w:val="18"/>
                <w:szCs w:val="18"/>
              </w:rPr>
              <w:t xml:space="preserve">2 000 but </w:t>
            </w:r>
            <w:r w:rsidR="009255E2">
              <w:rPr>
                <w:rFonts w:ascii="Segoe UI" w:hAnsi="Segoe UI" w:cs="Segoe UI"/>
                <w:sz w:val="18"/>
                <w:szCs w:val="18"/>
              </w:rPr>
              <w:t xml:space="preserve">are </w:t>
            </w:r>
            <w:r w:rsidRPr="00CB1E53">
              <w:rPr>
                <w:rFonts w:ascii="Segoe UI" w:hAnsi="Segoe UI" w:cs="Segoe UI"/>
                <w:sz w:val="18"/>
                <w:szCs w:val="18"/>
              </w:rPr>
              <w:t>still working – 16 103 beneficiaries</w:t>
            </w:r>
          </w:p>
        </w:tc>
      </w:tr>
      <w:tr w:rsidR="00280E00" w:rsidRPr="00CB1E53" w14:paraId="05AB535D" w14:textId="77777777" w:rsidTr="00280E00">
        <w:tc>
          <w:tcPr>
            <w:tcW w:w="2425" w:type="dxa"/>
          </w:tcPr>
          <w:p w14:paraId="465D501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4D54B03" w14:textId="0316D145"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DD4DEB" w:rsidRPr="00CB1E53" w14:paraId="76F8FCDB" w14:textId="77777777" w:rsidTr="00280E00">
        <w:trPr>
          <w:trHeight w:val="91"/>
        </w:trPr>
        <w:tc>
          <w:tcPr>
            <w:tcW w:w="2425" w:type="dxa"/>
            <w:vMerge w:val="restart"/>
          </w:tcPr>
          <w:p w14:paraId="18A9BCC7"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42BBD54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AF25E2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F13226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C1BF5F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7B85DF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50C6B1C1" w14:textId="77777777" w:rsidTr="00E153C9">
        <w:trPr>
          <w:trHeight w:val="305"/>
        </w:trPr>
        <w:tc>
          <w:tcPr>
            <w:tcW w:w="2425" w:type="dxa"/>
            <w:vMerge/>
          </w:tcPr>
          <w:p w14:paraId="490945C9" w14:textId="77777777" w:rsidR="003A3FFD" w:rsidRPr="00CB1E53" w:rsidRDefault="003A3FFD" w:rsidP="00FD11D9">
            <w:pPr>
              <w:spacing w:before="20" w:after="20"/>
              <w:jc w:val="both"/>
              <w:rPr>
                <w:rFonts w:ascii="Segoe UI" w:hAnsi="Segoe UI" w:cs="Segoe UI"/>
                <w:bCs/>
                <w:sz w:val="18"/>
                <w:szCs w:val="18"/>
              </w:rPr>
            </w:pPr>
          </w:p>
        </w:tc>
        <w:tc>
          <w:tcPr>
            <w:tcW w:w="1385" w:type="dxa"/>
          </w:tcPr>
          <w:p w14:paraId="03C6FCFA" w14:textId="20ACC998" w:rsidR="003A3FFD" w:rsidRPr="00CB1E53" w:rsidRDefault="00A9671F" w:rsidP="00FD11D9">
            <w:pPr>
              <w:spacing w:before="20" w:after="20"/>
              <w:jc w:val="both"/>
              <w:rPr>
                <w:rFonts w:ascii="Segoe UI" w:hAnsi="Segoe UI" w:cs="Segoe UI"/>
                <w:bCs/>
                <w:sz w:val="18"/>
                <w:szCs w:val="18"/>
              </w:rPr>
            </w:pPr>
            <w:r>
              <w:rPr>
                <w:rFonts w:ascii="Segoe UI" w:hAnsi="Segoe UI" w:cs="Segoe UI"/>
                <w:bCs/>
                <w:sz w:val="18"/>
                <w:szCs w:val="18"/>
              </w:rPr>
              <w:t>—</w:t>
            </w:r>
          </w:p>
        </w:tc>
        <w:tc>
          <w:tcPr>
            <w:tcW w:w="1385" w:type="dxa"/>
          </w:tcPr>
          <w:p w14:paraId="21D26A06" w14:textId="6E20B135" w:rsidR="003A3FFD" w:rsidRPr="00CB1E53" w:rsidRDefault="003A3FFD" w:rsidP="00FD11D9">
            <w:pPr>
              <w:spacing w:before="20" w:after="20"/>
              <w:jc w:val="both"/>
              <w:rPr>
                <w:rFonts w:ascii="Segoe UI" w:hAnsi="Segoe UI" w:cs="Segoe UI"/>
                <w:bCs/>
                <w:sz w:val="18"/>
                <w:szCs w:val="18"/>
              </w:rPr>
            </w:pPr>
            <w:r w:rsidRPr="00E153C9">
              <w:rPr>
                <w:rFonts w:ascii="Segoe UI" w:hAnsi="Segoe UI"/>
                <w:color w:val="000000"/>
                <w:sz w:val="18"/>
              </w:rPr>
              <w:t>397.3</w:t>
            </w:r>
          </w:p>
        </w:tc>
        <w:tc>
          <w:tcPr>
            <w:tcW w:w="1385" w:type="dxa"/>
            <w:gridSpan w:val="2"/>
            <w:shd w:val="clear" w:color="auto" w:fill="E6E6E6" w:themeFill="background1" w:themeFillShade="E6"/>
          </w:tcPr>
          <w:p w14:paraId="203A2BD8" w14:textId="234876F7" w:rsidR="003A3FFD" w:rsidRPr="00706F15" w:rsidRDefault="003A3FFD" w:rsidP="00FD11D9">
            <w:pPr>
              <w:spacing w:before="20" w:after="20"/>
              <w:jc w:val="both"/>
              <w:rPr>
                <w:rFonts w:ascii="Segoe UI" w:hAnsi="Segoe UI" w:cs="Segoe UI"/>
                <w:bCs/>
                <w:i/>
                <w:iCs/>
                <w:sz w:val="18"/>
                <w:szCs w:val="18"/>
              </w:rPr>
            </w:pPr>
            <w:r w:rsidRPr="00706F15">
              <w:rPr>
                <w:rFonts w:ascii="Segoe UI" w:hAnsi="Segoe UI"/>
                <w:i/>
                <w:iCs/>
                <w:color w:val="000000"/>
                <w:sz w:val="18"/>
              </w:rPr>
              <w:t>388</w:t>
            </w:r>
            <w:r w:rsidRPr="00706F15">
              <w:rPr>
                <w:rFonts w:ascii="Segoe UI" w:hAnsi="Segoe UI"/>
                <w:i/>
                <w:iCs/>
                <w:sz w:val="18"/>
              </w:rPr>
              <w:t>.</w:t>
            </w:r>
            <w:r w:rsidRPr="00706F15">
              <w:rPr>
                <w:rFonts w:ascii="Segoe UI" w:hAnsi="Segoe UI" w:cs="Segoe UI"/>
                <w:bCs/>
                <w:i/>
                <w:iCs/>
                <w:sz w:val="18"/>
                <w:szCs w:val="18"/>
              </w:rPr>
              <w:t>0</w:t>
            </w:r>
          </w:p>
        </w:tc>
        <w:tc>
          <w:tcPr>
            <w:tcW w:w="1385" w:type="dxa"/>
            <w:shd w:val="clear" w:color="auto" w:fill="E6E6E6" w:themeFill="background1" w:themeFillShade="E6"/>
          </w:tcPr>
          <w:p w14:paraId="72B0B1C4" w14:textId="149F53E2" w:rsidR="003A3FFD" w:rsidRPr="00706F15" w:rsidRDefault="00143801" w:rsidP="00FD11D9">
            <w:pPr>
              <w:spacing w:before="20" w:after="20"/>
              <w:jc w:val="both"/>
              <w:rPr>
                <w:rFonts w:ascii="Segoe UI" w:hAnsi="Segoe UI" w:cs="Segoe UI"/>
                <w:bCs/>
                <w:i/>
                <w:iCs/>
                <w:sz w:val="18"/>
                <w:szCs w:val="18"/>
              </w:rPr>
            </w:pPr>
            <w:r w:rsidRPr="00706F15">
              <w:rPr>
                <w:rFonts w:ascii="Segoe UI" w:hAnsi="Segoe UI"/>
                <w:i/>
                <w:iCs/>
                <w:sz w:val="18"/>
              </w:rPr>
              <w:t>4</w:t>
            </w:r>
            <w:r w:rsidR="0040251A" w:rsidRPr="00706F15">
              <w:rPr>
                <w:rFonts w:ascii="Segoe UI" w:hAnsi="Segoe UI"/>
                <w:i/>
                <w:iCs/>
                <w:sz w:val="18"/>
              </w:rPr>
              <w:t>39.</w:t>
            </w:r>
            <w:r w:rsidR="0040251A" w:rsidRPr="00706F15">
              <w:rPr>
                <w:rFonts w:ascii="Segoe UI" w:hAnsi="Segoe UI" w:cs="Segoe UI"/>
                <w:bCs/>
                <w:i/>
                <w:iCs/>
                <w:sz w:val="18"/>
                <w:szCs w:val="18"/>
              </w:rPr>
              <w:t>1</w:t>
            </w:r>
          </w:p>
        </w:tc>
        <w:tc>
          <w:tcPr>
            <w:tcW w:w="1660" w:type="dxa"/>
            <w:shd w:val="clear" w:color="auto" w:fill="E6E6E6" w:themeFill="background1" w:themeFillShade="E6"/>
          </w:tcPr>
          <w:p w14:paraId="7FA0A429" w14:textId="5B9E3252" w:rsidR="003A3FFD" w:rsidRPr="00706F15" w:rsidRDefault="00AD63BF" w:rsidP="00FD11D9">
            <w:pPr>
              <w:spacing w:before="20" w:after="20"/>
              <w:jc w:val="both"/>
              <w:rPr>
                <w:rFonts w:ascii="Segoe UI" w:hAnsi="Segoe UI" w:cs="Segoe UI"/>
                <w:bCs/>
                <w:i/>
                <w:iCs/>
                <w:sz w:val="18"/>
                <w:szCs w:val="18"/>
              </w:rPr>
            </w:pPr>
            <w:r w:rsidRPr="00706F15">
              <w:rPr>
                <w:rFonts w:ascii="Segoe UI" w:hAnsi="Segoe UI"/>
                <w:i/>
                <w:iCs/>
                <w:sz w:val="18"/>
              </w:rPr>
              <w:t>482</w:t>
            </w:r>
            <w:r w:rsidR="000A10AB" w:rsidRPr="00706F15">
              <w:rPr>
                <w:rFonts w:ascii="Segoe UI" w:hAnsi="Segoe UI"/>
                <w:i/>
                <w:iCs/>
                <w:sz w:val="18"/>
              </w:rPr>
              <w:t>.</w:t>
            </w:r>
            <w:r w:rsidR="000A10AB" w:rsidRPr="00706F15">
              <w:rPr>
                <w:rFonts w:ascii="Segoe UI" w:hAnsi="Segoe UI" w:cs="Segoe UI"/>
                <w:bCs/>
                <w:i/>
                <w:iCs/>
                <w:sz w:val="18"/>
                <w:szCs w:val="18"/>
              </w:rPr>
              <w:t>7</w:t>
            </w:r>
          </w:p>
        </w:tc>
      </w:tr>
    </w:tbl>
    <w:p w14:paraId="5838AD16" w14:textId="77777777" w:rsidR="00280E00" w:rsidRPr="00CB1E53" w:rsidRDefault="00280E00" w:rsidP="00FD11D9">
      <w:pPr>
        <w:spacing w:before="20" w:after="20" w:line="240" w:lineRule="auto"/>
        <w:jc w:val="both"/>
        <w:rPr>
          <w:rFonts w:ascii="Segoe UI" w:hAnsi="Segoe UI" w:cs="Segoe UI"/>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53192D17" w14:textId="77777777" w:rsidTr="000E3464">
        <w:tc>
          <w:tcPr>
            <w:tcW w:w="9625" w:type="dxa"/>
            <w:gridSpan w:val="7"/>
            <w:shd w:val="clear" w:color="auto" w:fill="D9D9D9" w:themeFill="background1" w:themeFillShade="D9"/>
          </w:tcPr>
          <w:p w14:paraId="3F62F9E2" w14:textId="29606248"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 Tax exemption of state security payments and state subsidies</w:t>
            </w:r>
          </w:p>
        </w:tc>
      </w:tr>
      <w:tr w:rsidR="00280E00" w:rsidRPr="00CB1E53" w14:paraId="54D8A530" w14:textId="77777777" w:rsidTr="000E3464">
        <w:tc>
          <w:tcPr>
            <w:tcW w:w="2425" w:type="dxa"/>
          </w:tcPr>
          <w:p w14:paraId="07E3AAF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E0304B6" w14:textId="6D82845E"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Exempting from income tax are transfer payments to compensate for incapacity to work, and for</w:t>
            </w:r>
            <w:r w:rsidR="00E81091" w:rsidRPr="00CB1E53">
              <w:rPr>
                <w:rFonts w:ascii="Segoe UI" w:hAnsi="Segoe UI" w:cs="Segoe UI"/>
                <w:sz w:val="18"/>
                <w:szCs w:val="18"/>
              </w:rPr>
              <w:t xml:space="preserve"> </w:t>
            </w:r>
            <w:r w:rsidRPr="00CB1E53">
              <w:rPr>
                <w:rFonts w:ascii="Segoe UI" w:hAnsi="Segoe UI" w:cs="Segoe UI"/>
                <w:sz w:val="18"/>
                <w:szCs w:val="18"/>
              </w:rPr>
              <w:t>being insufficiently insured and socially vulnerable. As a rule, annuities, except social security benefits, and state subsidies are regarded as taxable income for PIT purposes.</w:t>
            </w:r>
          </w:p>
        </w:tc>
      </w:tr>
      <w:tr w:rsidR="00280E00" w:rsidRPr="00CB1E53" w14:paraId="05C4FFEB" w14:textId="77777777" w:rsidTr="000E3464">
        <w:tc>
          <w:tcPr>
            <w:tcW w:w="2425" w:type="dxa"/>
          </w:tcPr>
          <w:p w14:paraId="1646120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92D9BF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648471AD" w14:textId="77777777" w:rsidTr="000E3464">
        <w:tc>
          <w:tcPr>
            <w:tcW w:w="2425" w:type="dxa"/>
          </w:tcPr>
          <w:p w14:paraId="719A7BC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E8BCEAC" w14:textId="018F3A90"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 payers receiving compensation for being work-incapacitated or being insufficiently insured, and being socially vulnerable</w:t>
            </w:r>
            <w:r w:rsidR="0052766A">
              <w:rPr>
                <w:rFonts w:ascii="Segoe UI" w:hAnsi="Segoe UI" w:cs="Segoe UI"/>
                <w:sz w:val="18"/>
                <w:szCs w:val="18"/>
              </w:rPr>
              <w:t>.</w:t>
            </w:r>
          </w:p>
        </w:tc>
      </w:tr>
      <w:tr w:rsidR="00280E00" w:rsidRPr="00CB1E53" w14:paraId="6721F6A6" w14:textId="77777777" w:rsidTr="000E3464">
        <w:tc>
          <w:tcPr>
            <w:tcW w:w="2425" w:type="dxa"/>
          </w:tcPr>
          <w:p w14:paraId="4809E7D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F1015D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income tax exemption</w:t>
            </w:r>
          </w:p>
        </w:tc>
      </w:tr>
      <w:tr w:rsidR="00280E00" w:rsidRPr="00CB1E53" w14:paraId="6AFE7CC6" w14:textId="77777777" w:rsidTr="000E3464">
        <w:tc>
          <w:tcPr>
            <w:tcW w:w="2425" w:type="dxa"/>
          </w:tcPr>
          <w:p w14:paraId="1D00249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9883FA6" w14:textId="77777777"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It is a structural exemption or tax expenditure, benefiting the subgroup of recipients of compensations for being unable to work or being insufficiently insured and therefore being socially vulnerable.</w:t>
            </w:r>
          </w:p>
        </w:tc>
      </w:tr>
      <w:tr w:rsidR="00280E00" w:rsidRPr="00CB1E53" w14:paraId="08A89D79" w14:textId="77777777" w:rsidTr="000E3464">
        <w:tc>
          <w:tcPr>
            <w:tcW w:w="2425" w:type="dxa"/>
          </w:tcPr>
          <w:p w14:paraId="40059DF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28A8F4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TC, Art. 20 b), c) and h)</w:t>
            </w:r>
          </w:p>
        </w:tc>
      </w:tr>
      <w:tr w:rsidR="00280E00" w:rsidRPr="00CB1E53" w14:paraId="192A338D" w14:textId="77777777" w:rsidTr="000E3464">
        <w:trPr>
          <w:trHeight w:val="182"/>
        </w:trPr>
        <w:tc>
          <w:tcPr>
            <w:tcW w:w="2425" w:type="dxa"/>
            <w:vMerge w:val="restart"/>
          </w:tcPr>
          <w:p w14:paraId="47ADE14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Implementation, Objectives, and History</w:t>
            </w:r>
          </w:p>
        </w:tc>
        <w:tc>
          <w:tcPr>
            <w:tcW w:w="3462" w:type="dxa"/>
            <w:gridSpan w:val="3"/>
          </w:tcPr>
          <w:p w14:paraId="74A85514" w14:textId="77777777" w:rsidR="00280E00" w:rsidRPr="00CB1E53" w:rsidRDefault="00280E00" w:rsidP="00FD11D9">
            <w:pPr>
              <w:spacing w:before="20" w:after="20"/>
              <w:jc w:val="both"/>
              <w:rPr>
                <w:rFonts w:ascii="Segoe UI" w:hAnsi="Segoe UI" w:cs="Segoe UI"/>
                <w:sz w:val="18"/>
                <w:szCs w:val="18"/>
              </w:rPr>
            </w:pPr>
          </w:p>
        </w:tc>
        <w:tc>
          <w:tcPr>
            <w:tcW w:w="3738" w:type="dxa"/>
            <w:gridSpan w:val="3"/>
          </w:tcPr>
          <w:p w14:paraId="78D4DCDE"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7A7326F" w14:textId="77777777" w:rsidTr="000E3464">
        <w:trPr>
          <w:trHeight w:val="182"/>
        </w:trPr>
        <w:tc>
          <w:tcPr>
            <w:tcW w:w="2425" w:type="dxa"/>
            <w:vMerge/>
          </w:tcPr>
          <w:p w14:paraId="0308684A"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74959DF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b) – 2005</w:t>
            </w:r>
          </w:p>
          <w:p w14:paraId="2ADA310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                               c) – 1998</w:t>
            </w:r>
          </w:p>
          <w:p w14:paraId="0F98972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                               h) - 1998</w:t>
            </w:r>
          </w:p>
        </w:tc>
        <w:tc>
          <w:tcPr>
            <w:tcW w:w="3738" w:type="dxa"/>
            <w:gridSpan w:val="3"/>
          </w:tcPr>
          <w:p w14:paraId="6BEBFF1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2FC5EC34" w14:textId="77777777" w:rsidTr="000E3464">
        <w:tc>
          <w:tcPr>
            <w:tcW w:w="2425" w:type="dxa"/>
          </w:tcPr>
          <w:p w14:paraId="4446B50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79A915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Public institutions paying out transfers</w:t>
            </w:r>
          </w:p>
        </w:tc>
      </w:tr>
      <w:tr w:rsidR="00280E00" w:rsidRPr="00CB1E53" w14:paraId="0E6E615E" w14:textId="77777777" w:rsidTr="000E3464">
        <w:tc>
          <w:tcPr>
            <w:tcW w:w="2425" w:type="dxa"/>
          </w:tcPr>
          <w:p w14:paraId="5703529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583700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Budgetary statements on social subsidies to socially vulnerable groups</w:t>
            </w:r>
          </w:p>
        </w:tc>
      </w:tr>
      <w:tr w:rsidR="00280E00" w:rsidRPr="00CB1E53" w14:paraId="6DFE2747" w14:textId="77777777" w:rsidTr="000E3464">
        <w:tc>
          <w:tcPr>
            <w:tcW w:w="2425" w:type="dxa"/>
          </w:tcPr>
          <w:p w14:paraId="3B9A00E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E2283A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 2019 total amount of beneficiaries is - 906 592 beneficiaries</w:t>
            </w:r>
          </w:p>
          <w:p w14:paraId="2D2070CF" w14:textId="53F765F1"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Average amount of compensation is </w:t>
            </w:r>
            <w:r w:rsidR="00D51E9B">
              <w:rPr>
                <w:rFonts w:ascii="Segoe UI" w:hAnsi="Segoe UI" w:cs="Segoe UI"/>
                <w:sz w:val="18"/>
                <w:szCs w:val="18"/>
              </w:rPr>
              <w:t>M</w:t>
            </w:r>
            <w:r w:rsidR="00420468">
              <w:rPr>
                <w:rFonts w:ascii="Segoe UI" w:hAnsi="Segoe UI" w:cs="Segoe UI"/>
                <w:sz w:val="18"/>
                <w:szCs w:val="18"/>
              </w:rPr>
              <w:t>DL</w:t>
            </w:r>
            <w:r w:rsidR="00D51E9B">
              <w:rPr>
                <w:rFonts w:ascii="Segoe UI" w:hAnsi="Segoe UI" w:cs="Segoe UI"/>
                <w:sz w:val="18"/>
                <w:szCs w:val="18"/>
              </w:rPr>
              <w:t xml:space="preserve"> </w:t>
            </w:r>
            <w:r w:rsidRPr="00CB1E53">
              <w:rPr>
                <w:rFonts w:ascii="Segoe UI" w:hAnsi="Segoe UI" w:cs="Segoe UI"/>
                <w:sz w:val="18"/>
                <w:szCs w:val="18"/>
              </w:rPr>
              <w:t xml:space="preserve">726, total amount of compensation </w:t>
            </w:r>
            <w:r w:rsidR="0072252A">
              <w:rPr>
                <w:rFonts w:ascii="Segoe UI" w:hAnsi="Segoe UI" w:cs="Segoe UI"/>
                <w:sz w:val="18"/>
                <w:szCs w:val="18"/>
              </w:rPr>
              <w:t>M</w:t>
            </w:r>
            <w:r w:rsidR="00C37D29">
              <w:rPr>
                <w:rFonts w:ascii="Segoe UI" w:hAnsi="Segoe UI" w:cs="Segoe UI"/>
                <w:sz w:val="18"/>
                <w:szCs w:val="18"/>
              </w:rPr>
              <w:t>DL</w:t>
            </w:r>
            <w:r w:rsidR="0072252A">
              <w:rPr>
                <w:rFonts w:ascii="Segoe UI" w:hAnsi="Segoe UI" w:cs="Segoe UI"/>
                <w:sz w:val="18"/>
                <w:szCs w:val="18"/>
              </w:rPr>
              <w:t> </w:t>
            </w:r>
            <w:r w:rsidRPr="00CB1E53">
              <w:rPr>
                <w:rFonts w:ascii="Segoe UI" w:hAnsi="Segoe UI" w:cs="Segoe UI"/>
                <w:sz w:val="18"/>
                <w:szCs w:val="18"/>
              </w:rPr>
              <w:t>7</w:t>
            </w:r>
            <w:r w:rsidR="0072252A">
              <w:rPr>
                <w:rFonts w:ascii="Segoe UI" w:hAnsi="Segoe UI" w:cs="Segoe UI"/>
                <w:sz w:val="18"/>
                <w:szCs w:val="18"/>
              </w:rPr>
              <w:t> </w:t>
            </w:r>
            <w:r w:rsidRPr="00CB1E53">
              <w:rPr>
                <w:rFonts w:ascii="Segoe UI" w:hAnsi="Segoe UI" w:cs="Segoe UI"/>
                <w:sz w:val="18"/>
                <w:szCs w:val="18"/>
              </w:rPr>
              <w:t>904.8M</w:t>
            </w:r>
          </w:p>
          <w:p w14:paraId="50948D50" w14:textId="22CFD530"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Thus, considering that the amounts are small and do not exceed the size of the personal allowance</w:t>
            </w:r>
            <w:r w:rsidR="0052766A">
              <w:rPr>
                <w:rFonts w:ascii="Segoe UI" w:hAnsi="Segoe UI" w:cs="Segoe UI"/>
                <w:sz w:val="18"/>
                <w:szCs w:val="18"/>
              </w:rPr>
              <w:t>,</w:t>
            </w:r>
            <w:r w:rsidRPr="00CB1E53">
              <w:rPr>
                <w:rFonts w:ascii="Segoe UI" w:hAnsi="Segoe UI" w:cs="Segoe UI"/>
                <w:sz w:val="18"/>
                <w:szCs w:val="18"/>
              </w:rPr>
              <w:t xml:space="preserve"> which is a benchmark, respectively it is not an impact on the budget</w:t>
            </w:r>
          </w:p>
        </w:tc>
      </w:tr>
      <w:tr w:rsidR="00280E00" w:rsidRPr="00CB1E53" w14:paraId="6CFC821D" w14:textId="77777777" w:rsidTr="000E3464">
        <w:tc>
          <w:tcPr>
            <w:tcW w:w="2425" w:type="dxa"/>
          </w:tcPr>
          <w:p w14:paraId="4A35BA3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A36A249" w14:textId="1192686A"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74CC9DFF" w14:textId="77777777" w:rsidTr="000E3464">
        <w:trPr>
          <w:trHeight w:val="91"/>
        </w:trPr>
        <w:tc>
          <w:tcPr>
            <w:tcW w:w="2425" w:type="dxa"/>
            <w:vMerge w:val="restart"/>
          </w:tcPr>
          <w:p w14:paraId="2E188A32"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E7A7D2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C20049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35D741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33A8E2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86BA60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E153C9" w14:paraId="7C0FA9D4" w14:textId="77777777" w:rsidTr="007B38FB">
        <w:trPr>
          <w:trHeight w:val="91"/>
        </w:trPr>
        <w:tc>
          <w:tcPr>
            <w:tcW w:w="2425" w:type="dxa"/>
            <w:vMerge/>
          </w:tcPr>
          <w:p w14:paraId="68D648D4" w14:textId="77777777" w:rsidR="00E15475" w:rsidRPr="00E153C9" w:rsidRDefault="00E15475" w:rsidP="00FD11D9">
            <w:pPr>
              <w:spacing w:before="20" w:after="20"/>
              <w:jc w:val="both"/>
              <w:rPr>
                <w:rFonts w:ascii="Segoe UI" w:hAnsi="Segoe UI" w:cs="Segoe UI"/>
                <w:sz w:val="18"/>
                <w:szCs w:val="18"/>
              </w:rPr>
            </w:pPr>
          </w:p>
        </w:tc>
        <w:tc>
          <w:tcPr>
            <w:tcW w:w="1385" w:type="dxa"/>
          </w:tcPr>
          <w:p w14:paraId="7FB4DD54" w14:textId="5E4B2BFE" w:rsidR="00E15475" w:rsidRPr="00E153C9" w:rsidRDefault="000A7DB8" w:rsidP="00FD11D9">
            <w:pPr>
              <w:spacing w:before="20" w:after="20"/>
              <w:jc w:val="both"/>
              <w:rPr>
                <w:rFonts w:ascii="Segoe UI" w:hAnsi="Segoe UI" w:cs="Segoe UI"/>
                <w:sz w:val="18"/>
                <w:szCs w:val="18"/>
              </w:rPr>
            </w:pPr>
            <w:r w:rsidRPr="00E153C9">
              <w:rPr>
                <w:rFonts w:ascii="Segoe UI" w:hAnsi="Segoe UI"/>
                <w:color w:val="000000"/>
                <w:sz w:val="18"/>
              </w:rPr>
              <w:t>652.</w:t>
            </w:r>
            <w:r w:rsidRPr="00E153C9">
              <w:rPr>
                <w:rFonts w:ascii="Segoe UI" w:hAnsi="Segoe UI" w:cs="Segoe UI"/>
                <w:sz w:val="18"/>
                <w:szCs w:val="18"/>
              </w:rPr>
              <w:t>3</w:t>
            </w:r>
          </w:p>
        </w:tc>
        <w:tc>
          <w:tcPr>
            <w:tcW w:w="1385" w:type="dxa"/>
          </w:tcPr>
          <w:p w14:paraId="589BEA6E" w14:textId="7361913B" w:rsidR="00E15475" w:rsidRPr="00E153C9" w:rsidRDefault="000A7DB8" w:rsidP="00FD11D9">
            <w:pPr>
              <w:spacing w:before="20" w:after="20"/>
              <w:jc w:val="both"/>
              <w:rPr>
                <w:rFonts w:ascii="Segoe UI" w:hAnsi="Segoe UI" w:cs="Segoe UI"/>
                <w:sz w:val="18"/>
                <w:szCs w:val="18"/>
              </w:rPr>
            </w:pPr>
            <w:r w:rsidRPr="00E153C9">
              <w:rPr>
                <w:rFonts w:ascii="Segoe UI" w:hAnsi="Segoe UI" w:cs="Segoe UI"/>
                <w:sz w:val="18"/>
                <w:szCs w:val="18"/>
              </w:rPr>
              <w:t>705.3</w:t>
            </w:r>
          </w:p>
        </w:tc>
        <w:tc>
          <w:tcPr>
            <w:tcW w:w="1385" w:type="dxa"/>
            <w:gridSpan w:val="2"/>
            <w:shd w:val="clear" w:color="auto" w:fill="E6E6E6" w:themeFill="background1" w:themeFillShade="E6"/>
          </w:tcPr>
          <w:p w14:paraId="707D752B" w14:textId="0F428B1E" w:rsidR="00116877" w:rsidRPr="00706F15" w:rsidRDefault="00116877" w:rsidP="00FD11D9">
            <w:pPr>
              <w:spacing w:before="20" w:after="20"/>
              <w:jc w:val="both"/>
              <w:rPr>
                <w:rFonts w:ascii="Segoe UI" w:hAnsi="Segoe UI" w:cs="Segoe UI"/>
                <w:i/>
                <w:iCs/>
                <w:sz w:val="18"/>
                <w:szCs w:val="18"/>
              </w:rPr>
            </w:pPr>
            <w:r w:rsidRPr="00706F15">
              <w:rPr>
                <w:rFonts w:ascii="Segoe UI" w:hAnsi="Segoe UI"/>
                <w:i/>
                <w:iCs/>
                <w:sz w:val="18"/>
              </w:rPr>
              <w:t>688.</w:t>
            </w:r>
            <w:r w:rsidRPr="00706F15">
              <w:rPr>
                <w:rFonts w:ascii="Segoe UI" w:hAnsi="Segoe UI" w:cs="Segoe UI"/>
                <w:i/>
                <w:iCs/>
                <w:sz w:val="18"/>
                <w:szCs w:val="18"/>
              </w:rPr>
              <w:t>7</w:t>
            </w:r>
          </w:p>
        </w:tc>
        <w:tc>
          <w:tcPr>
            <w:tcW w:w="1385" w:type="dxa"/>
            <w:shd w:val="clear" w:color="auto" w:fill="E6E6E6" w:themeFill="background1" w:themeFillShade="E6"/>
          </w:tcPr>
          <w:p w14:paraId="1804F274" w14:textId="1D844C47" w:rsidR="00E15475" w:rsidRPr="00706F15" w:rsidRDefault="00436B6A" w:rsidP="00FD11D9">
            <w:pPr>
              <w:spacing w:before="20" w:after="20"/>
              <w:jc w:val="both"/>
              <w:rPr>
                <w:rFonts w:ascii="Segoe UI" w:hAnsi="Segoe UI" w:cs="Segoe UI"/>
                <w:i/>
                <w:iCs/>
                <w:sz w:val="18"/>
                <w:szCs w:val="18"/>
              </w:rPr>
            </w:pPr>
            <w:r w:rsidRPr="00706F15">
              <w:rPr>
                <w:rFonts w:ascii="Segoe UI" w:hAnsi="Segoe UI"/>
                <w:i/>
                <w:iCs/>
                <w:sz w:val="18"/>
              </w:rPr>
              <w:t>779.</w:t>
            </w:r>
            <w:r w:rsidRPr="00706F15">
              <w:rPr>
                <w:rFonts w:ascii="Segoe UI" w:hAnsi="Segoe UI" w:cs="Segoe UI"/>
                <w:i/>
                <w:iCs/>
                <w:sz w:val="18"/>
                <w:szCs w:val="18"/>
              </w:rPr>
              <w:t>5</w:t>
            </w:r>
          </w:p>
        </w:tc>
        <w:tc>
          <w:tcPr>
            <w:tcW w:w="1660" w:type="dxa"/>
            <w:shd w:val="clear" w:color="auto" w:fill="E6E6E6" w:themeFill="background1" w:themeFillShade="E6"/>
          </w:tcPr>
          <w:p w14:paraId="10D5FB20" w14:textId="2A388D42" w:rsidR="00E15475" w:rsidRPr="00706F15" w:rsidRDefault="00D6173B" w:rsidP="00FD11D9">
            <w:pPr>
              <w:spacing w:before="20" w:after="20"/>
              <w:jc w:val="both"/>
              <w:rPr>
                <w:rFonts w:ascii="Segoe UI" w:hAnsi="Segoe UI" w:cs="Segoe UI"/>
                <w:i/>
                <w:iCs/>
                <w:sz w:val="18"/>
                <w:szCs w:val="18"/>
              </w:rPr>
            </w:pPr>
            <w:r w:rsidRPr="00706F15">
              <w:rPr>
                <w:rFonts w:ascii="Segoe UI" w:hAnsi="Segoe UI"/>
                <w:i/>
                <w:iCs/>
                <w:color w:val="000000"/>
                <w:sz w:val="18"/>
              </w:rPr>
              <w:t>856</w:t>
            </w:r>
            <w:r w:rsidRPr="00706F15">
              <w:rPr>
                <w:rFonts w:ascii="Segoe UI" w:hAnsi="Segoe UI"/>
                <w:i/>
                <w:iCs/>
                <w:sz w:val="18"/>
              </w:rPr>
              <w:t>.</w:t>
            </w:r>
            <w:r w:rsidRPr="00706F15">
              <w:rPr>
                <w:rFonts w:ascii="Segoe UI" w:hAnsi="Segoe UI" w:cs="Segoe UI"/>
                <w:i/>
                <w:iCs/>
                <w:sz w:val="18"/>
                <w:szCs w:val="18"/>
              </w:rPr>
              <w:t>9</w:t>
            </w:r>
          </w:p>
        </w:tc>
      </w:tr>
    </w:tbl>
    <w:p w14:paraId="42B5761A" w14:textId="431CFAEA"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336"/>
        <w:gridCol w:w="1287"/>
        <w:gridCol w:w="1467"/>
        <w:gridCol w:w="792"/>
        <w:gridCol w:w="691"/>
        <w:gridCol w:w="1467"/>
        <w:gridCol w:w="1585"/>
      </w:tblGrid>
      <w:tr w:rsidR="00280E00" w:rsidRPr="00CB1E53" w14:paraId="32DB4233" w14:textId="77777777" w:rsidTr="00E81091">
        <w:tc>
          <w:tcPr>
            <w:tcW w:w="9625" w:type="dxa"/>
            <w:gridSpan w:val="7"/>
            <w:shd w:val="clear" w:color="auto" w:fill="D9D9D9" w:themeFill="background1" w:themeFillShade="D9"/>
          </w:tcPr>
          <w:p w14:paraId="13976A72" w14:textId="1D8E2EEE"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3. Non-taxable state subsidy to first-time homeowners under “First Home” state program</w:t>
            </w:r>
          </w:p>
        </w:tc>
      </w:tr>
      <w:tr w:rsidR="00280E00" w:rsidRPr="00CB1E53" w14:paraId="124F7A89" w14:textId="77777777" w:rsidTr="00E81091">
        <w:tc>
          <w:tcPr>
            <w:tcW w:w="2336" w:type="dxa"/>
          </w:tcPr>
          <w:p w14:paraId="20876D8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89" w:type="dxa"/>
            <w:gridSpan w:val="6"/>
          </w:tcPr>
          <w:p w14:paraId="0680B29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First-time homeowners receive a state subsidy from the state budget as beneficiaries of the “First Home” state program, as established by the Government.</w:t>
            </w:r>
          </w:p>
        </w:tc>
      </w:tr>
      <w:tr w:rsidR="00280E00" w:rsidRPr="00CB1E53" w14:paraId="23238699" w14:textId="77777777" w:rsidTr="00E81091">
        <w:tc>
          <w:tcPr>
            <w:tcW w:w="2336" w:type="dxa"/>
          </w:tcPr>
          <w:p w14:paraId="0E1C980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89" w:type="dxa"/>
            <w:gridSpan w:val="6"/>
          </w:tcPr>
          <w:p w14:paraId="7A0168E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0D2308C0" w14:textId="77777777" w:rsidTr="00E81091">
        <w:tc>
          <w:tcPr>
            <w:tcW w:w="2336" w:type="dxa"/>
          </w:tcPr>
          <w:p w14:paraId="24EF531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89" w:type="dxa"/>
            <w:gridSpan w:val="6"/>
          </w:tcPr>
          <w:p w14:paraId="0C53FD2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First-time homeowners</w:t>
            </w:r>
          </w:p>
        </w:tc>
      </w:tr>
      <w:tr w:rsidR="00280E00" w:rsidRPr="00CB1E53" w14:paraId="1DBB46D7" w14:textId="77777777" w:rsidTr="00E81091">
        <w:tc>
          <w:tcPr>
            <w:tcW w:w="2336" w:type="dxa"/>
          </w:tcPr>
          <w:p w14:paraId="141369D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89" w:type="dxa"/>
            <w:gridSpan w:val="6"/>
          </w:tcPr>
          <w:p w14:paraId="47D050D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 of a state subsidy or grant</w:t>
            </w:r>
          </w:p>
        </w:tc>
      </w:tr>
      <w:tr w:rsidR="00280E00" w:rsidRPr="00CB1E53" w14:paraId="040F9DF2" w14:textId="77777777" w:rsidTr="00E81091">
        <w:tc>
          <w:tcPr>
            <w:tcW w:w="2336" w:type="dxa"/>
          </w:tcPr>
          <w:p w14:paraId="349979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89" w:type="dxa"/>
            <w:gridSpan w:val="6"/>
          </w:tcPr>
          <w:p w14:paraId="7EC5C47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All subsidies or grants paid from the state budget constitute income in the hands of the grantee and under the comprehensive income concept should attract PIT at the flat rate of 12%, and if the combined income streams exceed the basic personal allowance of MDL 27,000 per year. The non-taxation constitutes therefore a tax expenditure.</w:t>
            </w:r>
          </w:p>
        </w:tc>
      </w:tr>
      <w:tr w:rsidR="00280E00" w:rsidRPr="00CB1E53" w14:paraId="1B6F7E8B" w14:textId="77777777" w:rsidTr="00E81091">
        <w:tc>
          <w:tcPr>
            <w:tcW w:w="2336" w:type="dxa"/>
          </w:tcPr>
          <w:p w14:paraId="662AF8B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89" w:type="dxa"/>
            <w:gridSpan w:val="6"/>
          </w:tcPr>
          <w:p w14:paraId="19959B3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20(d</w:t>
            </w:r>
            <w:r w:rsidRPr="00CB1E53">
              <w:rPr>
                <w:rFonts w:ascii="Segoe UI" w:hAnsi="Segoe UI" w:cs="Segoe UI"/>
                <w:sz w:val="18"/>
                <w:szCs w:val="18"/>
                <w:vertAlign w:val="superscript"/>
              </w:rPr>
              <w:t>5</w:t>
            </w:r>
            <w:r w:rsidRPr="00CB1E53">
              <w:rPr>
                <w:rFonts w:ascii="Segoe UI" w:hAnsi="Segoe UI" w:cs="Segoe UI"/>
                <w:sz w:val="18"/>
                <w:szCs w:val="18"/>
              </w:rPr>
              <w:t>)</w:t>
            </w:r>
          </w:p>
        </w:tc>
      </w:tr>
      <w:tr w:rsidR="00280E00" w:rsidRPr="00CB1E53" w14:paraId="56AE1920" w14:textId="77777777" w:rsidTr="00E81091">
        <w:trPr>
          <w:trHeight w:val="182"/>
        </w:trPr>
        <w:tc>
          <w:tcPr>
            <w:tcW w:w="2336" w:type="dxa"/>
            <w:vMerge w:val="restart"/>
          </w:tcPr>
          <w:p w14:paraId="1F5668E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89" w:type="dxa"/>
            <w:gridSpan w:val="6"/>
          </w:tcPr>
          <w:p w14:paraId="51020CB3"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3172CC0" w14:textId="77777777" w:rsidTr="00E81091">
        <w:trPr>
          <w:trHeight w:val="182"/>
        </w:trPr>
        <w:tc>
          <w:tcPr>
            <w:tcW w:w="2336" w:type="dxa"/>
            <w:vMerge/>
          </w:tcPr>
          <w:p w14:paraId="7006C241" w14:textId="77777777" w:rsidR="00280E00" w:rsidRPr="00CB1E53" w:rsidRDefault="00280E00" w:rsidP="00FD11D9">
            <w:pPr>
              <w:spacing w:before="20" w:after="20"/>
              <w:jc w:val="both"/>
              <w:rPr>
                <w:rFonts w:ascii="Segoe UI" w:hAnsi="Segoe UI" w:cs="Segoe UI"/>
                <w:b/>
                <w:bCs/>
                <w:sz w:val="18"/>
                <w:szCs w:val="18"/>
              </w:rPr>
            </w:pPr>
          </w:p>
        </w:tc>
        <w:tc>
          <w:tcPr>
            <w:tcW w:w="3546" w:type="dxa"/>
            <w:gridSpan w:val="3"/>
          </w:tcPr>
          <w:p w14:paraId="4E572B7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2018</w:t>
            </w:r>
          </w:p>
        </w:tc>
        <w:tc>
          <w:tcPr>
            <w:tcW w:w="3743" w:type="dxa"/>
            <w:gridSpan w:val="3"/>
          </w:tcPr>
          <w:p w14:paraId="012AD41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573678E1" w14:textId="77777777" w:rsidTr="00E81091">
        <w:tc>
          <w:tcPr>
            <w:tcW w:w="2336" w:type="dxa"/>
          </w:tcPr>
          <w:p w14:paraId="0B1CBD0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89" w:type="dxa"/>
            <w:gridSpan w:val="6"/>
          </w:tcPr>
          <w:p w14:paraId="688BD34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Budget data on total grants paid to qualifying recipients</w:t>
            </w:r>
          </w:p>
        </w:tc>
      </w:tr>
      <w:tr w:rsidR="00280E00" w:rsidRPr="00CB1E53" w14:paraId="59062B86" w14:textId="77777777" w:rsidTr="00E81091">
        <w:tc>
          <w:tcPr>
            <w:tcW w:w="2336" w:type="dxa"/>
          </w:tcPr>
          <w:p w14:paraId="5FC8414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89" w:type="dxa"/>
            <w:gridSpan w:val="6"/>
          </w:tcPr>
          <w:p w14:paraId="207C3B9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Estimating budget expenditures</w:t>
            </w:r>
          </w:p>
        </w:tc>
      </w:tr>
      <w:tr w:rsidR="00280E00" w:rsidRPr="00CB1E53" w14:paraId="3D05B975" w14:textId="77777777" w:rsidTr="00E81091">
        <w:tc>
          <w:tcPr>
            <w:tcW w:w="2336" w:type="dxa"/>
          </w:tcPr>
          <w:p w14:paraId="5CC0AB9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89" w:type="dxa"/>
            <w:gridSpan w:val="6"/>
          </w:tcPr>
          <w:p w14:paraId="6682A52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121729F" w14:textId="77777777" w:rsidTr="00E81091">
        <w:tc>
          <w:tcPr>
            <w:tcW w:w="2336" w:type="dxa"/>
          </w:tcPr>
          <w:p w14:paraId="1FA8888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89" w:type="dxa"/>
            <w:gridSpan w:val="6"/>
          </w:tcPr>
          <w:p w14:paraId="1F89B640" w14:textId="30E69642"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1F76BAB6" w14:textId="77777777" w:rsidTr="00E81091">
        <w:trPr>
          <w:trHeight w:val="91"/>
        </w:trPr>
        <w:tc>
          <w:tcPr>
            <w:tcW w:w="2336" w:type="dxa"/>
            <w:vMerge w:val="restart"/>
          </w:tcPr>
          <w:p w14:paraId="7B36E82B" w14:textId="77777777" w:rsidR="00280E00" w:rsidRPr="00CB1E53" w:rsidRDefault="00280E00" w:rsidP="00FD11D9">
            <w:pPr>
              <w:spacing w:before="20" w:after="20"/>
              <w:jc w:val="both"/>
              <w:rPr>
                <w:rFonts w:ascii="Segoe UI" w:hAnsi="Segoe UI" w:cs="Segoe UI"/>
                <w:b/>
                <w:bCs/>
                <w:sz w:val="18"/>
                <w:szCs w:val="18"/>
              </w:rPr>
            </w:pPr>
          </w:p>
        </w:tc>
        <w:tc>
          <w:tcPr>
            <w:tcW w:w="1287" w:type="dxa"/>
          </w:tcPr>
          <w:p w14:paraId="0475B27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467" w:type="dxa"/>
          </w:tcPr>
          <w:p w14:paraId="324CFD9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483" w:type="dxa"/>
            <w:gridSpan w:val="2"/>
          </w:tcPr>
          <w:p w14:paraId="4EAA3D3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467" w:type="dxa"/>
          </w:tcPr>
          <w:p w14:paraId="73FB1DE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585" w:type="dxa"/>
          </w:tcPr>
          <w:p w14:paraId="03B7063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4420DC19" w14:textId="77777777" w:rsidTr="00E153C9">
        <w:trPr>
          <w:trHeight w:val="170"/>
        </w:trPr>
        <w:tc>
          <w:tcPr>
            <w:tcW w:w="2336" w:type="dxa"/>
            <w:vMerge/>
          </w:tcPr>
          <w:p w14:paraId="28E59137" w14:textId="77777777" w:rsidR="00280E00" w:rsidRPr="00CB1E53" w:rsidRDefault="00280E00" w:rsidP="00FD11D9">
            <w:pPr>
              <w:spacing w:before="20" w:after="20"/>
              <w:jc w:val="both"/>
              <w:rPr>
                <w:rFonts w:ascii="Segoe UI" w:hAnsi="Segoe UI" w:cs="Segoe UI"/>
                <w:b/>
                <w:bCs/>
                <w:sz w:val="18"/>
                <w:szCs w:val="18"/>
              </w:rPr>
            </w:pPr>
          </w:p>
        </w:tc>
        <w:tc>
          <w:tcPr>
            <w:tcW w:w="1287" w:type="dxa"/>
          </w:tcPr>
          <w:p w14:paraId="0A00AE32" w14:textId="1FBE85FE" w:rsidR="00280E00" w:rsidRPr="00CB1E53" w:rsidRDefault="00A9671F" w:rsidP="00FD11D9">
            <w:pPr>
              <w:spacing w:before="20" w:after="20"/>
              <w:jc w:val="both"/>
              <w:rPr>
                <w:rFonts w:ascii="Segoe UI" w:hAnsi="Segoe UI" w:cs="Segoe UI"/>
                <w:sz w:val="18"/>
                <w:szCs w:val="18"/>
              </w:rPr>
            </w:pPr>
            <w:r>
              <w:rPr>
                <w:rFonts w:ascii="Segoe UI" w:hAnsi="Segoe UI" w:cs="Segoe UI"/>
                <w:sz w:val="18"/>
                <w:szCs w:val="18"/>
              </w:rPr>
              <w:t>—</w:t>
            </w:r>
          </w:p>
        </w:tc>
        <w:tc>
          <w:tcPr>
            <w:tcW w:w="1467" w:type="dxa"/>
          </w:tcPr>
          <w:p w14:paraId="4F048677" w14:textId="43B5F569" w:rsidR="00280E00" w:rsidRPr="00E153C9" w:rsidRDefault="00280E00" w:rsidP="00FD11D9">
            <w:pPr>
              <w:spacing w:before="20" w:after="20"/>
              <w:jc w:val="both"/>
              <w:rPr>
                <w:rFonts w:ascii="Segoe UI" w:hAnsi="Segoe UI" w:cs="Segoe UI"/>
                <w:bCs/>
                <w:sz w:val="18"/>
                <w:szCs w:val="18"/>
              </w:rPr>
            </w:pPr>
            <w:r w:rsidRPr="00E153C9">
              <w:rPr>
                <w:rFonts w:ascii="Segoe UI" w:hAnsi="Segoe UI" w:cs="Segoe UI"/>
                <w:bCs/>
                <w:sz w:val="18"/>
                <w:szCs w:val="18"/>
              </w:rPr>
              <w:t>1.01</w:t>
            </w:r>
          </w:p>
        </w:tc>
        <w:tc>
          <w:tcPr>
            <w:tcW w:w="1483" w:type="dxa"/>
            <w:gridSpan w:val="2"/>
          </w:tcPr>
          <w:p w14:paraId="673F21DA" w14:textId="38850FB9" w:rsidR="00280E00" w:rsidRPr="00E153C9" w:rsidRDefault="00280E00" w:rsidP="00FD11D9">
            <w:pPr>
              <w:spacing w:before="20" w:after="20"/>
              <w:jc w:val="both"/>
              <w:rPr>
                <w:rFonts w:ascii="Segoe UI" w:hAnsi="Segoe UI" w:cs="Segoe UI"/>
                <w:bCs/>
                <w:sz w:val="18"/>
                <w:szCs w:val="18"/>
              </w:rPr>
            </w:pPr>
            <w:r w:rsidRPr="00E153C9">
              <w:rPr>
                <w:rFonts w:ascii="Segoe UI" w:hAnsi="Segoe UI" w:cs="Segoe UI"/>
                <w:bCs/>
                <w:sz w:val="18"/>
                <w:szCs w:val="18"/>
              </w:rPr>
              <w:t>2.96</w:t>
            </w:r>
          </w:p>
        </w:tc>
        <w:tc>
          <w:tcPr>
            <w:tcW w:w="1467" w:type="dxa"/>
          </w:tcPr>
          <w:p w14:paraId="6DE45B1D" w14:textId="08A9B9E8" w:rsidR="00280E00" w:rsidRPr="00E153C9" w:rsidRDefault="00280E00" w:rsidP="00FD11D9">
            <w:pPr>
              <w:spacing w:before="20" w:after="20"/>
              <w:jc w:val="both"/>
              <w:rPr>
                <w:rFonts w:ascii="Segoe UI" w:hAnsi="Segoe UI" w:cs="Segoe UI"/>
                <w:bCs/>
                <w:sz w:val="18"/>
                <w:szCs w:val="18"/>
              </w:rPr>
            </w:pPr>
            <w:r w:rsidRPr="00E153C9">
              <w:rPr>
                <w:rFonts w:ascii="Segoe UI" w:hAnsi="Segoe UI" w:cs="Segoe UI"/>
                <w:bCs/>
                <w:sz w:val="18"/>
                <w:szCs w:val="18"/>
              </w:rPr>
              <w:t>6.2</w:t>
            </w:r>
          </w:p>
        </w:tc>
        <w:tc>
          <w:tcPr>
            <w:tcW w:w="1585" w:type="dxa"/>
            <w:shd w:val="clear" w:color="auto" w:fill="E6E6E6" w:themeFill="background1" w:themeFillShade="E6"/>
          </w:tcPr>
          <w:p w14:paraId="6C884DE3" w14:textId="724DB36C" w:rsidR="004E1A26" w:rsidRPr="00706F15" w:rsidRDefault="004E1A26" w:rsidP="00FD11D9">
            <w:pPr>
              <w:spacing w:before="20" w:after="20"/>
              <w:jc w:val="both"/>
              <w:rPr>
                <w:rFonts w:ascii="Segoe UI" w:hAnsi="Segoe UI" w:cs="Segoe UI"/>
                <w:i/>
                <w:iCs/>
                <w:sz w:val="18"/>
                <w:szCs w:val="18"/>
              </w:rPr>
            </w:pPr>
            <w:r w:rsidRPr="00706F15">
              <w:rPr>
                <w:rFonts w:ascii="Segoe UI" w:hAnsi="Segoe UI"/>
                <w:i/>
                <w:iCs/>
                <w:sz w:val="18"/>
              </w:rPr>
              <w:t>6.</w:t>
            </w:r>
            <w:r w:rsidRPr="00706F15">
              <w:rPr>
                <w:rFonts w:ascii="Segoe UI" w:hAnsi="Segoe UI" w:cs="Segoe UI"/>
                <w:i/>
                <w:iCs/>
                <w:sz w:val="18"/>
                <w:szCs w:val="18"/>
              </w:rPr>
              <w:t>8</w:t>
            </w:r>
          </w:p>
        </w:tc>
      </w:tr>
    </w:tbl>
    <w:p w14:paraId="3BA894CE"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02069F33" w14:textId="77777777" w:rsidTr="00690197">
        <w:tc>
          <w:tcPr>
            <w:tcW w:w="9625" w:type="dxa"/>
            <w:gridSpan w:val="7"/>
            <w:shd w:val="clear" w:color="auto" w:fill="D9D9D9" w:themeFill="background1" w:themeFillShade="D9"/>
          </w:tcPr>
          <w:p w14:paraId="31AAD6FE" w14:textId="57E3C14F"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4. All fringe benefit payments by an employer such as meals etc. are tax exempt</w:t>
            </w:r>
          </w:p>
        </w:tc>
      </w:tr>
      <w:tr w:rsidR="00280E00" w:rsidRPr="00CB1E53" w14:paraId="7712FB0A" w14:textId="77777777" w:rsidTr="00690197">
        <w:tc>
          <w:tcPr>
            <w:tcW w:w="2425" w:type="dxa"/>
          </w:tcPr>
          <w:p w14:paraId="5316219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313BBA9" w14:textId="0B56BD53"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All payments incurred by an employer to the benefit of his employees in accordance with Art</w:t>
            </w:r>
            <w:r w:rsidR="0052766A">
              <w:rPr>
                <w:rFonts w:ascii="Segoe UI" w:hAnsi="Segoe UI" w:cs="Segoe UI"/>
                <w:sz w:val="18"/>
                <w:szCs w:val="18"/>
              </w:rPr>
              <w:t>.</w:t>
            </w:r>
            <w:r w:rsidRPr="00CB1E53">
              <w:rPr>
                <w:rFonts w:ascii="Segoe UI" w:hAnsi="Segoe UI" w:cs="Segoe UI"/>
                <w:sz w:val="18"/>
                <w:szCs w:val="18"/>
              </w:rPr>
              <w:t xml:space="preserve"> 24 (19) to (20), constituting part of the salary package of an employee are tax exempt. These include benefits such as employee’s transport, food, professional studies, tech</w:t>
            </w:r>
            <w:r w:rsidR="0052766A">
              <w:rPr>
                <w:rFonts w:ascii="Segoe UI" w:hAnsi="Segoe UI" w:cs="Segoe UI"/>
                <w:sz w:val="18"/>
                <w:szCs w:val="18"/>
              </w:rPr>
              <w:t>nical</w:t>
            </w:r>
            <w:r w:rsidRPr="00CB1E53">
              <w:rPr>
                <w:rFonts w:ascii="Segoe UI" w:hAnsi="Segoe UI" w:cs="Segoe UI"/>
                <w:sz w:val="18"/>
                <w:szCs w:val="18"/>
              </w:rPr>
              <w:t xml:space="preserve"> training programs. </w:t>
            </w:r>
          </w:p>
        </w:tc>
      </w:tr>
      <w:tr w:rsidR="00280E00" w:rsidRPr="00CB1E53" w14:paraId="7803BED0" w14:textId="77777777" w:rsidTr="00690197">
        <w:tc>
          <w:tcPr>
            <w:tcW w:w="2425" w:type="dxa"/>
          </w:tcPr>
          <w:p w14:paraId="2E3594C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898C67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5888BCEB" w14:textId="77777777" w:rsidTr="00690197">
        <w:tc>
          <w:tcPr>
            <w:tcW w:w="2425" w:type="dxa"/>
          </w:tcPr>
          <w:p w14:paraId="42BC391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9E7B14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Employees benefiting from the above fringe benefits paid by employers</w:t>
            </w:r>
          </w:p>
        </w:tc>
      </w:tr>
      <w:tr w:rsidR="00280E00" w:rsidRPr="00CB1E53" w14:paraId="2F206BA9" w14:textId="77777777" w:rsidTr="00690197">
        <w:tc>
          <w:tcPr>
            <w:tcW w:w="2425" w:type="dxa"/>
          </w:tcPr>
          <w:p w14:paraId="10C4723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B5D8E1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582715CD" w14:textId="77777777" w:rsidTr="00690197">
        <w:tc>
          <w:tcPr>
            <w:tcW w:w="2425" w:type="dxa"/>
          </w:tcPr>
          <w:p w14:paraId="09CEF66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3D0B11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All fringe benefits constitute income in the hands of the employee under the comprehensive income concept. They should attract PIT at the flat rate of 12% if the combined income streams exceed the basic personal allowance of MDL 27,000 per year. The non-taxation constitutes therefore a tax expenditure. Also, since employers can </w:t>
            </w:r>
            <w:r w:rsidRPr="00CB1E53">
              <w:rPr>
                <w:rFonts w:ascii="Segoe UI" w:hAnsi="Segoe UI" w:cs="Segoe UI"/>
                <w:sz w:val="18"/>
                <w:szCs w:val="18"/>
              </w:rPr>
              <w:lastRenderedPageBreak/>
              <w:t>deduct these transfers to their employees as expenses the symmetry principle holds that it should be taxed in the hands of the receiving party.</w:t>
            </w:r>
          </w:p>
        </w:tc>
      </w:tr>
      <w:tr w:rsidR="00280E00" w:rsidRPr="00CB1E53" w14:paraId="3F904AC7" w14:textId="77777777" w:rsidTr="00690197">
        <w:tc>
          <w:tcPr>
            <w:tcW w:w="2425" w:type="dxa"/>
          </w:tcPr>
          <w:p w14:paraId="6E7C2DC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Legal Reference</w:t>
            </w:r>
          </w:p>
        </w:tc>
        <w:tc>
          <w:tcPr>
            <w:tcW w:w="7200" w:type="dxa"/>
            <w:gridSpan w:val="6"/>
          </w:tcPr>
          <w:p w14:paraId="2CF49F4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24(d</w:t>
            </w:r>
            <w:r w:rsidRPr="00CB1E53">
              <w:rPr>
                <w:rFonts w:ascii="Segoe UI" w:hAnsi="Segoe UI" w:cs="Segoe UI"/>
                <w:sz w:val="18"/>
                <w:szCs w:val="18"/>
                <w:vertAlign w:val="superscript"/>
              </w:rPr>
              <w:t>6</w:t>
            </w:r>
            <w:r w:rsidRPr="00CB1E53">
              <w:rPr>
                <w:rFonts w:ascii="Segoe UI" w:hAnsi="Segoe UI" w:cs="Segoe UI"/>
                <w:sz w:val="18"/>
                <w:szCs w:val="18"/>
              </w:rPr>
              <w:t>)</w:t>
            </w:r>
          </w:p>
        </w:tc>
      </w:tr>
      <w:tr w:rsidR="00280E00" w:rsidRPr="00CB1E53" w14:paraId="1ED6DEFE" w14:textId="77777777" w:rsidTr="00690197">
        <w:trPr>
          <w:trHeight w:val="182"/>
        </w:trPr>
        <w:tc>
          <w:tcPr>
            <w:tcW w:w="2425" w:type="dxa"/>
            <w:vMerge w:val="restart"/>
          </w:tcPr>
          <w:p w14:paraId="1D918D2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3E121B4"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221C790" w14:textId="77777777" w:rsidTr="00690197">
        <w:trPr>
          <w:trHeight w:val="182"/>
        </w:trPr>
        <w:tc>
          <w:tcPr>
            <w:tcW w:w="2425" w:type="dxa"/>
            <w:vMerge/>
          </w:tcPr>
          <w:p w14:paraId="34357FA1"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036E16A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2018</w:t>
            </w:r>
          </w:p>
        </w:tc>
        <w:tc>
          <w:tcPr>
            <w:tcW w:w="3738" w:type="dxa"/>
            <w:gridSpan w:val="3"/>
          </w:tcPr>
          <w:p w14:paraId="31681CB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8917CF" w:rsidRPr="00CB1E53" w14:paraId="7F61A019" w14:textId="77777777" w:rsidTr="00690197">
        <w:tc>
          <w:tcPr>
            <w:tcW w:w="2425" w:type="dxa"/>
          </w:tcPr>
          <w:p w14:paraId="64F18C31" w14:textId="77777777" w:rsidR="008917CF" w:rsidRPr="00CB1E53" w:rsidRDefault="008917C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19C2C71" w14:textId="03D42DC3" w:rsidR="008917CF" w:rsidRPr="00CB1E53" w:rsidRDefault="008917C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8917CF" w:rsidRPr="00CB1E53" w14:paraId="5979405D" w14:textId="77777777" w:rsidTr="00690197">
        <w:tc>
          <w:tcPr>
            <w:tcW w:w="2425" w:type="dxa"/>
          </w:tcPr>
          <w:p w14:paraId="5F47CFFF" w14:textId="77777777" w:rsidR="008917CF" w:rsidRPr="00CB1E53" w:rsidRDefault="008917C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1035FA6" w14:textId="6CF53D0B" w:rsidR="008917CF" w:rsidRPr="00CB1E53" w:rsidRDefault="008917C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7CA0CE0A" w14:textId="77777777" w:rsidTr="00690197">
        <w:tc>
          <w:tcPr>
            <w:tcW w:w="2425" w:type="dxa"/>
          </w:tcPr>
          <w:p w14:paraId="1BA7208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598A938"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556A143" w14:textId="77777777" w:rsidTr="00690197">
        <w:tc>
          <w:tcPr>
            <w:tcW w:w="2425" w:type="dxa"/>
          </w:tcPr>
          <w:p w14:paraId="400D49D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8D6D92E" w14:textId="5D18C02D"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454767E6" w14:textId="77777777" w:rsidTr="00690197">
        <w:trPr>
          <w:trHeight w:val="91"/>
        </w:trPr>
        <w:tc>
          <w:tcPr>
            <w:tcW w:w="2425" w:type="dxa"/>
            <w:vMerge w:val="restart"/>
          </w:tcPr>
          <w:p w14:paraId="2775623B"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5D46319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8E89A7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E7A745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ACDEE6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9405D4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280E00" w:rsidRPr="00CB1E53" w14:paraId="79C4E08D" w14:textId="77777777" w:rsidTr="008917CF">
        <w:trPr>
          <w:trHeight w:val="91"/>
        </w:trPr>
        <w:tc>
          <w:tcPr>
            <w:tcW w:w="2425" w:type="dxa"/>
            <w:vMerge/>
          </w:tcPr>
          <w:p w14:paraId="5F69CD1A"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8EE4385" w14:textId="3692CC74" w:rsidR="00280E00" w:rsidRPr="00CB1E53" w:rsidRDefault="008917C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67A146CA" w14:textId="5C4A5255" w:rsidR="00280E00" w:rsidRPr="00CB1E53" w:rsidRDefault="008917C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3125AECA" w14:textId="461FFC09" w:rsidR="00280E00" w:rsidRPr="00CB1E53" w:rsidRDefault="008917C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0DAF5B72" w14:textId="3D0DEEA9" w:rsidR="00280E00" w:rsidRPr="00CB1E53" w:rsidRDefault="008917C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shd w:val="clear" w:color="auto" w:fill="auto"/>
          </w:tcPr>
          <w:p w14:paraId="1B53D2A6" w14:textId="6CB56D10" w:rsidR="00280E00" w:rsidRPr="00706F15" w:rsidRDefault="008917CF" w:rsidP="00FD11D9">
            <w:pPr>
              <w:spacing w:before="20" w:after="20"/>
              <w:jc w:val="both"/>
              <w:rPr>
                <w:rFonts w:ascii="Segoe UI" w:hAnsi="Segoe UI" w:cs="Segoe UI"/>
                <w:i/>
                <w:iCs/>
                <w:sz w:val="18"/>
                <w:szCs w:val="18"/>
              </w:rPr>
            </w:pPr>
            <w:r>
              <w:rPr>
                <w:rFonts w:ascii="Segoe UI" w:hAnsi="Segoe UI" w:cs="Segoe UI"/>
                <w:i/>
                <w:iCs/>
                <w:color w:val="000000"/>
                <w:sz w:val="18"/>
                <w:szCs w:val="18"/>
              </w:rPr>
              <w:t>—</w:t>
            </w:r>
          </w:p>
        </w:tc>
      </w:tr>
    </w:tbl>
    <w:p w14:paraId="10E76E8C" w14:textId="0CC5AB9A"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6DC7CDDC" w14:textId="77777777" w:rsidTr="00690197">
        <w:tc>
          <w:tcPr>
            <w:tcW w:w="9625" w:type="dxa"/>
            <w:gridSpan w:val="7"/>
            <w:shd w:val="clear" w:color="auto" w:fill="D9D9D9" w:themeFill="background1" w:themeFillShade="D9"/>
          </w:tcPr>
          <w:p w14:paraId="2B8022E7" w14:textId="18194ACB"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5. Tax exemption of scholarships for pupils, students</w:t>
            </w:r>
            <w:r w:rsidR="0052766A">
              <w:rPr>
                <w:rFonts w:ascii="Segoe UI" w:hAnsi="Segoe UI" w:cs="Segoe UI"/>
                <w:b/>
                <w:bCs/>
                <w:sz w:val="18"/>
                <w:szCs w:val="18"/>
              </w:rPr>
              <w:t>,</w:t>
            </w:r>
            <w:r w:rsidRPr="00CB1E53">
              <w:rPr>
                <w:rFonts w:ascii="Segoe UI" w:hAnsi="Segoe UI" w:cs="Segoe UI"/>
                <w:b/>
                <w:bCs/>
                <w:sz w:val="18"/>
                <w:szCs w:val="18"/>
              </w:rPr>
              <w:t xml:space="preserve"> and postgraduate students</w:t>
            </w:r>
          </w:p>
        </w:tc>
      </w:tr>
      <w:tr w:rsidR="00280E00" w:rsidRPr="00CB1E53" w14:paraId="665F5996" w14:textId="77777777" w:rsidTr="00690197">
        <w:tc>
          <w:tcPr>
            <w:tcW w:w="2425" w:type="dxa"/>
          </w:tcPr>
          <w:p w14:paraId="253157E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104F607" w14:textId="77777777"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color w:val="000000"/>
                <w:sz w:val="18"/>
                <w:szCs w:val="18"/>
              </w:rPr>
              <w:t xml:space="preserve">All scholarships for pupils, students and post-graduate students or post-graduate specialized education are tax exempt. This applies for state or private education institutions according to the education </w:t>
            </w:r>
            <w:r w:rsidRPr="00CB1E53">
              <w:rPr>
                <w:rFonts w:ascii="Segoe UI" w:hAnsi="Segoe UI" w:cs="Segoe UI"/>
                <w:sz w:val="18"/>
                <w:szCs w:val="18"/>
              </w:rPr>
              <w:t>legislation, as established by these education institutions, as well as scholarships granted by charitable organizations, except for the payments for teaching or research activity, single allowances granted to young specialists employed in the rural areas according to their assignment.</w:t>
            </w:r>
          </w:p>
        </w:tc>
      </w:tr>
      <w:tr w:rsidR="00280E00" w:rsidRPr="00CB1E53" w14:paraId="3A259ED4" w14:textId="77777777" w:rsidTr="00690197">
        <w:tc>
          <w:tcPr>
            <w:tcW w:w="2425" w:type="dxa"/>
          </w:tcPr>
          <w:p w14:paraId="72FCB0D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318669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58EFE7BF" w14:textId="77777777" w:rsidTr="00690197">
        <w:tc>
          <w:tcPr>
            <w:tcW w:w="2425" w:type="dxa"/>
          </w:tcPr>
          <w:p w14:paraId="504B064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693CB4C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Recipients of scholarships as defined above.</w:t>
            </w:r>
          </w:p>
        </w:tc>
      </w:tr>
      <w:tr w:rsidR="00280E00" w:rsidRPr="00CB1E53" w14:paraId="11D13EFA" w14:textId="77777777" w:rsidTr="00690197">
        <w:tc>
          <w:tcPr>
            <w:tcW w:w="2425" w:type="dxa"/>
          </w:tcPr>
          <w:p w14:paraId="069A5FB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B575E8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2BA01235" w14:textId="77777777" w:rsidTr="00690197">
        <w:tc>
          <w:tcPr>
            <w:tcW w:w="2425" w:type="dxa"/>
          </w:tcPr>
          <w:p w14:paraId="2369B4A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943DDC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All transfer payments constitute income in the hands of the bursary beneficiaries under the comprehensive income concept. They should attract PIT at the flat rate of 12% if their combined income streams exceed the basic personal allowance of MDL 27,000 per year. The non-taxation constitutes therefore a tax expenditure.</w:t>
            </w:r>
          </w:p>
        </w:tc>
      </w:tr>
      <w:tr w:rsidR="00280E00" w:rsidRPr="00CB1E53" w14:paraId="4A7F23F0" w14:textId="77777777" w:rsidTr="00690197">
        <w:tc>
          <w:tcPr>
            <w:tcW w:w="2425" w:type="dxa"/>
          </w:tcPr>
          <w:p w14:paraId="36E738D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F7C9C2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20(e)</w:t>
            </w:r>
          </w:p>
        </w:tc>
      </w:tr>
      <w:tr w:rsidR="00280E00" w:rsidRPr="00CB1E53" w14:paraId="63BAD47E" w14:textId="77777777" w:rsidTr="00690197">
        <w:trPr>
          <w:trHeight w:val="182"/>
        </w:trPr>
        <w:tc>
          <w:tcPr>
            <w:tcW w:w="2425" w:type="dxa"/>
            <w:vMerge w:val="restart"/>
          </w:tcPr>
          <w:p w14:paraId="0A9288A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290452E"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AF1022A" w14:textId="77777777" w:rsidTr="00690197">
        <w:trPr>
          <w:trHeight w:val="182"/>
        </w:trPr>
        <w:tc>
          <w:tcPr>
            <w:tcW w:w="2425" w:type="dxa"/>
            <w:vMerge/>
          </w:tcPr>
          <w:p w14:paraId="1176DD5D"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1816E85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41DD1EB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63DA4BF8" w14:textId="77777777" w:rsidTr="00690197">
        <w:tc>
          <w:tcPr>
            <w:tcW w:w="2425" w:type="dxa"/>
          </w:tcPr>
          <w:p w14:paraId="6AECE65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D4E6736" w14:textId="7AAED9B8" w:rsidR="00280E00" w:rsidRPr="00CB1E53" w:rsidRDefault="00E153C9" w:rsidP="00FD11D9">
            <w:pPr>
              <w:spacing w:before="20" w:after="20"/>
              <w:jc w:val="both"/>
              <w:rPr>
                <w:rFonts w:ascii="Segoe UI" w:hAnsi="Segoe UI" w:cs="Segoe UI"/>
                <w:sz w:val="18"/>
                <w:szCs w:val="18"/>
              </w:rPr>
            </w:pPr>
            <w:r>
              <w:rPr>
                <w:rFonts w:ascii="Segoe UI" w:hAnsi="Segoe UI" w:cs="Segoe UI"/>
                <w:sz w:val="18"/>
                <w:szCs w:val="18"/>
              </w:rPr>
              <w:t>S</w:t>
            </w:r>
            <w:r w:rsidR="00280E00" w:rsidRPr="00CB1E53">
              <w:rPr>
                <w:rFonts w:ascii="Segoe UI" w:hAnsi="Segoe UI" w:cs="Segoe UI"/>
                <w:sz w:val="18"/>
                <w:szCs w:val="18"/>
              </w:rPr>
              <w:t>tate budget data</w:t>
            </w:r>
          </w:p>
        </w:tc>
      </w:tr>
      <w:tr w:rsidR="00280E00" w:rsidRPr="00CB1E53" w14:paraId="3C868547" w14:textId="77777777" w:rsidTr="00690197">
        <w:tc>
          <w:tcPr>
            <w:tcW w:w="2425" w:type="dxa"/>
          </w:tcPr>
          <w:p w14:paraId="48A162A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25185C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Estimating budget expenditures</w:t>
            </w:r>
          </w:p>
        </w:tc>
      </w:tr>
      <w:tr w:rsidR="00280E00" w:rsidRPr="00CB1E53" w14:paraId="5638FDB1" w14:textId="77777777" w:rsidTr="00690197">
        <w:tc>
          <w:tcPr>
            <w:tcW w:w="2425" w:type="dxa"/>
          </w:tcPr>
          <w:p w14:paraId="0FB3C80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F0DF9E7"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1CCA31C" w14:textId="77777777" w:rsidTr="00690197">
        <w:tc>
          <w:tcPr>
            <w:tcW w:w="2425" w:type="dxa"/>
          </w:tcPr>
          <w:p w14:paraId="636942F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83C065B" w14:textId="797AC963"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49B9C3A4" w14:textId="77777777" w:rsidTr="00C37C1D">
        <w:trPr>
          <w:trHeight w:val="91"/>
        </w:trPr>
        <w:tc>
          <w:tcPr>
            <w:tcW w:w="2425" w:type="dxa"/>
            <w:vMerge w:val="restart"/>
          </w:tcPr>
          <w:p w14:paraId="729A18AC" w14:textId="77777777" w:rsidR="00280E00" w:rsidRPr="00CB1E53" w:rsidRDefault="00280E00" w:rsidP="00FD11D9">
            <w:pPr>
              <w:spacing w:before="20" w:after="20"/>
              <w:jc w:val="both"/>
              <w:rPr>
                <w:rFonts w:ascii="Segoe UI" w:hAnsi="Segoe UI" w:cs="Segoe UI"/>
                <w:b/>
                <w:bCs/>
                <w:sz w:val="18"/>
                <w:szCs w:val="18"/>
              </w:rPr>
            </w:pPr>
          </w:p>
        </w:tc>
        <w:tc>
          <w:tcPr>
            <w:tcW w:w="1385" w:type="dxa"/>
            <w:shd w:val="clear" w:color="auto" w:fill="auto"/>
          </w:tcPr>
          <w:p w14:paraId="1CB184D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shd w:val="clear" w:color="auto" w:fill="auto"/>
          </w:tcPr>
          <w:p w14:paraId="6141AD1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shd w:val="clear" w:color="auto" w:fill="auto"/>
          </w:tcPr>
          <w:p w14:paraId="2F99BFF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shd w:val="clear" w:color="auto" w:fill="auto"/>
          </w:tcPr>
          <w:p w14:paraId="38664F8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shd w:val="clear" w:color="auto" w:fill="auto"/>
          </w:tcPr>
          <w:p w14:paraId="4806D8D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50DEF8BF" w14:textId="77777777" w:rsidTr="007B38FB">
        <w:trPr>
          <w:trHeight w:val="91"/>
        </w:trPr>
        <w:tc>
          <w:tcPr>
            <w:tcW w:w="2425" w:type="dxa"/>
            <w:vMerge/>
          </w:tcPr>
          <w:p w14:paraId="76933701" w14:textId="77777777" w:rsidR="00280E00" w:rsidRPr="00CB1E53" w:rsidRDefault="00280E00" w:rsidP="00FD11D9">
            <w:pPr>
              <w:spacing w:before="20" w:after="20"/>
              <w:jc w:val="both"/>
              <w:rPr>
                <w:rFonts w:ascii="Segoe UI" w:hAnsi="Segoe UI" w:cs="Segoe UI"/>
                <w:b/>
                <w:bCs/>
                <w:sz w:val="18"/>
                <w:szCs w:val="18"/>
                <w:highlight w:val="yellow"/>
              </w:rPr>
            </w:pPr>
          </w:p>
        </w:tc>
        <w:tc>
          <w:tcPr>
            <w:tcW w:w="1385" w:type="dxa"/>
            <w:shd w:val="clear" w:color="auto" w:fill="auto"/>
          </w:tcPr>
          <w:p w14:paraId="30913988" w14:textId="05F3DBA5" w:rsidR="00280E00" w:rsidRPr="00CB1E53" w:rsidRDefault="00280E00" w:rsidP="00FD11D9">
            <w:pPr>
              <w:spacing w:before="20" w:after="20"/>
              <w:jc w:val="both"/>
              <w:rPr>
                <w:rFonts w:ascii="Segoe UI" w:hAnsi="Segoe UI" w:cs="Segoe UI"/>
                <w:b/>
                <w:sz w:val="18"/>
                <w:szCs w:val="18"/>
              </w:rPr>
            </w:pPr>
            <w:r w:rsidRPr="00CB1E53">
              <w:rPr>
                <w:rFonts w:ascii="Segoe UI" w:hAnsi="Segoe UI" w:cs="Segoe UI"/>
                <w:sz w:val="18"/>
                <w:szCs w:val="18"/>
              </w:rPr>
              <w:t>112. 1</w:t>
            </w:r>
          </w:p>
        </w:tc>
        <w:tc>
          <w:tcPr>
            <w:tcW w:w="1385" w:type="dxa"/>
            <w:shd w:val="clear" w:color="auto" w:fill="auto"/>
          </w:tcPr>
          <w:p w14:paraId="45C609E5" w14:textId="773DF179" w:rsidR="00280E00" w:rsidRPr="00CB1E53" w:rsidRDefault="00280E00" w:rsidP="00FD11D9">
            <w:pPr>
              <w:spacing w:before="20" w:after="20"/>
              <w:jc w:val="both"/>
              <w:rPr>
                <w:rFonts w:ascii="Segoe UI" w:hAnsi="Segoe UI" w:cs="Segoe UI"/>
                <w:b/>
                <w:sz w:val="18"/>
                <w:szCs w:val="18"/>
              </w:rPr>
            </w:pPr>
            <w:r w:rsidRPr="00CB1E53">
              <w:rPr>
                <w:rFonts w:ascii="Segoe UI" w:hAnsi="Segoe UI" w:cs="Segoe UI"/>
                <w:sz w:val="18"/>
                <w:szCs w:val="18"/>
              </w:rPr>
              <w:t>247. 2</w:t>
            </w:r>
          </w:p>
        </w:tc>
        <w:tc>
          <w:tcPr>
            <w:tcW w:w="1385" w:type="dxa"/>
            <w:gridSpan w:val="2"/>
            <w:shd w:val="clear" w:color="auto" w:fill="auto"/>
          </w:tcPr>
          <w:p w14:paraId="2E81226B" w14:textId="32BFDFA7" w:rsidR="00280E00" w:rsidRPr="00CB1E53" w:rsidRDefault="00280E00" w:rsidP="00FD11D9">
            <w:pPr>
              <w:spacing w:before="20" w:after="20"/>
              <w:jc w:val="both"/>
              <w:rPr>
                <w:rFonts w:ascii="Segoe UI" w:hAnsi="Segoe UI" w:cs="Segoe UI"/>
                <w:b/>
                <w:sz w:val="18"/>
                <w:szCs w:val="18"/>
              </w:rPr>
            </w:pPr>
            <w:r w:rsidRPr="00CB1E53">
              <w:rPr>
                <w:rFonts w:ascii="Segoe UI" w:hAnsi="Segoe UI" w:cs="Segoe UI"/>
                <w:sz w:val="18"/>
                <w:szCs w:val="18"/>
              </w:rPr>
              <w:t>252. 2</w:t>
            </w:r>
          </w:p>
        </w:tc>
        <w:tc>
          <w:tcPr>
            <w:tcW w:w="1385" w:type="dxa"/>
            <w:shd w:val="clear" w:color="auto" w:fill="E6E6E6" w:themeFill="background1" w:themeFillShade="E6"/>
          </w:tcPr>
          <w:p w14:paraId="2B1228DB" w14:textId="1F135B54" w:rsidR="00B15790" w:rsidRPr="00706F15" w:rsidRDefault="00B02BC1" w:rsidP="00FD11D9">
            <w:pPr>
              <w:spacing w:before="20" w:after="20"/>
              <w:jc w:val="both"/>
              <w:rPr>
                <w:rFonts w:ascii="Segoe UI" w:hAnsi="Segoe UI" w:cs="Segoe UI"/>
                <w:i/>
                <w:iCs/>
                <w:sz w:val="18"/>
                <w:szCs w:val="18"/>
              </w:rPr>
            </w:pPr>
            <w:r w:rsidRPr="00706F15">
              <w:rPr>
                <w:rFonts w:ascii="Segoe UI" w:hAnsi="Segoe UI" w:cs="Segoe UI"/>
                <w:i/>
                <w:iCs/>
                <w:sz w:val="18"/>
                <w:szCs w:val="18"/>
              </w:rPr>
              <w:t>285.4</w:t>
            </w:r>
          </w:p>
        </w:tc>
        <w:tc>
          <w:tcPr>
            <w:tcW w:w="1660" w:type="dxa"/>
            <w:shd w:val="clear" w:color="auto" w:fill="E6E6E6" w:themeFill="background1" w:themeFillShade="E6"/>
          </w:tcPr>
          <w:p w14:paraId="72B6260F" w14:textId="14640C50" w:rsidR="00340BDF" w:rsidRPr="00706F15" w:rsidRDefault="00340BDF" w:rsidP="00FD11D9">
            <w:pPr>
              <w:spacing w:before="20" w:after="20"/>
              <w:jc w:val="both"/>
              <w:rPr>
                <w:rFonts w:ascii="Segoe UI" w:hAnsi="Segoe UI" w:cs="Segoe UI"/>
                <w:i/>
                <w:iCs/>
                <w:sz w:val="18"/>
                <w:szCs w:val="18"/>
              </w:rPr>
            </w:pPr>
            <w:r w:rsidRPr="00706F15">
              <w:rPr>
                <w:rFonts w:ascii="Segoe UI" w:hAnsi="Segoe UI" w:cs="Segoe UI"/>
                <w:i/>
                <w:iCs/>
                <w:sz w:val="18"/>
                <w:szCs w:val="18"/>
              </w:rPr>
              <w:t>313.8</w:t>
            </w:r>
          </w:p>
        </w:tc>
      </w:tr>
    </w:tbl>
    <w:p w14:paraId="45E62880"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15DD5F90" w14:textId="77777777" w:rsidTr="00E81091">
        <w:tc>
          <w:tcPr>
            <w:tcW w:w="9625" w:type="dxa"/>
            <w:gridSpan w:val="7"/>
            <w:shd w:val="clear" w:color="auto" w:fill="D9D9D9" w:themeFill="background1" w:themeFillShade="D9"/>
          </w:tcPr>
          <w:p w14:paraId="54D8A276" w14:textId="1CA9EA5C"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6. Tax exemption of received patrimony received as a donation or inheritance</w:t>
            </w:r>
          </w:p>
        </w:tc>
      </w:tr>
      <w:tr w:rsidR="00280E00" w:rsidRPr="00CB1E53" w14:paraId="0547689F" w14:textId="77777777" w:rsidTr="00E81091">
        <w:tc>
          <w:tcPr>
            <w:tcW w:w="2425" w:type="dxa"/>
          </w:tcPr>
          <w:p w14:paraId="68A7D0D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9044E9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Exempt from PIT are patrimony received by the natural persons citizens of the Republic of Moldova as a donation or inheritance, except for the donations made according to Article 90¹ para (3¹);</w:t>
            </w:r>
          </w:p>
        </w:tc>
      </w:tr>
      <w:tr w:rsidR="00280E00" w:rsidRPr="00CB1E53" w14:paraId="01463570" w14:textId="77777777" w:rsidTr="00E81091">
        <w:tc>
          <w:tcPr>
            <w:tcW w:w="2425" w:type="dxa"/>
          </w:tcPr>
          <w:p w14:paraId="1F8561F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B0C488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7E4A7EB3" w14:textId="77777777" w:rsidTr="00E81091">
        <w:tc>
          <w:tcPr>
            <w:tcW w:w="2425" w:type="dxa"/>
          </w:tcPr>
          <w:p w14:paraId="7D7CC27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63DDCC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 of patrimony</w:t>
            </w:r>
          </w:p>
        </w:tc>
      </w:tr>
      <w:tr w:rsidR="00280E00" w:rsidRPr="00CB1E53" w14:paraId="74E4CA69" w14:textId="77777777" w:rsidTr="00E81091">
        <w:tc>
          <w:tcPr>
            <w:tcW w:w="2425" w:type="dxa"/>
          </w:tcPr>
          <w:p w14:paraId="0AEB87C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8C47C6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Exemption</w:t>
            </w:r>
          </w:p>
        </w:tc>
      </w:tr>
      <w:tr w:rsidR="00280E00" w:rsidRPr="00CB1E53" w14:paraId="474BCE09" w14:textId="77777777" w:rsidTr="00E81091">
        <w:tc>
          <w:tcPr>
            <w:tcW w:w="2425" w:type="dxa"/>
          </w:tcPr>
          <w:p w14:paraId="0836264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067C05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these transfers//payments constitute income in the hands of the persons receiving the patrimony. They should attract PIT at the flat rate of 12% if their combined income streams exceed the basic personal allowance of MDL 27,000 per year. The non-taxation constitutes therefore a tax expenditure.</w:t>
            </w:r>
          </w:p>
        </w:tc>
      </w:tr>
      <w:tr w:rsidR="00280E00" w:rsidRPr="00CB1E53" w14:paraId="7035F4D9" w14:textId="77777777" w:rsidTr="00E81091">
        <w:tc>
          <w:tcPr>
            <w:tcW w:w="2425" w:type="dxa"/>
          </w:tcPr>
          <w:p w14:paraId="422BFAB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C3E61A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w:t>
            </w:r>
            <w:proofErr w:type="spellStart"/>
            <w:r w:rsidRPr="00CB1E53">
              <w:rPr>
                <w:rFonts w:ascii="Segoe UI" w:hAnsi="Segoe UI" w:cs="Segoe UI"/>
                <w:sz w:val="18"/>
                <w:szCs w:val="18"/>
              </w:rPr>
              <w:t>i</w:t>
            </w:r>
            <w:proofErr w:type="spellEnd"/>
            <w:r w:rsidRPr="00CB1E53">
              <w:rPr>
                <w:rFonts w:ascii="Segoe UI" w:hAnsi="Segoe UI" w:cs="Segoe UI"/>
                <w:sz w:val="18"/>
                <w:szCs w:val="18"/>
              </w:rPr>
              <w:t>)</w:t>
            </w:r>
          </w:p>
        </w:tc>
      </w:tr>
      <w:tr w:rsidR="00280E00" w:rsidRPr="00CB1E53" w14:paraId="7726C5E3" w14:textId="77777777" w:rsidTr="00E81091">
        <w:trPr>
          <w:trHeight w:val="182"/>
        </w:trPr>
        <w:tc>
          <w:tcPr>
            <w:tcW w:w="2425" w:type="dxa"/>
            <w:vMerge w:val="restart"/>
          </w:tcPr>
          <w:p w14:paraId="60FF223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Implementation, Objectives, and History</w:t>
            </w:r>
          </w:p>
        </w:tc>
        <w:tc>
          <w:tcPr>
            <w:tcW w:w="7200" w:type="dxa"/>
            <w:gridSpan w:val="6"/>
          </w:tcPr>
          <w:p w14:paraId="36D07BB6"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1A875F6" w14:textId="77777777" w:rsidTr="00E81091">
        <w:trPr>
          <w:trHeight w:val="182"/>
        </w:trPr>
        <w:tc>
          <w:tcPr>
            <w:tcW w:w="2425" w:type="dxa"/>
            <w:vMerge/>
          </w:tcPr>
          <w:p w14:paraId="25828E53"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1C9ADF8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7C7EA5B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0DC0B39C" w14:textId="77777777" w:rsidTr="00E81091">
        <w:tc>
          <w:tcPr>
            <w:tcW w:w="2425" w:type="dxa"/>
          </w:tcPr>
          <w:p w14:paraId="56C22A6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1E232B8" w14:textId="02D11537" w:rsidR="00280E00"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280E00" w:rsidRPr="00CB1E53" w14:paraId="5E3D3D2D" w14:textId="77777777" w:rsidTr="00E81091">
        <w:tc>
          <w:tcPr>
            <w:tcW w:w="2425" w:type="dxa"/>
          </w:tcPr>
          <w:p w14:paraId="34B7176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F0998F1" w14:textId="5F204B6C" w:rsidR="00280E00"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06F157E8" w14:textId="77777777" w:rsidTr="00E81091">
        <w:tc>
          <w:tcPr>
            <w:tcW w:w="2425" w:type="dxa"/>
          </w:tcPr>
          <w:p w14:paraId="6E60C94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2169225"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B2AE8D2" w14:textId="77777777" w:rsidTr="00E81091">
        <w:tc>
          <w:tcPr>
            <w:tcW w:w="2425" w:type="dxa"/>
          </w:tcPr>
          <w:p w14:paraId="73C6172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1740685" w14:textId="16506078"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71867A60" w14:textId="77777777" w:rsidTr="00E81091">
        <w:trPr>
          <w:trHeight w:val="91"/>
        </w:trPr>
        <w:tc>
          <w:tcPr>
            <w:tcW w:w="2425" w:type="dxa"/>
            <w:vMerge w:val="restart"/>
          </w:tcPr>
          <w:p w14:paraId="2832853A"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352DB9B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63B864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49B9DA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0FCB2B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95FF6A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9671F" w:rsidRPr="00CB1E53" w14:paraId="49A49CBB" w14:textId="77777777" w:rsidTr="00E81091">
        <w:trPr>
          <w:trHeight w:val="91"/>
        </w:trPr>
        <w:tc>
          <w:tcPr>
            <w:tcW w:w="2425" w:type="dxa"/>
            <w:vMerge/>
          </w:tcPr>
          <w:p w14:paraId="4F11971B" w14:textId="77777777" w:rsidR="00A9671F" w:rsidRPr="00CB1E53" w:rsidRDefault="00A9671F" w:rsidP="00FD11D9">
            <w:pPr>
              <w:spacing w:before="20" w:after="20"/>
              <w:jc w:val="both"/>
              <w:rPr>
                <w:rFonts w:ascii="Segoe UI" w:hAnsi="Segoe UI" w:cs="Segoe UI"/>
                <w:b/>
                <w:bCs/>
                <w:sz w:val="18"/>
                <w:szCs w:val="18"/>
              </w:rPr>
            </w:pPr>
          </w:p>
        </w:tc>
        <w:tc>
          <w:tcPr>
            <w:tcW w:w="1385" w:type="dxa"/>
          </w:tcPr>
          <w:p w14:paraId="70DEC5BD" w14:textId="534F42D3" w:rsidR="00A9671F" w:rsidRPr="00CB1E53" w:rsidRDefault="00A9671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D54E92F" w14:textId="22C37DCF" w:rsidR="00A9671F" w:rsidRPr="00CB1E53" w:rsidRDefault="00A9671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2D827DED" w14:textId="40BE29EB" w:rsidR="00A9671F" w:rsidRPr="00CB1E53" w:rsidRDefault="00A9671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0225BC60" w14:textId="5A5AED4B" w:rsidR="00A9671F" w:rsidRPr="00CB1E53" w:rsidRDefault="00A9671F"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CB86917" w14:textId="6D4E36AD" w:rsidR="00A9671F" w:rsidRPr="00CB1E53" w:rsidRDefault="00A9671F"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4B1D88C6"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5B391E5B" w14:textId="77777777" w:rsidTr="00AD18E3">
        <w:tc>
          <w:tcPr>
            <w:tcW w:w="9625" w:type="dxa"/>
            <w:gridSpan w:val="7"/>
            <w:shd w:val="clear" w:color="auto" w:fill="D9D9D9" w:themeFill="background1" w:themeFillShade="D9"/>
          </w:tcPr>
          <w:p w14:paraId="0BF1EDB6" w14:textId="3D909F6B"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7. Tax exemption of gratuitous transfers of property, including cash, from Government or competent authorities </w:t>
            </w:r>
          </w:p>
        </w:tc>
      </w:tr>
      <w:tr w:rsidR="00280E00" w:rsidRPr="00CB1E53" w14:paraId="2DE68868" w14:textId="77777777" w:rsidTr="00AD18E3">
        <w:tc>
          <w:tcPr>
            <w:tcW w:w="2425" w:type="dxa"/>
          </w:tcPr>
          <w:p w14:paraId="394E6E9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0F54F0E" w14:textId="5E4EB2C0"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of incomes from gratuitous transfer of property, including cash means, according to the decision of the Government or competent authorities of the local public administration</w:t>
            </w:r>
            <w:r w:rsidR="00804525">
              <w:rPr>
                <w:rFonts w:ascii="Segoe UI" w:hAnsi="Segoe UI" w:cs="Segoe UI"/>
                <w:sz w:val="18"/>
                <w:szCs w:val="18"/>
              </w:rPr>
              <w:t>.</w:t>
            </w:r>
          </w:p>
        </w:tc>
      </w:tr>
      <w:tr w:rsidR="00280E00" w:rsidRPr="00CB1E53" w14:paraId="38333157" w14:textId="77777777" w:rsidTr="00AD18E3">
        <w:tc>
          <w:tcPr>
            <w:tcW w:w="2425" w:type="dxa"/>
          </w:tcPr>
          <w:p w14:paraId="000BB9B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CE0D40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66A57A3" w14:textId="77777777" w:rsidTr="00AD18E3">
        <w:tc>
          <w:tcPr>
            <w:tcW w:w="2425" w:type="dxa"/>
          </w:tcPr>
          <w:p w14:paraId="1EF8B67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67BCCB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Beneficiaries of gratuitous transfer payments </w:t>
            </w:r>
          </w:p>
        </w:tc>
      </w:tr>
      <w:tr w:rsidR="00280E00" w:rsidRPr="00CB1E53" w14:paraId="2A9BEF10" w14:textId="77777777" w:rsidTr="00AD18E3">
        <w:tc>
          <w:tcPr>
            <w:tcW w:w="2425" w:type="dxa"/>
          </w:tcPr>
          <w:p w14:paraId="08B0CE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1DD874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036E343F" w14:textId="77777777" w:rsidTr="00AD18E3">
        <w:tc>
          <w:tcPr>
            <w:tcW w:w="2425" w:type="dxa"/>
          </w:tcPr>
          <w:p w14:paraId="3B2EEFB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2AFF59D" w14:textId="19A9E270"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these transfers/payments constitute income in the hands of the persons receiving the transfers. They should attract PIT at the flat rate of 12% if their combined income streams exceed the basic personal allowance of MDL 27,000 per year. The non-taxation constitutes therefore a tax expenditure.</w:t>
            </w:r>
          </w:p>
        </w:tc>
      </w:tr>
      <w:tr w:rsidR="00280E00" w:rsidRPr="00CB1E53" w14:paraId="76E1597D" w14:textId="77777777" w:rsidTr="00AD18E3">
        <w:tc>
          <w:tcPr>
            <w:tcW w:w="2425" w:type="dxa"/>
          </w:tcPr>
          <w:p w14:paraId="35D70EC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65FDE5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(j)</w:t>
            </w:r>
          </w:p>
        </w:tc>
      </w:tr>
      <w:tr w:rsidR="00280E00" w:rsidRPr="00CB1E53" w14:paraId="3E2938CC" w14:textId="77777777" w:rsidTr="00AD18E3">
        <w:trPr>
          <w:trHeight w:val="182"/>
        </w:trPr>
        <w:tc>
          <w:tcPr>
            <w:tcW w:w="2425" w:type="dxa"/>
            <w:vMerge w:val="restart"/>
          </w:tcPr>
          <w:p w14:paraId="3E32FED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567E782"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876D8DD" w14:textId="77777777" w:rsidTr="00AD18E3">
        <w:trPr>
          <w:trHeight w:val="182"/>
        </w:trPr>
        <w:tc>
          <w:tcPr>
            <w:tcW w:w="2425" w:type="dxa"/>
            <w:vMerge/>
          </w:tcPr>
          <w:p w14:paraId="4E74CA64"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718547D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2007</w:t>
            </w:r>
          </w:p>
        </w:tc>
        <w:tc>
          <w:tcPr>
            <w:tcW w:w="3738" w:type="dxa"/>
            <w:gridSpan w:val="3"/>
          </w:tcPr>
          <w:p w14:paraId="2121604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01F37877" w14:textId="77777777" w:rsidTr="00AD18E3">
        <w:tc>
          <w:tcPr>
            <w:tcW w:w="2425" w:type="dxa"/>
          </w:tcPr>
          <w:p w14:paraId="226A46B1"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226B4D0" w14:textId="42065B5E"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5516D272" w14:textId="77777777" w:rsidTr="00AD18E3">
        <w:tc>
          <w:tcPr>
            <w:tcW w:w="2425" w:type="dxa"/>
          </w:tcPr>
          <w:p w14:paraId="74612C18"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EE57DC5" w14:textId="6142FA57"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13DA60CE" w14:textId="77777777" w:rsidTr="00AD18E3">
        <w:tc>
          <w:tcPr>
            <w:tcW w:w="2425" w:type="dxa"/>
          </w:tcPr>
          <w:p w14:paraId="67943E1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D201BE1"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8C5AF19" w14:textId="77777777" w:rsidTr="00AD18E3">
        <w:tc>
          <w:tcPr>
            <w:tcW w:w="2425" w:type="dxa"/>
          </w:tcPr>
          <w:p w14:paraId="3BC07F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2D6E2BF" w14:textId="01975B48"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58DF9CCE" w14:textId="77777777" w:rsidTr="00AD18E3">
        <w:trPr>
          <w:trHeight w:val="91"/>
        </w:trPr>
        <w:tc>
          <w:tcPr>
            <w:tcW w:w="2425" w:type="dxa"/>
            <w:vMerge w:val="restart"/>
          </w:tcPr>
          <w:p w14:paraId="02DB39A3"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2F3ED6B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18C0F72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DD6E35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7DB8B3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C77BEC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33F4E35B" w14:textId="77777777" w:rsidTr="00AD18E3">
        <w:trPr>
          <w:trHeight w:val="91"/>
        </w:trPr>
        <w:tc>
          <w:tcPr>
            <w:tcW w:w="2425" w:type="dxa"/>
            <w:vMerge/>
          </w:tcPr>
          <w:p w14:paraId="158F7EFA"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3D070520" w14:textId="4E63AF0E"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515C8154" w14:textId="613F9D87"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64DA5226" w14:textId="608B1E08"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68E6575" w14:textId="540BF884"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3FD6F153" w14:textId="6A49B119"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54C2EA9B"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1BC0408A" w14:textId="77777777" w:rsidTr="007E1C79">
        <w:tc>
          <w:tcPr>
            <w:tcW w:w="9625" w:type="dxa"/>
            <w:gridSpan w:val="7"/>
            <w:shd w:val="clear" w:color="auto" w:fill="D9D9D9" w:themeFill="background1" w:themeFillShade="D9"/>
          </w:tcPr>
          <w:p w14:paraId="0D76A5B8" w14:textId="70409719"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8. Tax exemption of amounts received by blood donors from state healthcare institutions</w:t>
            </w:r>
          </w:p>
        </w:tc>
      </w:tr>
      <w:tr w:rsidR="00280E00" w:rsidRPr="00CB1E53" w14:paraId="50D7E593" w14:textId="77777777" w:rsidTr="007E1C79">
        <w:tc>
          <w:tcPr>
            <w:tcW w:w="2425" w:type="dxa"/>
          </w:tcPr>
          <w:p w14:paraId="3978BD8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80CDF1A" w14:textId="4D33ADE4"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Amounts received by the blood donors from the state healthcare institutions are tax exempt</w:t>
            </w:r>
            <w:r w:rsidR="00804525">
              <w:rPr>
                <w:rFonts w:ascii="Segoe UI" w:hAnsi="Segoe UI" w:cs="Segoe UI"/>
                <w:sz w:val="18"/>
                <w:szCs w:val="18"/>
              </w:rPr>
              <w:t>.</w:t>
            </w:r>
          </w:p>
        </w:tc>
      </w:tr>
      <w:tr w:rsidR="00280E00" w:rsidRPr="00CB1E53" w14:paraId="19BF9E88" w14:textId="77777777" w:rsidTr="007E1C79">
        <w:tc>
          <w:tcPr>
            <w:tcW w:w="2425" w:type="dxa"/>
          </w:tcPr>
          <w:p w14:paraId="058F1F4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EAFCFB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6DDADA1F" w14:textId="77777777" w:rsidTr="007E1C79">
        <w:tc>
          <w:tcPr>
            <w:tcW w:w="2425" w:type="dxa"/>
          </w:tcPr>
          <w:p w14:paraId="67318A1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28B878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Blood donors</w:t>
            </w:r>
          </w:p>
        </w:tc>
      </w:tr>
      <w:tr w:rsidR="00280E00" w:rsidRPr="00CB1E53" w14:paraId="0D1E9E30" w14:textId="77777777" w:rsidTr="007E1C79">
        <w:tc>
          <w:tcPr>
            <w:tcW w:w="2425" w:type="dxa"/>
          </w:tcPr>
          <w:p w14:paraId="7FEECB2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6F5573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06011D18" w14:textId="77777777" w:rsidTr="007E1C79">
        <w:tc>
          <w:tcPr>
            <w:tcW w:w="2425" w:type="dxa"/>
          </w:tcPr>
          <w:p w14:paraId="6AA7516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FEBD96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consideration for donated blood constitutes therefore a tax expenditure.</w:t>
            </w:r>
          </w:p>
        </w:tc>
      </w:tr>
      <w:tr w:rsidR="00280E00" w:rsidRPr="00CB1E53" w14:paraId="650CE4A5" w14:textId="77777777" w:rsidTr="007E1C79">
        <w:tc>
          <w:tcPr>
            <w:tcW w:w="2425" w:type="dxa"/>
          </w:tcPr>
          <w:p w14:paraId="73C5C3C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4F5CED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20(o)</w:t>
            </w:r>
          </w:p>
        </w:tc>
      </w:tr>
      <w:tr w:rsidR="00280E00" w:rsidRPr="00CB1E53" w14:paraId="57FB0A67" w14:textId="77777777" w:rsidTr="007E1C79">
        <w:trPr>
          <w:trHeight w:val="182"/>
        </w:trPr>
        <w:tc>
          <w:tcPr>
            <w:tcW w:w="2425" w:type="dxa"/>
            <w:vMerge w:val="restart"/>
          </w:tcPr>
          <w:p w14:paraId="3AAC864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07A820B2"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3E129A3" w14:textId="77777777" w:rsidTr="007E1C79">
        <w:trPr>
          <w:trHeight w:val="182"/>
        </w:trPr>
        <w:tc>
          <w:tcPr>
            <w:tcW w:w="2425" w:type="dxa"/>
            <w:vMerge/>
          </w:tcPr>
          <w:p w14:paraId="54CB0508"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0B8CE82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37B3481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07F8B6B3" w14:textId="77777777" w:rsidTr="007E1C79">
        <w:tc>
          <w:tcPr>
            <w:tcW w:w="2425" w:type="dxa"/>
          </w:tcPr>
          <w:p w14:paraId="20075484"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44220FF" w14:textId="57E9FEDA"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0633FED1" w14:textId="77777777" w:rsidTr="007E1C79">
        <w:tc>
          <w:tcPr>
            <w:tcW w:w="2425" w:type="dxa"/>
          </w:tcPr>
          <w:p w14:paraId="6B859F41"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03B8398" w14:textId="0873C8D6"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53C30E2B" w14:textId="77777777" w:rsidTr="007E1C79">
        <w:tc>
          <w:tcPr>
            <w:tcW w:w="2425" w:type="dxa"/>
          </w:tcPr>
          <w:p w14:paraId="13C34BE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644AD8F"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CA80A2E" w14:textId="77777777" w:rsidTr="007E1C79">
        <w:tc>
          <w:tcPr>
            <w:tcW w:w="2425" w:type="dxa"/>
          </w:tcPr>
          <w:p w14:paraId="7D03673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69C1396" w14:textId="5104C2C0"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5D6128D2" w14:textId="77777777" w:rsidTr="007E1C79">
        <w:trPr>
          <w:trHeight w:val="91"/>
        </w:trPr>
        <w:tc>
          <w:tcPr>
            <w:tcW w:w="2425" w:type="dxa"/>
            <w:vMerge w:val="restart"/>
          </w:tcPr>
          <w:p w14:paraId="459B5263"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2B48B5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1352474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5684100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367DC1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2727E3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032F54AE" w14:textId="77777777" w:rsidTr="007E1C79">
        <w:trPr>
          <w:trHeight w:val="91"/>
        </w:trPr>
        <w:tc>
          <w:tcPr>
            <w:tcW w:w="2425" w:type="dxa"/>
            <w:vMerge/>
          </w:tcPr>
          <w:p w14:paraId="7367F181"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75A8CD4F" w14:textId="6CB1B8C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67D93BD2" w14:textId="790B0B26"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13D8C554" w14:textId="37B7B50E"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7E16D96A" w14:textId="1DA9A47E"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4D9FB6A9" w14:textId="1018376A"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49D03E2C" w14:textId="78F18201"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127B0BF7" w14:textId="77777777" w:rsidTr="007E1C79">
        <w:tc>
          <w:tcPr>
            <w:tcW w:w="9625" w:type="dxa"/>
            <w:gridSpan w:val="7"/>
            <w:shd w:val="clear" w:color="auto" w:fill="D9D9D9" w:themeFill="background1" w:themeFillShade="D9"/>
          </w:tcPr>
          <w:p w14:paraId="53A23FEB" w14:textId="22CA7090"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9. Winnings and awards from games of chance</w:t>
            </w:r>
          </w:p>
        </w:tc>
      </w:tr>
      <w:tr w:rsidR="00280E00" w:rsidRPr="00CB1E53" w14:paraId="1DDF6C36" w14:textId="77777777" w:rsidTr="007E1C79">
        <w:tc>
          <w:tcPr>
            <w:tcW w:w="2425" w:type="dxa"/>
          </w:tcPr>
          <w:p w14:paraId="1586C44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E25489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Exempting from income tax amounts</w:t>
            </w:r>
          </w:p>
          <w:p w14:paraId="275F80EF" w14:textId="77777777" w:rsidR="00280E00" w:rsidRPr="00CB1E53" w:rsidRDefault="00280E00" w:rsidP="00FD11D9">
            <w:pPr>
              <w:pStyle w:val="ListParagraph"/>
              <w:numPr>
                <w:ilvl w:val="0"/>
                <w:numId w:val="10"/>
              </w:numPr>
              <w:snapToGrid/>
              <w:spacing w:before="20" w:after="20"/>
              <w:jc w:val="both"/>
              <w:rPr>
                <w:rFonts w:ascii="Segoe UI" w:hAnsi="Segoe UI" w:cs="Segoe UI"/>
                <w:sz w:val="18"/>
                <w:szCs w:val="18"/>
              </w:rPr>
            </w:pPr>
            <w:r w:rsidRPr="00CB1E53">
              <w:rPr>
                <w:rFonts w:ascii="Segoe UI" w:hAnsi="Segoe UI" w:cs="Segoe UI"/>
                <w:sz w:val="18"/>
                <w:szCs w:val="18"/>
              </w:rPr>
              <w:t>winnings from lotteries and / or sports bets in the part where the value of each win does not exceed 1% of the personal exemption established in Article 33 paragraph (1);</w:t>
            </w:r>
          </w:p>
          <w:p w14:paraId="15E218D5" w14:textId="77777777" w:rsidR="00280E00" w:rsidRPr="00CB1E53" w:rsidRDefault="00280E00" w:rsidP="00FD11D9">
            <w:pPr>
              <w:pStyle w:val="ListParagraph"/>
              <w:numPr>
                <w:ilvl w:val="0"/>
                <w:numId w:val="10"/>
              </w:numPr>
              <w:snapToGrid/>
              <w:spacing w:before="20" w:after="20"/>
              <w:jc w:val="both"/>
              <w:rPr>
                <w:rFonts w:ascii="Segoe UI" w:hAnsi="Segoe UI" w:cs="Segoe UI"/>
                <w:sz w:val="18"/>
                <w:szCs w:val="18"/>
              </w:rPr>
            </w:pPr>
            <w:r w:rsidRPr="00CB1E53">
              <w:rPr>
                <w:rFonts w:ascii="Segoe UI" w:hAnsi="Segoe UI" w:cs="Segoe UI"/>
                <w:sz w:val="18"/>
                <w:szCs w:val="18"/>
              </w:rPr>
              <w:t>gains from promotional campaigns in the part in which the value of each gain does not exceed the amount of the personal exemption set out in Article 33 para. (1).</w:t>
            </w:r>
          </w:p>
        </w:tc>
      </w:tr>
      <w:tr w:rsidR="00280E00" w:rsidRPr="00CB1E53" w14:paraId="6DDB4FAA" w14:textId="77777777" w:rsidTr="007E1C79">
        <w:tc>
          <w:tcPr>
            <w:tcW w:w="2425" w:type="dxa"/>
          </w:tcPr>
          <w:p w14:paraId="1F471C6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061850A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7155FA7" w14:textId="77777777" w:rsidTr="007E1C79">
        <w:tc>
          <w:tcPr>
            <w:tcW w:w="2425" w:type="dxa"/>
          </w:tcPr>
          <w:p w14:paraId="118C18A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69AAE1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Participants receiving winnings</w:t>
            </w:r>
          </w:p>
        </w:tc>
      </w:tr>
      <w:tr w:rsidR="00280E00" w:rsidRPr="00CB1E53" w14:paraId="6E196919" w14:textId="77777777" w:rsidTr="007E1C79">
        <w:tc>
          <w:tcPr>
            <w:tcW w:w="2425" w:type="dxa"/>
          </w:tcPr>
          <w:p w14:paraId="4A03657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F58008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Exemption</w:t>
            </w:r>
          </w:p>
        </w:tc>
      </w:tr>
      <w:tr w:rsidR="00280E00" w:rsidRPr="00CB1E53" w14:paraId="4C9AA1AF" w14:textId="77777777" w:rsidTr="007E1C79">
        <w:tc>
          <w:tcPr>
            <w:tcW w:w="2425" w:type="dxa"/>
          </w:tcPr>
          <w:p w14:paraId="5FE1E27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7BA995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It is a non-structural tax exemption</w:t>
            </w:r>
          </w:p>
        </w:tc>
      </w:tr>
      <w:tr w:rsidR="00280E00" w:rsidRPr="00CB1E53" w14:paraId="51574DFB" w14:textId="77777777" w:rsidTr="007E1C79">
        <w:tc>
          <w:tcPr>
            <w:tcW w:w="2425" w:type="dxa"/>
          </w:tcPr>
          <w:p w14:paraId="63399E3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476EC6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(p1) (p2)</w:t>
            </w:r>
          </w:p>
        </w:tc>
      </w:tr>
      <w:tr w:rsidR="00280E00" w:rsidRPr="00CB1E53" w14:paraId="1B4095ED" w14:textId="77777777" w:rsidTr="007E1C79">
        <w:trPr>
          <w:trHeight w:val="182"/>
        </w:trPr>
        <w:tc>
          <w:tcPr>
            <w:tcW w:w="2425" w:type="dxa"/>
            <w:vMerge w:val="restart"/>
          </w:tcPr>
          <w:p w14:paraId="1D5782F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148A722"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52C1D97" w14:textId="77777777" w:rsidTr="007E1C79">
        <w:trPr>
          <w:trHeight w:val="182"/>
        </w:trPr>
        <w:tc>
          <w:tcPr>
            <w:tcW w:w="2425" w:type="dxa"/>
            <w:vMerge/>
          </w:tcPr>
          <w:p w14:paraId="17C45F05"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637E05F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p1 – 2006</w:t>
            </w:r>
          </w:p>
          <w:p w14:paraId="74B731E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                               P2 - 2018</w:t>
            </w:r>
          </w:p>
        </w:tc>
        <w:tc>
          <w:tcPr>
            <w:tcW w:w="3738" w:type="dxa"/>
            <w:gridSpan w:val="3"/>
          </w:tcPr>
          <w:p w14:paraId="3301BFE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76BD8641" w14:textId="77777777" w:rsidTr="007E1C79">
        <w:tc>
          <w:tcPr>
            <w:tcW w:w="2425" w:type="dxa"/>
          </w:tcPr>
          <w:p w14:paraId="687822CA"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3DB7FAA" w14:textId="1AA5F25A" w:rsidR="00F7324F" w:rsidRPr="00CB1E53" w:rsidRDefault="00F7324F" w:rsidP="00FD11D9">
            <w:pPr>
              <w:spacing w:before="20" w:after="20"/>
              <w:jc w:val="both"/>
              <w:rPr>
                <w:rFonts w:ascii="Segoe UI" w:hAnsi="Segoe UI" w:cs="Segoe UI"/>
                <w:sz w:val="18"/>
                <w:szCs w:val="18"/>
                <w:highlight w:val="yellow"/>
              </w:rPr>
            </w:pPr>
            <w:r>
              <w:rPr>
                <w:rFonts w:ascii="Segoe UI" w:hAnsi="Segoe UI" w:cs="Segoe UI"/>
                <w:sz w:val="18"/>
                <w:szCs w:val="18"/>
              </w:rPr>
              <w:t>No data available</w:t>
            </w:r>
          </w:p>
        </w:tc>
      </w:tr>
      <w:tr w:rsidR="00F7324F" w:rsidRPr="00CB1E53" w14:paraId="49F36ED6" w14:textId="77777777" w:rsidTr="007E1C79">
        <w:tc>
          <w:tcPr>
            <w:tcW w:w="2425" w:type="dxa"/>
          </w:tcPr>
          <w:p w14:paraId="5FD46239"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1C91339" w14:textId="56F92125" w:rsidR="00F7324F" w:rsidRPr="00CB1E53" w:rsidRDefault="00F7324F" w:rsidP="00FD11D9">
            <w:pPr>
              <w:spacing w:before="20" w:after="20"/>
              <w:jc w:val="both"/>
              <w:rPr>
                <w:rFonts w:ascii="Segoe UI" w:hAnsi="Segoe UI" w:cs="Segoe UI"/>
                <w:sz w:val="18"/>
                <w:szCs w:val="18"/>
                <w:highlight w:val="yellow"/>
              </w:rPr>
            </w:pPr>
            <w:r>
              <w:rPr>
                <w:rFonts w:ascii="Segoe UI" w:hAnsi="Segoe UI" w:cs="Segoe UI"/>
                <w:sz w:val="18"/>
                <w:szCs w:val="18"/>
              </w:rPr>
              <w:t>Not estimated</w:t>
            </w:r>
          </w:p>
        </w:tc>
      </w:tr>
      <w:tr w:rsidR="00280E00" w:rsidRPr="00CB1E53" w14:paraId="1D4B789F" w14:textId="77777777" w:rsidTr="007E1C79">
        <w:tc>
          <w:tcPr>
            <w:tcW w:w="2425" w:type="dxa"/>
          </w:tcPr>
          <w:p w14:paraId="1AEFEEC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1A7CC0B"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76673BD" w14:textId="77777777" w:rsidTr="007E1C79">
        <w:tc>
          <w:tcPr>
            <w:tcW w:w="2425" w:type="dxa"/>
          </w:tcPr>
          <w:p w14:paraId="735F2F3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5A288CA" w14:textId="056C50A6"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7AADFBD0" w14:textId="77777777" w:rsidTr="007E1C79">
        <w:trPr>
          <w:trHeight w:val="91"/>
        </w:trPr>
        <w:tc>
          <w:tcPr>
            <w:tcW w:w="2425" w:type="dxa"/>
            <w:vMerge w:val="restart"/>
          </w:tcPr>
          <w:p w14:paraId="60730900"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382D420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B4BF2F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BB5E74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C770D1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E3E64C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01E0B92E" w14:textId="77777777" w:rsidTr="007E1C79">
        <w:trPr>
          <w:trHeight w:val="91"/>
        </w:trPr>
        <w:tc>
          <w:tcPr>
            <w:tcW w:w="2425" w:type="dxa"/>
            <w:vMerge/>
          </w:tcPr>
          <w:p w14:paraId="7FA2579D"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12082862" w14:textId="3F048A9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5E02054D" w14:textId="2C44ECB1"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0E9242AD" w14:textId="6B38FA1F"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C14A950" w14:textId="03E05D78"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5FB019F5" w14:textId="516E6EC7"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252CBFC7"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5A708844" w14:textId="77777777" w:rsidTr="007E1C79">
        <w:tc>
          <w:tcPr>
            <w:tcW w:w="9625" w:type="dxa"/>
            <w:gridSpan w:val="7"/>
            <w:shd w:val="clear" w:color="auto" w:fill="D9D9D9" w:themeFill="background1" w:themeFillShade="D9"/>
          </w:tcPr>
          <w:p w14:paraId="2401218B" w14:textId="4B4D0F1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10. Tax exemption of material assistance received by natural persons from the reserve funds of the Moldovan Government.</w:t>
            </w:r>
          </w:p>
        </w:tc>
      </w:tr>
      <w:tr w:rsidR="00280E00" w:rsidRPr="00CB1E53" w14:paraId="589B2562" w14:textId="77777777" w:rsidTr="007E1C79">
        <w:tc>
          <w:tcPr>
            <w:tcW w:w="2425" w:type="dxa"/>
          </w:tcPr>
          <w:p w14:paraId="2A28907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139FC90" w14:textId="48034128" w:rsidR="00280E00" w:rsidRPr="00CB1E53" w:rsidRDefault="00A82332" w:rsidP="00FD11D9">
            <w:pPr>
              <w:spacing w:before="20" w:after="20"/>
              <w:jc w:val="both"/>
              <w:rPr>
                <w:rFonts w:ascii="Segoe UI" w:hAnsi="Segoe UI" w:cs="Segoe UI"/>
                <w:sz w:val="18"/>
                <w:szCs w:val="18"/>
              </w:rPr>
            </w:pPr>
            <w:r>
              <w:rPr>
                <w:rFonts w:ascii="Segoe UI" w:hAnsi="Segoe UI" w:cs="Segoe UI"/>
                <w:sz w:val="18"/>
                <w:szCs w:val="18"/>
              </w:rPr>
              <w:t>I</w:t>
            </w:r>
            <w:r w:rsidR="000338E8">
              <w:rPr>
                <w:rFonts w:ascii="Segoe UI" w:hAnsi="Segoe UI" w:cs="Segoe UI"/>
                <w:sz w:val="18"/>
                <w:szCs w:val="18"/>
              </w:rPr>
              <w:t>ncludes t</w:t>
            </w:r>
            <w:r w:rsidR="00280E00" w:rsidRPr="00CB1E53">
              <w:rPr>
                <w:rFonts w:ascii="Segoe UI" w:hAnsi="Segoe UI" w:cs="Segoe UI"/>
                <w:sz w:val="18"/>
                <w:szCs w:val="18"/>
              </w:rPr>
              <w:t>ax exempt</w:t>
            </w:r>
            <w:r w:rsidR="000338E8">
              <w:rPr>
                <w:rFonts w:ascii="Segoe UI" w:hAnsi="Segoe UI" w:cs="Segoe UI"/>
                <w:sz w:val="18"/>
                <w:szCs w:val="18"/>
              </w:rPr>
              <w:t>ion of</w:t>
            </w:r>
            <w:r w:rsidR="00280E00" w:rsidRPr="00CB1E53">
              <w:rPr>
                <w:rFonts w:ascii="Segoe UI" w:hAnsi="Segoe UI" w:cs="Segoe UI"/>
                <w:sz w:val="18"/>
                <w:szCs w:val="18"/>
              </w:rPr>
              <w:t xml:space="preserve"> material assistance received by natural persons from the reserve funds of the Government, of the local public administration authorities, from the Social Support Fund and from the trade unions in accordance with the regulations providing for the granting of such aid. In the case of material aid granted by trade unions, the non-taxable limit represents an average monthly salary </w:t>
            </w:r>
            <w:r w:rsidR="00420468">
              <w:rPr>
                <w:rFonts w:ascii="Segoe UI" w:hAnsi="Segoe UI" w:cs="Segoe UI"/>
                <w:sz w:val="18"/>
                <w:szCs w:val="18"/>
              </w:rPr>
              <w:t xml:space="preserve">in the </w:t>
            </w:r>
            <w:r w:rsidR="00280E00" w:rsidRPr="00CB1E53">
              <w:rPr>
                <w:rFonts w:ascii="Segoe UI" w:hAnsi="Segoe UI" w:cs="Segoe UI"/>
                <w:sz w:val="18"/>
                <w:szCs w:val="18"/>
              </w:rPr>
              <w:t>economy, forecasted and annually approved by the Government, per employee per year, except for the aid granted in case of death and/or sickness of the employee or their relatives and/or first-degree in-laws.</w:t>
            </w:r>
          </w:p>
        </w:tc>
      </w:tr>
      <w:tr w:rsidR="00280E00" w:rsidRPr="00CB1E53" w14:paraId="15C85B5C" w14:textId="77777777" w:rsidTr="007E1C79">
        <w:tc>
          <w:tcPr>
            <w:tcW w:w="2425" w:type="dxa"/>
          </w:tcPr>
          <w:p w14:paraId="52F6113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4FF6B6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23D3F2D" w14:textId="77777777" w:rsidTr="007E1C79">
        <w:tc>
          <w:tcPr>
            <w:tcW w:w="2425" w:type="dxa"/>
          </w:tcPr>
          <w:p w14:paraId="4265A57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088FC2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 of material assistance</w:t>
            </w:r>
          </w:p>
        </w:tc>
      </w:tr>
      <w:tr w:rsidR="00280E00" w:rsidRPr="00CB1E53" w14:paraId="54A68008" w14:textId="77777777" w:rsidTr="007E1C79">
        <w:tc>
          <w:tcPr>
            <w:tcW w:w="2425" w:type="dxa"/>
          </w:tcPr>
          <w:p w14:paraId="72AD7C3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483F04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4EA5E922" w14:textId="77777777" w:rsidTr="007E1C79">
        <w:tc>
          <w:tcPr>
            <w:tcW w:w="2425" w:type="dxa"/>
          </w:tcPr>
          <w:p w14:paraId="128A866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751F80D" w14:textId="2E796115"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these “material assistance” transfers/payments constitute income in the hands of the persons receiving the material aid transfers. They should attract PIT at the flat rate of 12% if their combined income streams exceed the basic personal allowance of MDL 27,000 per year. The non-taxation constitutes therefore a tax expenditure.</w:t>
            </w:r>
          </w:p>
        </w:tc>
      </w:tr>
      <w:tr w:rsidR="00280E00" w:rsidRPr="00CB1E53" w14:paraId="65DA4EC8" w14:textId="77777777" w:rsidTr="007E1C79">
        <w:tc>
          <w:tcPr>
            <w:tcW w:w="2425" w:type="dxa"/>
          </w:tcPr>
          <w:p w14:paraId="4DED921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E0A8D4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(r)</w:t>
            </w:r>
          </w:p>
        </w:tc>
      </w:tr>
      <w:tr w:rsidR="00280E00" w:rsidRPr="00CB1E53" w14:paraId="767D23BB" w14:textId="77777777" w:rsidTr="007E1C79">
        <w:trPr>
          <w:trHeight w:val="182"/>
        </w:trPr>
        <w:tc>
          <w:tcPr>
            <w:tcW w:w="2425" w:type="dxa"/>
            <w:vMerge w:val="restart"/>
          </w:tcPr>
          <w:p w14:paraId="030D29C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B083F9D"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7E31D87" w14:textId="77777777" w:rsidTr="007E1C79">
        <w:trPr>
          <w:trHeight w:val="182"/>
        </w:trPr>
        <w:tc>
          <w:tcPr>
            <w:tcW w:w="2425" w:type="dxa"/>
            <w:vMerge/>
          </w:tcPr>
          <w:p w14:paraId="39D0A888"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14DE3CF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2001</w:t>
            </w:r>
          </w:p>
        </w:tc>
        <w:tc>
          <w:tcPr>
            <w:tcW w:w="3738" w:type="dxa"/>
            <w:gridSpan w:val="3"/>
          </w:tcPr>
          <w:p w14:paraId="2CD5246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5AC68630" w14:textId="77777777" w:rsidTr="007E1C79">
        <w:tc>
          <w:tcPr>
            <w:tcW w:w="2425" w:type="dxa"/>
          </w:tcPr>
          <w:p w14:paraId="2EF072CD"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Source of Data</w:t>
            </w:r>
          </w:p>
        </w:tc>
        <w:tc>
          <w:tcPr>
            <w:tcW w:w="7200" w:type="dxa"/>
            <w:gridSpan w:val="6"/>
          </w:tcPr>
          <w:p w14:paraId="5970E322" w14:textId="66A8AE78"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19FBD008" w14:textId="77777777" w:rsidTr="007E1C79">
        <w:tc>
          <w:tcPr>
            <w:tcW w:w="2425" w:type="dxa"/>
          </w:tcPr>
          <w:p w14:paraId="0D16BC6D"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C476509" w14:textId="01EEA3CC"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017E99E2" w14:textId="77777777" w:rsidTr="007E1C79">
        <w:tc>
          <w:tcPr>
            <w:tcW w:w="2425" w:type="dxa"/>
          </w:tcPr>
          <w:p w14:paraId="6C687A8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F307828"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928AB38" w14:textId="77777777" w:rsidTr="007E1C79">
        <w:tc>
          <w:tcPr>
            <w:tcW w:w="2425" w:type="dxa"/>
          </w:tcPr>
          <w:p w14:paraId="70E2369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155F1C4" w14:textId="76A6AB57"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3FF9FED6" w14:textId="77777777" w:rsidTr="007E1C79">
        <w:trPr>
          <w:trHeight w:val="91"/>
        </w:trPr>
        <w:tc>
          <w:tcPr>
            <w:tcW w:w="2425" w:type="dxa"/>
            <w:vMerge w:val="restart"/>
          </w:tcPr>
          <w:p w14:paraId="383D53F8"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23CB15A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10A893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C3F3C9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103D0A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A69980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41C50811" w14:textId="77777777" w:rsidTr="007E1C79">
        <w:trPr>
          <w:trHeight w:val="91"/>
        </w:trPr>
        <w:tc>
          <w:tcPr>
            <w:tcW w:w="2425" w:type="dxa"/>
            <w:vMerge/>
          </w:tcPr>
          <w:p w14:paraId="74B23DDE"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74FC5D97" w14:textId="7D81ED57"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09F5215" w14:textId="7C7B2EB8"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4B1CBC94" w14:textId="1CBC3C76"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87B6883" w14:textId="7C6838D4"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21652EE7" w14:textId="45592589"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3ED35E33"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97053AB" w14:textId="77777777" w:rsidTr="007E1C79">
        <w:tc>
          <w:tcPr>
            <w:tcW w:w="9625" w:type="dxa"/>
            <w:gridSpan w:val="7"/>
            <w:shd w:val="clear" w:color="auto" w:fill="D9D9D9" w:themeFill="background1" w:themeFillShade="D9"/>
          </w:tcPr>
          <w:p w14:paraId="6AF08D79" w14:textId="6648C9D5"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11. Tax exemption for financial assistance received by sportsmen from the International Olympic Committee</w:t>
            </w:r>
          </w:p>
        </w:tc>
      </w:tr>
      <w:tr w:rsidR="00280E00" w:rsidRPr="00CB1E53" w14:paraId="1FD92104" w14:textId="77777777" w:rsidTr="007E1C79">
        <w:tc>
          <w:tcPr>
            <w:tcW w:w="2425" w:type="dxa"/>
          </w:tcPr>
          <w:p w14:paraId="5546929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F71E7D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financial assistance received by sportsmen and coaches from the International Olympic Committee, prizes obtained by sportsmen, coaches and technicians at international sport competitions, sports scholarships and allowances awarded to national lots for getting prepared and participate to the official international competitions.</w:t>
            </w:r>
          </w:p>
        </w:tc>
      </w:tr>
      <w:tr w:rsidR="00280E00" w:rsidRPr="00CB1E53" w14:paraId="3E7572B6" w14:textId="77777777" w:rsidTr="007E1C79">
        <w:tc>
          <w:tcPr>
            <w:tcW w:w="2425" w:type="dxa"/>
          </w:tcPr>
          <w:p w14:paraId="67D4697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ADF2AA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211F35F4" w14:textId="77777777" w:rsidTr="007E1C79">
        <w:tc>
          <w:tcPr>
            <w:tcW w:w="2425" w:type="dxa"/>
          </w:tcPr>
          <w:p w14:paraId="3ABE829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9A59A5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Sportsmen and coaches in the categories listed above.</w:t>
            </w:r>
          </w:p>
        </w:tc>
      </w:tr>
      <w:tr w:rsidR="00280E00" w:rsidRPr="00CB1E53" w14:paraId="6F71FBFD" w14:textId="77777777" w:rsidTr="007E1C79">
        <w:tc>
          <w:tcPr>
            <w:tcW w:w="2425" w:type="dxa"/>
          </w:tcPr>
          <w:p w14:paraId="4565A18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6F2108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71E62730" w14:textId="77777777" w:rsidTr="007E1C79">
        <w:tc>
          <w:tcPr>
            <w:tcW w:w="2425" w:type="dxa"/>
          </w:tcPr>
          <w:p w14:paraId="02DD020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3A3E71D" w14:textId="018E37E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 “financial assistance” transfers/payments constitute income in the hands of the persons receiving these transfers. They should attract PIT at the flat rate of 12% if their combined income streams exceed the basic personal allowance of MDL 27,000 per year. The non-taxation constitutes therefore a tax expenditure.</w:t>
            </w:r>
          </w:p>
        </w:tc>
      </w:tr>
      <w:tr w:rsidR="00280E00" w:rsidRPr="00CB1E53" w14:paraId="69861F3B" w14:textId="77777777" w:rsidTr="007E1C79">
        <w:tc>
          <w:tcPr>
            <w:tcW w:w="2425" w:type="dxa"/>
          </w:tcPr>
          <w:p w14:paraId="257A63A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34F052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(s)</w:t>
            </w:r>
          </w:p>
        </w:tc>
      </w:tr>
      <w:tr w:rsidR="00280E00" w:rsidRPr="00CB1E53" w14:paraId="23519169" w14:textId="77777777" w:rsidTr="007E1C79">
        <w:trPr>
          <w:trHeight w:val="182"/>
        </w:trPr>
        <w:tc>
          <w:tcPr>
            <w:tcW w:w="2425" w:type="dxa"/>
            <w:vMerge w:val="restart"/>
          </w:tcPr>
          <w:p w14:paraId="596907C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D5B517A"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EFCEB3D" w14:textId="77777777" w:rsidTr="007E1C79">
        <w:trPr>
          <w:trHeight w:val="182"/>
        </w:trPr>
        <w:tc>
          <w:tcPr>
            <w:tcW w:w="2425" w:type="dxa"/>
            <w:vMerge/>
          </w:tcPr>
          <w:p w14:paraId="0B4425B1"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5066A1C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2001</w:t>
            </w:r>
          </w:p>
        </w:tc>
        <w:tc>
          <w:tcPr>
            <w:tcW w:w="3738" w:type="dxa"/>
            <w:gridSpan w:val="3"/>
          </w:tcPr>
          <w:p w14:paraId="0C59757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5C24D676" w14:textId="77777777" w:rsidTr="007E1C79">
        <w:tc>
          <w:tcPr>
            <w:tcW w:w="2425" w:type="dxa"/>
          </w:tcPr>
          <w:p w14:paraId="27D97128"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BD6D7E2" w14:textId="38FE5C9A"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2B575BD7" w14:textId="77777777" w:rsidTr="007E1C79">
        <w:tc>
          <w:tcPr>
            <w:tcW w:w="2425" w:type="dxa"/>
          </w:tcPr>
          <w:p w14:paraId="0C445326"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43689F5" w14:textId="775C2478"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52D3B90A" w14:textId="77777777" w:rsidTr="007E1C79">
        <w:tc>
          <w:tcPr>
            <w:tcW w:w="2425" w:type="dxa"/>
          </w:tcPr>
          <w:p w14:paraId="516B06C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1F082B9"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CCDF6B3" w14:textId="77777777" w:rsidTr="007E1C79">
        <w:tc>
          <w:tcPr>
            <w:tcW w:w="2425" w:type="dxa"/>
          </w:tcPr>
          <w:p w14:paraId="1F6E999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105F67C" w14:textId="197FF10E"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3E5E6E5E" w14:textId="77777777" w:rsidTr="007E1C79">
        <w:trPr>
          <w:trHeight w:val="91"/>
        </w:trPr>
        <w:tc>
          <w:tcPr>
            <w:tcW w:w="2425" w:type="dxa"/>
            <w:vMerge w:val="restart"/>
          </w:tcPr>
          <w:p w14:paraId="547DEA0C"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D88B0F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FF9CF1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D89A93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52CE44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63DDD4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0EF57F70" w14:textId="77777777" w:rsidTr="007E1C79">
        <w:trPr>
          <w:trHeight w:val="91"/>
        </w:trPr>
        <w:tc>
          <w:tcPr>
            <w:tcW w:w="2425" w:type="dxa"/>
            <w:vMerge/>
          </w:tcPr>
          <w:p w14:paraId="47BCDEF2"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33C1B8BD" w14:textId="07F9D334"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9D907CC" w14:textId="162839AD"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060CEE7C" w14:textId="20396CC5"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3925C890" w14:textId="560E7E5F"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98C1B05" w14:textId="0512D892"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7B269F76"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1F1C27FA" w14:textId="77777777" w:rsidTr="007E1C79">
        <w:tc>
          <w:tcPr>
            <w:tcW w:w="9625" w:type="dxa"/>
            <w:gridSpan w:val="7"/>
            <w:shd w:val="clear" w:color="auto" w:fill="D9D9D9" w:themeFill="background1" w:themeFillShade="D9"/>
          </w:tcPr>
          <w:p w14:paraId="56192E90" w14:textId="1173E07A"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12. Tax exemptions of rewards received from the Republic of Moldova</w:t>
            </w:r>
          </w:p>
        </w:tc>
      </w:tr>
      <w:tr w:rsidR="00280E00" w:rsidRPr="00CB1E53" w14:paraId="365162B4" w14:textId="77777777" w:rsidTr="007E1C79">
        <w:tc>
          <w:tcPr>
            <w:tcW w:w="2425" w:type="dxa"/>
          </w:tcPr>
          <w:p w14:paraId="1636573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DBDD2EB" w14:textId="3AFB9C20" w:rsidR="00280E00" w:rsidRPr="00CB1E53" w:rsidRDefault="00280E00" w:rsidP="00FD11D9">
            <w:pPr>
              <w:pStyle w:val="Default"/>
              <w:spacing w:before="20" w:after="20"/>
              <w:jc w:val="both"/>
              <w:rPr>
                <w:rFonts w:ascii="Segoe UI" w:hAnsi="Segoe UI" w:cs="Segoe UI"/>
                <w:sz w:val="18"/>
                <w:szCs w:val="18"/>
              </w:rPr>
            </w:pPr>
            <w:r w:rsidRPr="00CB1E53">
              <w:rPr>
                <w:rFonts w:ascii="Segoe UI" w:hAnsi="Segoe UI" w:cs="Segoe UI"/>
                <w:sz w:val="18"/>
                <w:szCs w:val="18"/>
              </w:rPr>
              <w:t>There is a tax exemption for the receipt of the national award of the Republic of Moldova in literature, art, architecture, science, and technology, as well as awards to pupils and animating teachers, paid in the amounts established by the current regulatory acts, for outstanding results achieved at district, city, municipal, zonal, republican, regional and international Olympiads, and contests. The amount of reward is 100 000 lei (Government Decision nr.</w:t>
            </w:r>
            <w:r w:rsidR="00715FB1">
              <w:rPr>
                <w:rFonts w:ascii="Segoe UI" w:hAnsi="Segoe UI" w:cs="Segoe UI"/>
                <w:sz w:val="18"/>
                <w:szCs w:val="18"/>
              </w:rPr>
              <w:t xml:space="preserve"> </w:t>
            </w:r>
            <w:r w:rsidRPr="00CB1E53">
              <w:rPr>
                <w:rFonts w:ascii="Segoe UI" w:hAnsi="Segoe UI" w:cs="Segoe UI"/>
                <w:sz w:val="18"/>
                <w:szCs w:val="18"/>
              </w:rPr>
              <w:t>504/2018)</w:t>
            </w:r>
          </w:p>
        </w:tc>
      </w:tr>
      <w:tr w:rsidR="00280E00" w:rsidRPr="00CB1E53" w14:paraId="74578801" w14:textId="77777777" w:rsidTr="007E1C79">
        <w:tc>
          <w:tcPr>
            <w:tcW w:w="2425" w:type="dxa"/>
          </w:tcPr>
          <w:p w14:paraId="6B446B5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AD7655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656302C" w14:textId="77777777" w:rsidTr="007E1C79">
        <w:tc>
          <w:tcPr>
            <w:tcW w:w="2425" w:type="dxa"/>
          </w:tcPr>
          <w:p w14:paraId="5D09808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0959A8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Recipients of the National Awards</w:t>
            </w:r>
          </w:p>
        </w:tc>
      </w:tr>
      <w:tr w:rsidR="00280E00" w:rsidRPr="00CB1E53" w14:paraId="58C28DBD" w14:textId="77777777" w:rsidTr="007E1C79">
        <w:tc>
          <w:tcPr>
            <w:tcW w:w="2425" w:type="dxa"/>
          </w:tcPr>
          <w:p w14:paraId="0382B68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8A0B81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54E4E96C" w14:textId="77777777" w:rsidTr="007E1C79">
        <w:tc>
          <w:tcPr>
            <w:tcW w:w="2425" w:type="dxa"/>
          </w:tcPr>
          <w:p w14:paraId="3AC4678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BC44DA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 financial value of the national awards constitute income in the hands of persons receiving the national award. It should attract PIT at the flat rate of 12% if their combined income streams exceed the basic personal allowance of MDL 27,000 per year. The non-taxation constitutes therefore a tax expenditure.</w:t>
            </w:r>
          </w:p>
        </w:tc>
      </w:tr>
      <w:tr w:rsidR="00280E00" w:rsidRPr="00CB1E53" w14:paraId="1F80FB21" w14:textId="77777777" w:rsidTr="007E1C79">
        <w:tc>
          <w:tcPr>
            <w:tcW w:w="2425" w:type="dxa"/>
          </w:tcPr>
          <w:p w14:paraId="6CDBAC9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278632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(u)</w:t>
            </w:r>
          </w:p>
        </w:tc>
      </w:tr>
      <w:tr w:rsidR="00280E00" w:rsidRPr="00CB1E53" w14:paraId="7B1776DE" w14:textId="77777777" w:rsidTr="007E1C79">
        <w:trPr>
          <w:trHeight w:val="182"/>
        </w:trPr>
        <w:tc>
          <w:tcPr>
            <w:tcW w:w="2425" w:type="dxa"/>
            <w:vMerge w:val="restart"/>
          </w:tcPr>
          <w:p w14:paraId="322EF5A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E93119C"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008662F" w14:textId="77777777" w:rsidTr="007E1C79">
        <w:trPr>
          <w:trHeight w:val="182"/>
        </w:trPr>
        <w:tc>
          <w:tcPr>
            <w:tcW w:w="2425" w:type="dxa"/>
            <w:vMerge/>
          </w:tcPr>
          <w:p w14:paraId="4E3823C0"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5AC0556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2001</w:t>
            </w:r>
          </w:p>
        </w:tc>
        <w:tc>
          <w:tcPr>
            <w:tcW w:w="3738" w:type="dxa"/>
            <w:gridSpan w:val="3"/>
          </w:tcPr>
          <w:p w14:paraId="1F98B29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4C40D44B" w14:textId="77777777" w:rsidTr="007E1C79">
        <w:tc>
          <w:tcPr>
            <w:tcW w:w="2425" w:type="dxa"/>
          </w:tcPr>
          <w:p w14:paraId="1D44E14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Source of Data</w:t>
            </w:r>
          </w:p>
        </w:tc>
        <w:tc>
          <w:tcPr>
            <w:tcW w:w="7200" w:type="dxa"/>
            <w:gridSpan w:val="6"/>
          </w:tcPr>
          <w:p w14:paraId="76844B1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State Budget data</w:t>
            </w:r>
          </w:p>
        </w:tc>
      </w:tr>
      <w:tr w:rsidR="00280E00" w:rsidRPr="00CB1E53" w14:paraId="044E188F" w14:textId="77777777" w:rsidTr="007E1C79">
        <w:tc>
          <w:tcPr>
            <w:tcW w:w="2425" w:type="dxa"/>
          </w:tcPr>
          <w:p w14:paraId="6E1D2AA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FFAD1C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Estimation of budget expenditures </w:t>
            </w:r>
          </w:p>
        </w:tc>
      </w:tr>
      <w:tr w:rsidR="00280E00" w:rsidRPr="00CB1E53" w14:paraId="4A2D202F" w14:textId="77777777" w:rsidTr="007E1C79">
        <w:tc>
          <w:tcPr>
            <w:tcW w:w="2425" w:type="dxa"/>
          </w:tcPr>
          <w:p w14:paraId="4310DD0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8FBF60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2018 – 10 beneficiaries</w:t>
            </w:r>
          </w:p>
          <w:p w14:paraId="751B973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2019 – 10 beneficiaries</w:t>
            </w:r>
          </w:p>
          <w:p w14:paraId="3E84AC8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2020 – 30 beneficiaries</w:t>
            </w:r>
          </w:p>
          <w:p w14:paraId="02DBED5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2021 – 7 beneficiaries</w:t>
            </w:r>
          </w:p>
        </w:tc>
      </w:tr>
      <w:tr w:rsidR="00280E00" w:rsidRPr="00CB1E53" w14:paraId="00E122D9" w14:textId="77777777" w:rsidTr="007E1C79">
        <w:tc>
          <w:tcPr>
            <w:tcW w:w="2425" w:type="dxa"/>
          </w:tcPr>
          <w:p w14:paraId="4038956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5C8513B" w14:textId="6C622D04"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1D3A8F11" w14:textId="77777777" w:rsidTr="007E1C79">
        <w:trPr>
          <w:trHeight w:val="91"/>
        </w:trPr>
        <w:tc>
          <w:tcPr>
            <w:tcW w:w="2425" w:type="dxa"/>
            <w:vMerge w:val="restart"/>
          </w:tcPr>
          <w:p w14:paraId="58028D36"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4F03B2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F1AAAC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D174DB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20D5E1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5E0697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27FC02AE" w14:textId="77777777" w:rsidTr="00C46A41">
        <w:trPr>
          <w:trHeight w:val="314"/>
        </w:trPr>
        <w:tc>
          <w:tcPr>
            <w:tcW w:w="2425" w:type="dxa"/>
            <w:vMerge/>
          </w:tcPr>
          <w:p w14:paraId="6A8F3652"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5D354C06" w14:textId="236EAF7F" w:rsidR="00280E00" w:rsidRPr="00CB1E53" w:rsidRDefault="006B0EB5" w:rsidP="00FD11D9">
            <w:pPr>
              <w:spacing w:before="20" w:after="20"/>
              <w:jc w:val="both"/>
              <w:rPr>
                <w:rFonts w:ascii="Segoe UI" w:hAnsi="Segoe UI" w:cs="Segoe UI"/>
                <w:b/>
                <w:sz w:val="18"/>
                <w:szCs w:val="18"/>
              </w:rPr>
            </w:pPr>
            <w:r>
              <w:rPr>
                <w:rFonts w:ascii="Segoe UI" w:hAnsi="Segoe UI" w:cs="Segoe UI"/>
                <w:sz w:val="18"/>
                <w:szCs w:val="18"/>
              </w:rPr>
              <w:t>0.</w:t>
            </w:r>
            <w:r w:rsidRPr="006B0EB5">
              <w:rPr>
                <w:rFonts w:ascii="Segoe UI" w:hAnsi="Segoe UI" w:cs="Segoe UI"/>
                <w:bCs/>
                <w:sz w:val="18"/>
                <w:szCs w:val="18"/>
              </w:rPr>
              <w:t>12</w:t>
            </w:r>
          </w:p>
        </w:tc>
        <w:tc>
          <w:tcPr>
            <w:tcW w:w="1385" w:type="dxa"/>
          </w:tcPr>
          <w:p w14:paraId="736F9FA1" w14:textId="1E78EC47" w:rsidR="00280E00" w:rsidRPr="00CB1E53" w:rsidRDefault="006B0EB5" w:rsidP="00FD11D9">
            <w:pPr>
              <w:spacing w:before="20" w:after="20"/>
              <w:jc w:val="both"/>
              <w:rPr>
                <w:rFonts w:ascii="Segoe UI" w:hAnsi="Segoe UI" w:cs="Segoe UI"/>
                <w:sz w:val="18"/>
                <w:szCs w:val="18"/>
              </w:rPr>
            </w:pPr>
            <w:r>
              <w:rPr>
                <w:rFonts w:ascii="Segoe UI" w:hAnsi="Segoe UI" w:cs="Segoe UI"/>
                <w:sz w:val="18"/>
                <w:szCs w:val="18"/>
              </w:rPr>
              <w:t>0.12</w:t>
            </w:r>
          </w:p>
        </w:tc>
        <w:tc>
          <w:tcPr>
            <w:tcW w:w="1385" w:type="dxa"/>
            <w:gridSpan w:val="2"/>
          </w:tcPr>
          <w:p w14:paraId="43A5DA61" w14:textId="4F06024E" w:rsidR="00280E00" w:rsidRPr="00AE21DE" w:rsidRDefault="006B0EB5" w:rsidP="00FD11D9">
            <w:pPr>
              <w:spacing w:before="20" w:after="20"/>
              <w:jc w:val="both"/>
              <w:rPr>
                <w:rFonts w:ascii="Segoe UI" w:hAnsi="Segoe UI"/>
                <w:b/>
                <w:sz w:val="18"/>
              </w:rPr>
            </w:pPr>
            <w:r w:rsidRPr="006B0EB5">
              <w:rPr>
                <w:rFonts w:ascii="Segoe UI" w:hAnsi="Segoe UI" w:cs="Segoe UI"/>
                <w:sz w:val="18"/>
                <w:szCs w:val="18"/>
              </w:rPr>
              <w:t>0.36</w:t>
            </w:r>
          </w:p>
        </w:tc>
        <w:tc>
          <w:tcPr>
            <w:tcW w:w="1385" w:type="dxa"/>
          </w:tcPr>
          <w:p w14:paraId="2F6596D1" w14:textId="7B68BC06" w:rsidR="00280E00" w:rsidRPr="00AE21DE" w:rsidRDefault="006B0EB5" w:rsidP="00FD11D9">
            <w:pPr>
              <w:spacing w:before="20" w:after="20"/>
              <w:jc w:val="both"/>
              <w:rPr>
                <w:rFonts w:ascii="Segoe UI" w:hAnsi="Segoe UI"/>
                <w:b/>
                <w:sz w:val="18"/>
              </w:rPr>
            </w:pPr>
            <w:r w:rsidRPr="006B0EB5">
              <w:rPr>
                <w:rFonts w:ascii="Segoe UI" w:hAnsi="Segoe UI" w:cs="Segoe UI"/>
                <w:sz w:val="18"/>
                <w:szCs w:val="18"/>
              </w:rPr>
              <w:t>0.084</w:t>
            </w:r>
          </w:p>
        </w:tc>
        <w:tc>
          <w:tcPr>
            <w:tcW w:w="1660" w:type="dxa"/>
            <w:shd w:val="clear" w:color="auto" w:fill="E6E6E6" w:themeFill="background1" w:themeFillShade="E6"/>
          </w:tcPr>
          <w:p w14:paraId="6757A258" w14:textId="77ED3D2F" w:rsidR="006263A5" w:rsidRPr="00F7324F" w:rsidRDefault="006263A5" w:rsidP="00FD11D9">
            <w:pPr>
              <w:spacing w:before="20" w:after="20"/>
              <w:jc w:val="both"/>
              <w:rPr>
                <w:rFonts w:ascii="Segoe UI" w:hAnsi="Segoe UI" w:cs="Segoe UI"/>
                <w:i/>
                <w:iCs/>
                <w:sz w:val="18"/>
                <w:szCs w:val="18"/>
              </w:rPr>
            </w:pPr>
            <w:r w:rsidRPr="00F7324F">
              <w:rPr>
                <w:rFonts w:ascii="Segoe UI" w:hAnsi="Segoe UI" w:cs="Segoe UI"/>
                <w:i/>
                <w:iCs/>
                <w:sz w:val="18"/>
                <w:szCs w:val="18"/>
              </w:rPr>
              <w:t>0.</w:t>
            </w:r>
            <w:r w:rsidR="006B0EB5" w:rsidRPr="00F7324F">
              <w:rPr>
                <w:rFonts w:ascii="Segoe UI" w:hAnsi="Segoe UI" w:cs="Segoe UI"/>
                <w:i/>
                <w:iCs/>
                <w:sz w:val="18"/>
                <w:szCs w:val="18"/>
              </w:rPr>
              <w:t>1</w:t>
            </w:r>
          </w:p>
        </w:tc>
      </w:tr>
    </w:tbl>
    <w:p w14:paraId="09FF9898"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E807A2F" w14:textId="77777777" w:rsidTr="007E1C79">
        <w:tc>
          <w:tcPr>
            <w:tcW w:w="9625" w:type="dxa"/>
            <w:gridSpan w:val="7"/>
            <w:shd w:val="clear" w:color="auto" w:fill="D9D9D9" w:themeFill="background1" w:themeFillShade="D9"/>
          </w:tcPr>
          <w:p w14:paraId="2D8DA85B" w14:textId="0974B48D"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13. Tax exemption of remuneration granted to households for participating in survey by the statistic bodies</w:t>
            </w:r>
          </w:p>
        </w:tc>
      </w:tr>
      <w:tr w:rsidR="00280E00" w:rsidRPr="00CB1E53" w14:paraId="2074B719" w14:textId="77777777" w:rsidTr="007E1C79">
        <w:tc>
          <w:tcPr>
            <w:tcW w:w="2425" w:type="dxa"/>
          </w:tcPr>
          <w:p w14:paraId="11DC2FB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71F8D1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remuneration granted to members of households (families) for participation in selective surveys carried out by the statistics bodies.</w:t>
            </w:r>
          </w:p>
        </w:tc>
      </w:tr>
      <w:tr w:rsidR="00280E00" w:rsidRPr="00CB1E53" w14:paraId="35418C9F" w14:textId="77777777" w:rsidTr="007E1C79">
        <w:tc>
          <w:tcPr>
            <w:tcW w:w="2425" w:type="dxa"/>
          </w:tcPr>
          <w:p w14:paraId="38A10AB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524865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426290FF" w14:textId="77777777" w:rsidTr="007E1C79">
        <w:tc>
          <w:tcPr>
            <w:tcW w:w="2425" w:type="dxa"/>
          </w:tcPr>
          <w:p w14:paraId="2EBC764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F120BF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Households participating in selective surveys</w:t>
            </w:r>
          </w:p>
        </w:tc>
      </w:tr>
      <w:tr w:rsidR="00280E00" w:rsidRPr="00CB1E53" w14:paraId="409102B7" w14:textId="77777777" w:rsidTr="007E1C79">
        <w:tc>
          <w:tcPr>
            <w:tcW w:w="2425" w:type="dxa"/>
          </w:tcPr>
          <w:p w14:paraId="5A61674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5C48E3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Legislated tax exemption </w:t>
            </w:r>
          </w:p>
        </w:tc>
      </w:tr>
      <w:tr w:rsidR="00280E00" w:rsidRPr="00CB1E53" w14:paraId="55A1A66F" w14:textId="77777777" w:rsidTr="007E1C79">
        <w:tc>
          <w:tcPr>
            <w:tcW w:w="2425" w:type="dxa"/>
          </w:tcPr>
          <w:p w14:paraId="1621F07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F11B6E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 paid remuneration for statistical survey work constitute income in the hands of the survey-participating households/taxpayers. It should attract PIT at the flat rate of 12% if their combined income streams exceed the basic personal allowance of MDL 27,000 per year. The non-taxation constitutes therefore a tax expenditure.</w:t>
            </w:r>
          </w:p>
        </w:tc>
      </w:tr>
      <w:tr w:rsidR="00280E00" w:rsidRPr="00CB1E53" w14:paraId="681F10C0" w14:textId="77777777" w:rsidTr="007E1C79">
        <w:tc>
          <w:tcPr>
            <w:tcW w:w="2425" w:type="dxa"/>
          </w:tcPr>
          <w:p w14:paraId="357AE23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645356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20(w)</w:t>
            </w:r>
          </w:p>
        </w:tc>
      </w:tr>
      <w:tr w:rsidR="00280E00" w:rsidRPr="00CB1E53" w14:paraId="6745DADA" w14:textId="77777777" w:rsidTr="007E1C79">
        <w:trPr>
          <w:trHeight w:val="182"/>
        </w:trPr>
        <w:tc>
          <w:tcPr>
            <w:tcW w:w="2425" w:type="dxa"/>
            <w:vMerge w:val="restart"/>
          </w:tcPr>
          <w:p w14:paraId="0AD28F8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AD84E6F"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3083FA9" w14:textId="77777777" w:rsidTr="007E1C79">
        <w:trPr>
          <w:trHeight w:val="182"/>
        </w:trPr>
        <w:tc>
          <w:tcPr>
            <w:tcW w:w="2425" w:type="dxa"/>
            <w:vMerge/>
          </w:tcPr>
          <w:p w14:paraId="7DE9D7ED"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0F0D8D2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2002</w:t>
            </w:r>
          </w:p>
        </w:tc>
        <w:tc>
          <w:tcPr>
            <w:tcW w:w="3738" w:type="dxa"/>
            <w:gridSpan w:val="3"/>
          </w:tcPr>
          <w:p w14:paraId="15ED7E0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37409373" w14:textId="77777777" w:rsidTr="007E1C79">
        <w:tc>
          <w:tcPr>
            <w:tcW w:w="2425" w:type="dxa"/>
          </w:tcPr>
          <w:p w14:paraId="7E7F18EC"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CEC1077" w14:textId="6F69A590"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50E767FE" w14:textId="77777777" w:rsidTr="007E1C79">
        <w:tc>
          <w:tcPr>
            <w:tcW w:w="2425" w:type="dxa"/>
          </w:tcPr>
          <w:p w14:paraId="4365841C"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2889FE24" w14:textId="29A30AC6"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632A7DEC" w14:textId="77777777" w:rsidTr="007E1C79">
        <w:tc>
          <w:tcPr>
            <w:tcW w:w="2425" w:type="dxa"/>
          </w:tcPr>
          <w:p w14:paraId="588D6EF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4E6BE97"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B3B3792" w14:textId="77777777" w:rsidTr="00416DA2">
        <w:tc>
          <w:tcPr>
            <w:tcW w:w="2425" w:type="dxa"/>
            <w:tcBorders>
              <w:bottom w:val="single" w:sz="4" w:space="0" w:color="auto"/>
            </w:tcBorders>
          </w:tcPr>
          <w:p w14:paraId="702DA31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Borders>
              <w:bottom w:val="single" w:sz="4" w:space="0" w:color="auto"/>
            </w:tcBorders>
          </w:tcPr>
          <w:p w14:paraId="21D7B4AE" w14:textId="17945164"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6F4BB281" w14:textId="77777777" w:rsidTr="007E1C79">
        <w:trPr>
          <w:trHeight w:val="91"/>
        </w:trPr>
        <w:tc>
          <w:tcPr>
            <w:tcW w:w="2425" w:type="dxa"/>
            <w:vMerge w:val="restart"/>
          </w:tcPr>
          <w:p w14:paraId="59CFDD5D"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166C266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E0A33A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86C7FA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5694E4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3EBFCB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34FC4BDF" w14:textId="77777777" w:rsidTr="00416DA2">
        <w:trPr>
          <w:trHeight w:val="91"/>
        </w:trPr>
        <w:tc>
          <w:tcPr>
            <w:tcW w:w="2425" w:type="dxa"/>
            <w:vMerge/>
            <w:tcBorders>
              <w:bottom w:val="single" w:sz="4" w:space="0" w:color="auto"/>
            </w:tcBorders>
          </w:tcPr>
          <w:p w14:paraId="460BE285" w14:textId="77777777" w:rsidR="00AA1580" w:rsidRPr="00CB1E53" w:rsidRDefault="00AA1580" w:rsidP="00FD11D9">
            <w:pPr>
              <w:spacing w:before="20" w:after="20"/>
              <w:jc w:val="both"/>
              <w:rPr>
                <w:rFonts w:ascii="Segoe UI" w:hAnsi="Segoe UI" w:cs="Segoe UI"/>
                <w:b/>
                <w:bCs/>
                <w:sz w:val="18"/>
                <w:szCs w:val="18"/>
              </w:rPr>
            </w:pPr>
          </w:p>
        </w:tc>
        <w:tc>
          <w:tcPr>
            <w:tcW w:w="1385" w:type="dxa"/>
            <w:tcBorders>
              <w:bottom w:val="single" w:sz="4" w:space="0" w:color="auto"/>
            </w:tcBorders>
          </w:tcPr>
          <w:p w14:paraId="50FDD245" w14:textId="43F4453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Borders>
              <w:bottom w:val="single" w:sz="4" w:space="0" w:color="auto"/>
            </w:tcBorders>
          </w:tcPr>
          <w:p w14:paraId="3478859F" w14:textId="0D10E6D7"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Borders>
              <w:bottom w:val="single" w:sz="4" w:space="0" w:color="auto"/>
            </w:tcBorders>
          </w:tcPr>
          <w:p w14:paraId="0EAAF576" w14:textId="5C7489FD"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Borders>
              <w:bottom w:val="single" w:sz="4" w:space="0" w:color="auto"/>
            </w:tcBorders>
          </w:tcPr>
          <w:p w14:paraId="4F977B65" w14:textId="7DDE9E7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Borders>
              <w:bottom w:val="single" w:sz="4" w:space="0" w:color="auto"/>
            </w:tcBorders>
          </w:tcPr>
          <w:p w14:paraId="0165AF22" w14:textId="607299EA"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2A92EA7E"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DF19EE9" w14:textId="77777777" w:rsidTr="00542E59">
        <w:tc>
          <w:tcPr>
            <w:tcW w:w="9625" w:type="dxa"/>
            <w:gridSpan w:val="7"/>
            <w:shd w:val="clear" w:color="auto" w:fill="D9D9D9" w:themeFill="background1" w:themeFillShade="D9"/>
          </w:tcPr>
          <w:p w14:paraId="7ECA321E" w14:textId="5D3F38FF"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14. Tax exemption for income generated from the delivery of secondary raw materials</w:t>
            </w:r>
          </w:p>
        </w:tc>
      </w:tr>
      <w:tr w:rsidR="00280E00" w:rsidRPr="00CB1E53" w14:paraId="4E2BA76C" w14:textId="77777777" w:rsidTr="00542E59">
        <w:tc>
          <w:tcPr>
            <w:tcW w:w="2425" w:type="dxa"/>
          </w:tcPr>
          <w:p w14:paraId="296A2DC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96B230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incomes received by natural persons, excluding individual entrepreneurs and farming household (farm), from the delivery of secondary raw materials, including waste and scrap of paper and paperboard, rubber, plastic, and glass waste (shard of glass), of ferrous and non-ferrous metals, of industrial waste containing metals or their alloys and of returnable packaging, as well as of used electric accumulators.</w:t>
            </w:r>
          </w:p>
        </w:tc>
      </w:tr>
      <w:tr w:rsidR="00280E00" w:rsidRPr="00CB1E53" w14:paraId="79B3D9C2" w14:textId="77777777" w:rsidTr="00542E59">
        <w:tc>
          <w:tcPr>
            <w:tcW w:w="2425" w:type="dxa"/>
          </w:tcPr>
          <w:p w14:paraId="7BC2B8F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83DE62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78513579" w14:textId="77777777" w:rsidTr="00542E59">
        <w:tc>
          <w:tcPr>
            <w:tcW w:w="2425" w:type="dxa"/>
          </w:tcPr>
          <w:p w14:paraId="03B5D51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1BCF00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Vendors active in the trade of recycling and delivery of secondary raw materials.</w:t>
            </w:r>
          </w:p>
        </w:tc>
      </w:tr>
      <w:tr w:rsidR="00280E00" w:rsidRPr="00CB1E53" w14:paraId="494AF350" w14:textId="77777777" w:rsidTr="00542E59">
        <w:tc>
          <w:tcPr>
            <w:tcW w:w="2425" w:type="dxa"/>
          </w:tcPr>
          <w:p w14:paraId="5E7D69C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C4EE24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24E8B519" w14:textId="77777777" w:rsidTr="00542E59">
        <w:tc>
          <w:tcPr>
            <w:tcW w:w="2425" w:type="dxa"/>
          </w:tcPr>
          <w:p w14:paraId="5B652F2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53CE1AD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[business] income constitutes therefore a tax expenditure.</w:t>
            </w:r>
          </w:p>
        </w:tc>
      </w:tr>
      <w:tr w:rsidR="00280E00" w:rsidRPr="00CB1E53" w14:paraId="41D06457" w14:textId="77777777" w:rsidTr="00542E59">
        <w:tc>
          <w:tcPr>
            <w:tcW w:w="2425" w:type="dxa"/>
          </w:tcPr>
          <w:p w14:paraId="0E7857C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9CB282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(y)</w:t>
            </w:r>
          </w:p>
        </w:tc>
      </w:tr>
      <w:tr w:rsidR="00280E00" w:rsidRPr="00CB1E53" w14:paraId="7BA2F059" w14:textId="77777777" w:rsidTr="00542E59">
        <w:trPr>
          <w:trHeight w:val="182"/>
        </w:trPr>
        <w:tc>
          <w:tcPr>
            <w:tcW w:w="2425" w:type="dxa"/>
            <w:vMerge w:val="restart"/>
          </w:tcPr>
          <w:p w14:paraId="72A6475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Implementation, Objectives, and History</w:t>
            </w:r>
          </w:p>
        </w:tc>
        <w:tc>
          <w:tcPr>
            <w:tcW w:w="7200" w:type="dxa"/>
            <w:gridSpan w:val="6"/>
          </w:tcPr>
          <w:p w14:paraId="700B46AB"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D589BF4" w14:textId="77777777" w:rsidTr="00542E59">
        <w:trPr>
          <w:trHeight w:val="182"/>
        </w:trPr>
        <w:tc>
          <w:tcPr>
            <w:tcW w:w="2425" w:type="dxa"/>
            <w:vMerge/>
          </w:tcPr>
          <w:p w14:paraId="34EB8BA1"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4B587EB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2012</w:t>
            </w:r>
          </w:p>
        </w:tc>
        <w:tc>
          <w:tcPr>
            <w:tcW w:w="3738" w:type="dxa"/>
            <w:gridSpan w:val="3"/>
          </w:tcPr>
          <w:p w14:paraId="1D0253E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3F38C909" w14:textId="77777777" w:rsidTr="00542E59">
        <w:tc>
          <w:tcPr>
            <w:tcW w:w="2425" w:type="dxa"/>
          </w:tcPr>
          <w:p w14:paraId="4B63C8D7"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E1CBAD8" w14:textId="7E7568A8"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2B6293B3" w14:textId="77777777" w:rsidTr="00542E59">
        <w:tc>
          <w:tcPr>
            <w:tcW w:w="2425" w:type="dxa"/>
          </w:tcPr>
          <w:p w14:paraId="00852C93"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00BAFC3" w14:textId="34A9B8C0"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7EA1B5A9" w14:textId="77777777" w:rsidTr="00542E59">
        <w:tc>
          <w:tcPr>
            <w:tcW w:w="2425" w:type="dxa"/>
          </w:tcPr>
          <w:p w14:paraId="7FC9006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D220EE1"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54DC75B" w14:textId="77777777" w:rsidTr="00542E59">
        <w:tc>
          <w:tcPr>
            <w:tcW w:w="2425" w:type="dxa"/>
          </w:tcPr>
          <w:p w14:paraId="1CC3122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29B27AD" w14:textId="01E2431C"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5E8C880C" w14:textId="77777777" w:rsidTr="00542E59">
        <w:trPr>
          <w:trHeight w:val="91"/>
        </w:trPr>
        <w:tc>
          <w:tcPr>
            <w:tcW w:w="2425" w:type="dxa"/>
            <w:vMerge w:val="restart"/>
          </w:tcPr>
          <w:p w14:paraId="63E5A7AE"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C5EA2D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599E9C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CAA187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47A38C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FE1A53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3B1EAC10" w14:textId="77777777" w:rsidTr="00542E59">
        <w:trPr>
          <w:trHeight w:val="91"/>
        </w:trPr>
        <w:tc>
          <w:tcPr>
            <w:tcW w:w="2425" w:type="dxa"/>
            <w:vMerge/>
          </w:tcPr>
          <w:p w14:paraId="504C165D"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1202DE1B" w14:textId="3EEC0FC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30F7001" w14:textId="012688D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524880B2" w14:textId="3E5D168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427E1E8E" w14:textId="1436BC4D"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B670B05" w14:textId="12E280D6"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22BBB55C"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793FE94" w14:textId="77777777" w:rsidTr="00542E59">
        <w:tc>
          <w:tcPr>
            <w:tcW w:w="9625" w:type="dxa"/>
            <w:gridSpan w:val="7"/>
            <w:shd w:val="clear" w:color="auto" w:fill="D9D9D9" w:themeFill="background1" w:themeFillShade="D9"/>
          </w:tcPr>
          <w:p w14:paraId="13EB5E79" w14:textId="3DE2BEA6"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15. Tax exemption of income generated from the sale of natural plant, horticultural production</w:t>
            </w:r>
            <w:r w:rsidR="00877A36">
              <w:rPr>
                <w:rFonts w:ascii="Segoe UI" w:hAnsi="Segoe UI" w:cs="Segoe UI"/>
                <w:b/>
                <w:bCs/>
                <w:sz w:val="18"/>
                <w:szCs w:val="18"/>
              </w:rPr>
              <w:t>,</w:t>
            </w:r>
            <w:r w:rsidRPr="00CB1E53">
              <w:rPr>
                <w:rFonts w:ascii="Segoe UI" w:hAnsi="Segoe UI" w:cs="Segoe UI"/>
                <w:b/>
                <w:bCs/>
                <w:sz w:val="18"/>
                <w:szCs w:val="18"/>
              </w:rPr>
              <w:t xml:space="preserve"> and animal husbandry</w:t>
            </w:r>
          </w:p>
        </w:tc>
      </w:tr>
      <w:tr w:rsidR="00280E00" w:rsidRPr="00CB1E53" w14:paraId="53820549" w14:textId="77777777" w:rsidTr="00542E59">
        <w:tc>
          <w:tcPr>
            <w:tcW w:w="2425" w:type="dxa"/>
          </w:tcPr>
          <w:p w14:paraId="139A5D9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4044970" w14:textId="4AABF35E"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There is </w:t>
            </w:r>
            <w:r w:rsidR="00CA6736">
              <w:rPr>
                <w:rFonts w:ascii="Segoe UI" w:hAnsi="Segoe UI" w:cs="Segoe UI"/>
                <w:sz w:val="18"/>
                <w:szCs w:val="18"/>
              </w:rPr>
              <w:t xml:space="preserve">an </w:t>
            </w:r>
            <w:r w:rsidRPr="00CB1E53">
              <w:rPr>
                <w:rFonts w:ascii="Segoe UI" w:hAnsi="Segoe UI" w:cs="Segoe UI"/>
                <w:sz w:val="18"/>
                <w:szCs w:val="18"/>
              </w:rPr>
              <w:t>exempt</w:t>
            </w:r>
            <w:r w:rsidR="00CA6736">
              <w:rPr>
                <w:rFonts w:ascii="Segoe UI" w:hAnsi="Segoe UI" w:cs="Segoe UI"/>
                <w:sz w:val="18"/>
                <w:szCs w:val="18"/>
              </w:rPr>
              <w:t>ion</w:t>
            </w:r>
            <w:r w:rsidRPr="00CB1E53">
              <w:rPr>
                <w:rFonts w:ascii="Segoe UI" w:hAnsi="Segoe UI" w:cs="Segoe UI"/>
                <w:sz w:val="18"/>
                <w:szCs w:val="18"/>
              </w:rPr>
              <w:t xml:space="preserve"> </w:t>
            </w:r>
            <w:r w:rsidR="00E125C3">
              <w:rPr>
                <w:rFonts w:ascii="Segoe UI" w:hAnsi="Segoe UI" w:cs="Segoe UI"/>
                <w:sz w:val="18"/>
                <w:szCs w:val="18"/>
              </w:rPr>
              <w:t>for</w:t>
            </w:r>
            <w:r w:rsidRPr="00CB1E53">
              <w:rPr>
                <w:rFonts w:ascii="Segoe UI" w:hAnsi="Segoe UI" w:cs="Segoe UI"/>
                <w:sz w:val="18"/>
                <w:szCs w:val="18"/>
              </w:rPr>
              <w:t xml:space="preserve"> income received by natural persons, except for individual entrepreneurs and farming households (farms), from the sale of natural plant and horticultural production and of animal husbandry production in natural form, in living and slaughtered mass to another natural person, except for individual entrepreneurs and households (farmers).</w:t>
            </w:r>
          </w:p>
        </w:tc>
      </w:tr>
      <w:tr w:rsidR="00280E00" w:rsidRPr="00CB1E53" w14:paraId="2BA34C93" w14:textId="77777777" w:rsidTr="00542E59">
        <w:tc>
          <w:tcPr>
            <w:tcW w:w="2425" w:type="dxa"/>
          </w:tcPr>
          <w:p w14:paraId="3E1192D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33A38D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78BE8DD7" w14:textId="77777777" w:rsidTr="00542E59">
        <w:tc>
          <w:tcPr>
            <w:tcW w:w="2425" w:type="dxa"/>
          </w:tcPr>
          <w:p w14:paraId="32BD6D4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81640B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Natural persons selling produce from farms</w:t>
            </w:r>
          </w:p>
        </w:tc>
      </w:tr>
      <w:tr w:rsidR="00280E00" w:rsidRPr="00CB1E53" w14:paraId="1FD3A434" w14:textId="77777777" w:rsidTr="00542E59">
        <w:tc>
          <w:tcPr>
            <w:tcW w:w="2425" w:type="dxa"/>
          </w:tcPr>
          <w:p w14:paraId="4154629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D584EC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06C67CDA" w14:textId="77777777" w:rsidTr="00542E59">
        <w:tc>
          <w:tcPr>
            <w:tcW w:w="2425" w:type="dxa"/>
          </w:tcPr>
          <w:p w14:paraId="154F2C4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963051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[business] income constitutes therefore a tax expenditure.</w:t>
            </w:r>
          </w:p>
        </w:tc>
      </w:tr>
      <w:tr w:rsidR="00280E00" w:rsidRPr="00CB1E53" w14:paraId="5D276BA8" w14:textId="77777777" w:rsidTr="00542E59">
        <w:tc>
          <w:tcPr>
            <w:tcW w:w="2425" w:type="dxa"/>
          </w:tcPr>
          <w:p w14:paraId="07B06D9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669351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20(y</w:t>
            </w:r>
            <w:r w:rsidRPr="00CB1E53">
              <w:rPr>
                <w:rFonts w:ascii="Segoe UI" w:hAnsi="Segoe UI" w:cs="Segoe UI"/>
                <w:sz w:val="18"/>
                <w:szCs w:val="18"/>
                <w:vertAlign w:val="superscript"/>
              </w:rPr>
              <w:t>1</w:t>
            </w:r>
            <w:r w:rsidRPr="00CB1E53">
              <w:rPr>
                <w:rFonts w:ascii="Segoe UI" w:hAnsi="Segoe UI" w:cs="Segoe UI"/>
                <w:sz w:val="18"/>
                <w:szCs w:val="18"/>
              </w:rPr>
              <w:t>)</w:t>
            </w:r>
          </w:p>
        </w:tc>
      </w:tr>
      <w:tr w:rsidR="00280E00" w:rsidRPr="00CB1E53" w14:paraId="3E813797" w14:textId="77777777" w:rsidTr="00542E59">
        <w:trPr>
          <w:trHeight w:val="182"/>
        </w:trPr>
        <w:tc>
          <w:tcPr>
            <w:tcW w:w="2425" w:type="dxa"/>
            <w:vMerge w:val="restart"/>
          </w:tcPr>
          <w:p w14:paraId="4C59E8D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0476883"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77B9113" w14:textId="77777777" w:rsidTr="00542E59">
        <w:trPr>
          <w:trHeight w:val="182"/>
        </w:trPr>
        <w:tc>
          <w:tcPr>
            <w:tcW w:w="2425" w:type="dxa"/>
            <w:vMerge/>
          </w:tcPr>
          <w:p w14:paraId="7E3E7910"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3DB7598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2004</w:t>
            </w:r>
          </w:p>
        </w:tc>
        <w:tc>
          <w:tcPr>
            <w:tcW w:w="3738" w:type="dxa"/>
            <w:gridSpan w:val="3"/>
          </w:tcPr>
          <w:p w14:paraId="3DF1FCC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664DC4F2" w14:textId="77777777" w:rsidTr="00542E59">
        <w:tc>
          <w:tcPr>
            <w:tcW w:w="2425" w:type="dxa"/>
          </w:tcPr>
          <w:p w14:paraId="2A794884"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9DFB5CA" w14:textId="12F5BCA6"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77581AE7" w14:textId="77777777" w:rsidTr="00542E59">
        <w:tc>
          <w:tcPr>
            <w:tcW w:w="2425" w:type="dxa"/>
          </w:tcPr>
          <w:p w14:paraId="50896B74"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2EC1E6D" w14:textId="1F45C2FC"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57BAE576" w14:textId="77777777" w:rsidTr="00542E59">
        <w:tc>
          <w:tcPr>
            <w:tcW w:w="2425" w:type="dxa"/>
          </w:tcPr>
          <w:p w14:paraId="0A0D11E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27543E8"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793C2D3" w14:textId="77777777" w:rsidTr="00542E59">
        <w:tc>
          <w:tcPr>
            <w:tcW w:w="2425" w:type="dxa"/>
          </w:tcPr>
          <w:p w14:paraId="3801B2F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43B7211" w14:textId="7253C148"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01805717" w14:textId="77777777" w:rsidTr="00542E59">
        <w:trPr>
          <w:trHeight w:val="91"/>
        </w:trPr>
        <w:tc>
          <w:tcPr>
            <w:tcW w:w="2425" w:type="dxa"/>
            <w:vMerge w:val="restart"/>
          </w:tcPr>
          <w:p w14:paraId="2AA611E3"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4009074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56847F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C9EAD0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E60792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6157D9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4F6F29C4" w14:textId="77777777" w:rsidTr="00542E59">
        <w:trPr>
          <w:trHeight w:val="91"/>
        </w:trPr>
        <w:tc>
          <w:tcPr>
            <w:tcW w:w="2425" w:type="dxa"/>
            <w:vMerge/>
          </w:tcPr>
          <w:p w14:paraId="3399AE2D"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29BBBD41" w14:textId="4F3F9A3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25841D7" w14:textId="560C92B6"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2EE2A16C" w14:textId="3B6542AF"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475772EE" w14:textId="36BC0300"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00E0E99F" w14:textId="65CBDF27"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76A21619"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75112CC3" w14:textId="77777777" w:rsidTr="00542E59">
        <w:tc>
          <w:tcPr>
            <w:tcW w:w="9625" w:type="dxa"/>
            <w:gridSpan w:val="7"/>
            <w:shd w:val="clear" w:color="auto" w:fill="D9D9D9" w:themeFill="background1" w:themeFillShade="D9"/>
          </w:tcPr>
          <w:p w14:paraId="2BEE6E7B" w14:textId="5598FE2C"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16. Tax exemption of incomes received by individuals for the delivery of milk</w:t>
            </w:r>
          </w:p>
        </w:tc>
      </w:tr>
      <w:tr w:rsidR="00280E00" w:rsidRPr="00CB1E53" w14:paraId="5B2AC408" w14:textId="77777777" w:rsidTr="00542E59">
        <w:tc>
          <w:tcPr>
            <w:tcW w:w="2425" w:type="dxa"/>
          </w:tcPr>
          <w:p w14:paraId="2EEF2B0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8518A13" w14:textId="04C80C0B"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w:t>
            </w:r>
            <w:r w:rsidR="00F21FBA">
              <w:rPr>
                <w:rFonts w:ascii="Segoe UI" w:hAnsi="Segoe UI" w:cs="Segoe UI"/>
                <w:sz w:val="18"/>
                <w:szCs w:val="18"/>
              </w:rPr>
              <w:t xml:space="preserve"> an</w:t>
            </w:r>
            <w:r w:rsidRPr="00CB1E53">
              <w:rPr>
                <w:rFonts w:ascii="Segoe UI" w:hAnsi="Segoe UI" w:cs="Segoe UI"/>
                <w:sz w:val="18"/>
                <w:szCs w:val="18"/>
              </w:rPr>
              <w:t xml:space="preserve"> exempt</w:t>
            </w:r>
            <w:r w:rsidR="00BE2787">
              <w:rPr>
                <w:rFonts w:ascii="Segoe UI" w:hAnsi="Segoe UI" w:cs="Segoe UI"/>
                <w:sz w:val="18"/>
                <w:szCs w:val="18"/>
              </w:rPr>
              <w:t>ion</w:t>
            </w:r>
            <w:r w:rsidRPr="00CB1E53">
              <w:rPr>
                <w:rFonts w:ascii="Segoe UI" w:hAnsi="Segoe UI" w:cs="Segoe UI"/>
                <w:sz w:val="18"/>
                <w:szCs w:val="18"/>
              </w:rPr>
              <w:t xml:space="preserve"> </w:t>
            </w:r>
            <w:r w:rsidR="001B0F55">
              <w:rPr>
                <w:rFonts w:ascii="Segoe UI" w:hAnsi="Segoe UI" w:cs="Segoe UI"/>
                <w:sz w:val="18"/>
                <w:szCs w:val="18"/>
              </w:rPr>
              <w:t xml:space="preserve">for </w:t>
            </w:r>
            <w:r w:rsidRPr="00CB1E53">
              <w:rPr>
                <w:rFonts w:ascii="Segoe UI" w:hAnsi="Segoe UI" w:cs="Segoe UI"/>
                <w:sz w:val="18"/>
                <w:szCs w:val="18"/>
              </w:rPr>
              <w:t>income received by individuals, except individual entrepreneurs and farming households, from the delivery of natural milk.</w:t>
            </w:r>
          </w:p>
        </w:tc>
      </w:tr>
      <w:tr w:rsidR="00280E00" w:rsidRPr="00CB1E53" w14:paraId="7557F617" w14:textId="77777777" w:rsidTr="00542E59">
        <w:tc>
          <w:tcPr>
            <w:tcW w:w="2425" w:type="dxa"/>
          </w:tcPr>
          <w:p w14:paraId="12AF4B8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9F19E6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77ECC5C" w14:textId="77777777" w:rsidTr="00542E59">
        <w:tc>
          <w:tcPr>
            <w:tcW w:w="2425" w:type="dxa"/>
          </w:tcPr>
          <w:p w14:paraId="4A88D48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E4E28C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Individuals selling milk (small scale operation)</w:t>
            </w:r>
          </w:p>
        </w:tc>
      </w:tr>
      <w:tr w:rsidR="00280E00" w:rsidRPr="00CB1E53" w14:paraId="4118BB5D" w14:textId="77777777" w:rsidTr="00542E59">
        <w:tc>
          <w:tcPr>
            <w:tcW w:w="2425" w:type="dxa"/>
          </w:tcPr>
          <w:p w14:paraId="7672A14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6A272B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33664FF0" w14:textId="77777777" w:rsidTr="00542E59">
        <w:tc>
          <w:tcPr>
            <w:tcW w:w="2425" w:type="dxa"/>
          </w:tcPr>
          <w:p w14:paraId="6CD8BE8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5212B99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income constitutes therefore a tax expenditure.</w:t>
            </w:r>
          </w:p>
        </w:tc>
      </w:tr>
      <w:tr w:rsidR="00280E00" w:rsidRPr="00CB1E53" w14:paraId="412F5704" w14:textId="77777777" w:rsidTr="00542E59">
        <w:tc>
          <w:tcPr>
            <w:tcW w:w="2425" w:type="dxa"/>
          </w:tcPr>
          <w:p w14:paraId="7715769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D74495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20(y</w:t>
            </w:r>
            <w:r w:rsidRPr="00CB1E53">
              <w:rPr>
                <w:rFonts w:ascii="Segoe UI" w:hAnsi="Segoe UI" w:cs="Segoe UI"/>
                <w:sz w:val="18"/>
                <w:szCs w:val="18"/>
                <w:vertAlign w:val="superscript"/>
              </w:rPr>
              <w:t>2</w:t>
            </w:r>
            <w:r w:rsidRPr="00CB1E53">
              <w:rPr>
                <w:rFonts w:ascii="Segoe UI" w:hAnsi="Segoe UI" w:cs="Segoe UI"/>
                <w:sz w:val="18"/>
                <w:szCs w:val="18"/>
              </w:rPr>
              <w:t>)</w:t>
            </w:r>
          </w:p>
        </w:tc>
      </w:tr>
      <w:tr w:rsidR="00280E00" w:rsidRPr="00CB1E53" w14:paraId="50C9DB6F" w14:textId="77777777" w:rsidTr="00542E59">
        <w:trPr>
          <w:trHeight w:val="182"/>
        </w:trPr>
        <w:tc>
          <w:tcPr>
            <w:tcW w:w="2425" w:type="dxa"/>
            <w:vMerge w:val="restart"/>
          </w:tcPr>
          <w:p w14:paraId="502A135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933BC4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2F667AA" w14:textId="77777777" w:rsidTr="00542E59">
        <w:trPr>
          <w:trHeight w:val="182"/>
        </w:trPr>
        <w:tc>
          <w:tcPr>
            <w:tcW w:w="2425" w:type="dxa"/>
            <w:vMerge/>
          </w:tcPr>
          <w:p w14:paraId="6AF418A6"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316284A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2B87C75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436509E3" w14:textId="77777777" w:rsidTr="00542E59">
        <w:tc>
          <w:tcPr>
            <w:tcW w:w="2425" w:type="dxa"/>
          </w:tcPr>
          <w:p w14:paraId="11F39431"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888CE74" w14:textId="3D7DD079"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4EE1D79A" w14:textId="77777777" w:rsidTr="00542E59">
        <w:tc>
          <w:tcPr>
            <w:tcW w:w="2425" w:type="dxa"/>
          </w:tcPr>
          <w:p w14:paraId="163929D3"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Estimation Method</w:t>
            </w:r>
          </w:p>
        </w:tc>
        <w:tc>
          <w:tcPr>
            <w:tcW w:w="7200" w:type="dxa"/>
            <w:gridSpan w:val="6"/>
          </w:tcPr>
          <w:p w14:paraId="2A064DC2" w14:textId="69DB9935"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4DF3A913" w14:textId="77777777" w:rsidTr="00542E59">
        <w:tc>
          <w:tcPr>
            <w:tcW w:w="2425" w:type="dxa"/>
          </w:tcPr>
          <w:p w14:paraId="49191DC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397B47A"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D73E0E4" w14:textId="77777777" w:rsidTr="00542E59">
        <w:tc>
          <w:tcPr>
            <w:tcW w:w="2425" w:type="dxa"/>
          </w:tcPr>
          <w:p w14:paraId="17AA284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5D8E91C" w14:textId="127C0BDD"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2DBA1ABD" w14:textId="77777777" w:rsidTr="00542E59">
        <w:trPr>
          <w:trHeight w:val="91"/>
        </w:trPr>
        <w:tc>
          <w:tcPr>
            <w:tcW w:w="2425" w:type="dxa"/>
            <w:vMerge w:val="restart"/>
          </w:tcPr>
          <w:p w14:paraId="01875F47"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415ECF1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D3C0E0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3F247C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0B9850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831133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41CC2299" w14:textId="77777777" w:rsidTr="00542E59">
        <w:trPr>
          <w:trHeight w:val="91"/>
        </w:trPr>
        <w:tc>
          <w:tcPr>
            <w:tcW w:w="2425" w:type="dxa"/>
            <w:vMerge/>
          </w:tcPr>
          <w:p w14:paraId="57A099A1"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47328E94" w14:textId="6AE42220"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79949C7A" w14:textId="4CFE18C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5543F6EB" w14:textId="4B09DE44"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B64864A" w14:textId="54A0AB39"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4A809475" w14:textId="32D57F5A"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4F58161B"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D60E1DF" w14:textId="77777777" w:rsidTr="00542E59">
        <w:tc>
          <w:tcPr>
            <w:tcW w:w="9625" w:type="dxa"/>
            <w:gridSpan w:val="7"/>
            <w:shd w:val="clear" w:color="auto" w:fill="D9D9D9" w:themeFill="background1" w:themeFillShade="D9"/>
          </w:tcPr>
          <w:p w14:paraId="79ABC2E6" w14:textId="0E7BD136"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17. Tax exemption of cash allowances to the military</w:t>
            </w:r>
          </w:p>
        </w:tc>
      </w:tr>
      <w:tr w:rsidR="00280E00" w:rsidRPr="00CB1E53" w14:paraId="23EB834C" w14:textId="77777777" w:rsidTr="00542E59">
        <w:tc>
          <w:tcPr>
            <w:tcW w:w="2425" w:type="dxa"/>
          </w:tcPr>
          <w:p w14:paraId="18C60CA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0DFC740" w14:textId="3A8ADB0C"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There is a tax exemption of cash allowances </w:t>
            </w:r>
            <w:r w:rsidR="00BA1DEF">
              <w:rPr>
                <w:rFonts w:ascii="Segoe UI" w:hAnsi="Segoe UI" w:cs="Segoe UI"/>
                <w:sz w:val="18"/>
                <w:szCs w:val="18"/>
              </w:rPr>
              <w:t>granted to</w:t>
            </w:r>
            <w:r w:rsidRPr="00CB1E53">
              <w:rPr>
                <w:rFonts w:ascii="Segoe UI" w:hAnsi="Segoe UI" w:cs="Segoe UI"/>
                <w:sz w:val="18"/>
                <w:szCs w:val="18"/>
              </w:rPr>
              <w:t xml:space="preserve"> the military, the pupils</w:t>
            </w:r>
            <w:r w:rsidR="00E41E41">
              <w:rPr>
                <w:rFonts w:ascii="Segoe UI" w:hAnsi="Segoe UI" w:cs="Segoe UI"/>
                <w:sz w:val="18"/>
                <w:szCs w:val="18"/>
              </w:rPr>
              <w:t>,</w:t>
            </w:r>
            <w:r w:rsidRPr="00CB1E53">
              <w:rPr>
                <w:rFonts w:ascii="Segoe UI" w:hAnsi="Segoe UI" w:cs="Segoe UI"/>
                <w:sz w:val="18"/>
                <w:szCs w:val="18"/>
              </w:rPr>
              <w:t xml:space="preserve"> and learners (students) of the military educational institutions and of the higher education institution with the status of large special unit.</w:t>
            </w:r>
          </w:p>
        </w:tc>
      </w:tr>
      <w:tr w:rsidR="00280E00" w:rsidRPr="00CB1E53" w14:paraId="0D72A281" w14:textId="77777777" w:rsidTr="00542E59">
        <w:tc>
          <w:tcPr>
            <w:tcW w:w="2425" w:type="dxa"/>
          </w:tcPr>
          <w:p w14:paraId="1D18B20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773B84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57B0F9D" w14:textId="77777777" w:rsidTr="00542E59">
        <w:tc>
          <w:tcPr>
            <w:tcW w:w="2425" w:type="dxa"/>
          </w:tcPr>
          <w:p w14:paraId="01D0EAF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6D2866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Recipients of these cash allowances.</w:t>
            </w:r>
          </w:p>
        </w:tc>
      </w:tr>
      <w:tr w:rsidR="00280E00" w:rsidRPr="00CB1E53" w14:paraId="24786E39" w14:textId="77777777" w:rsidTr="00542E59">
        <w:tc>
          <w:tcPr>
            <w:tcW w:w="2425" w:type="dxa"/>
          </w:tcPr>
          <w:p w14:paraId="2D12BD9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301507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4EFEFC2B" w14:textId="77777777" w:rsidTr="00542E59">
        <w:tc>
          <w:tcPr>
            <w:tcW w:w="2425" w:type="dxa"/>
          </w:tcPr>
          <w:p w14:paraId="3B2952C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B588BF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transfers or grants should attract PIT at the flat rate of 12% if their combined income streams exceed the basic personal allowance of MDL 27,000 per year. The non-taxation of these income accretions constitutes a tax expenditure.</w:t>
            </w:r>
          </w:p>
        </w:tc>
      </w:tr>
      <w:tr w:rsidR="00280E00" w:rsidRPr="00CB1E53" w14:paraId="2EC06A58" w14:textId="77777777" w:rsidTr="00542E59">
        <w:tc>
          <w:tcPr>
            <w:tcW w:w="2425" w:type="dxa"/>
          </w:tcPr>
          <w:p w14:paraId="271CCB4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6AE109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 (z</w:t>
            </w:r>
            <w:r w:rsidRPr="00CB1E53">
              <w:rPr>
                <w:rFonts w:ascii="Segoe UI" w:hAnsi="Segoe UI" w:cs="Segoe UI"/>
                <w:sz w:val="18"/>
                <w:szCs w:val="18"/>
                <w:vertAlign w:val="superscript"/>
              </w:rPr>
              <w:t>5)</w:t>
            </w:r>
          </w:p>
        </w:tc>
      </w:tr>
      <w:tr w:rsidR="00280E00" w:rsidRPr="00CB1E53" w14:paraId="10617B80" w14:textId="77777777" w:rsidTr="00542E59">
        <w:trPr>
          <w:trHeight w:val="182"/>
        </w:trPr>
        <w:tc>
          <w:tcPr>
            <w:tcW w:w="2425" w:type="dxa"/>
            <w:vMerge w:val="restart"/>
          </w:tcPr>
          <w:p w14:paraId="26BC8FD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AE78EE4" w14:textId="77777777" w:rsidR="00280E00" w:rsidRPr="00CB1E53" w:rsidRDefault="00280E00" w:rsidP="00FD11D9">
            <w:pPr>
              <w:spacing w:before="20" w:after="20"/>
              <w:jc w:val="both"/>
              <w:rPr>
                <w:rFonts w:ascii="Segoe UI" w:hAnsi="Segoe UI" w:cs="Segoe UI"/>
                <w:sz w:val="18"/>
                <w:szCs w:val="18"/>
              </w:rPr>
            </w:pPr>
          </w:p>
        </w:tc>
      </w:tr>
      <w:tr w:rsidR="00280E00" w:rsidRPr="00CB1E53" w14:paraId="32C067CD" w14:textId="77777777" w:rsidTr="00542E59">
        <w:trPr>
          <w:trHeight w:val="182"/>
        </w:trPr>
        <w:tc>
          <w:tcPr>
            <w:tcW w:w="2425" w:type="dxa"/>
            <w:vMerge/>
          </w:tcPr>
          <w:p w14:paraId="06CB9999"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4BD0299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2006</w:t>
            </w:r>
          </w:p>
        </w:tc>
        <w:tc>
          <w:tcPr>
            <w:tcW w:w="3738" w:type="dxa"/>
            <w:gridSpan w:val="3"/>
          </w:tcPr>
          <w:p w14:paraId="0BD9849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0FB3A26D" w14:textId="77777777" w:rsidTr="00542E59">
        <w:tc>
          <w:tcPr>
            <w:tcW w:w="2425" w:type="dxa"/>
          </w:tcPr>
          <w:p w14:paraId="1A5B003D"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024D2B1" w14:textId="799CFF56"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19936992" w14:textId="77777777" w:rsidTr="00542E59">
        <w:tc>
          <w:tcPr>
            <w:tcW w:w="2425" w:type="dxa"/>
          </w:tcPr>
          <w:p w14:paraId="796AE611"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5091C67" w14:textId="71B8A9FB"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448F3642" w14:textId="77777777" w:rsidTr="00542E59">
        <w:tc>
          <w:tcPr>
            <w:tcW w:w="2425" w:type="dxa"/>
          </w:tcPr>
          <w:p w14:paraId="4745CAD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B82D0C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D240398" w14:textId="77777777" w:rsidTr="00542E59">
        <w:tc>
          <w:tcPr>
            <w:tcW w:w="2425" w:type="dxa"/>
          </w:tcPr>
          <w:p w14:paraId="45215A0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B8735B4" w14:textId="13C0415E"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390C1651" w14:textId="77777777" w:rsidTr="00542E59">
        <w:trPr>
          <w:trHeight w:val="91"/>
        </w:trPr>
        <w:tc>
          <w:tcPr>
            <w:tcW w:w="2425" w:type="dxa"/>
            <w:vMerge w:val="restart"/>
          </w:tcPr>
          <w:p w14:paraId="69AAC9D0"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580D2A7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0C232BB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C51CBF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909FE6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F714FB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73B7D8AE" w14:textId="77777777" w:rsidTr="00542E59">
        <w:trPr>
          <w:trHeight w:val="91"/>
        </w:trPr>
        <w:tc>
          <w:tcPr>
            <w:tcW w:w="2425" w:type="dxa"/>
            <w:vMerge/>
          </w:tcPr>
          <w:p w14:paraId="1FC0FE90"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49F2ABAF" w14:textId="586AEAD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7DB13C73" w14:textId="18C0986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13690CDA" w14:textId="2FA417F0"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401ED173" w14:textId="45372E9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95602D7" w14:textId="710295D1"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6F007EAC" w14:textId="77777777" w:rsidR="00280E00" w:rsidRPr="00CB1E53" w:rsidRDefault="00280E00"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558D8EE3" w14:textId="77777777" w:rsidTr="00542E59">
        <w:tc>
          <w:tcPr>
            <w:tcW w:w="9625" w:type="dxa"/>
            <w:gridSpan w:val="7"/>
            <w:shd w:val="clear" w:color="auto" w:fill="D9D9D9" w:themeFill="background1" w:themeFillShade="D9"/>
          </w:tcPr>
          <w:p w14:paraId="2B0763D4" w14:textId="3F15BCE4"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18. Tax exemption of royalties for individuals aged 60 and over in the area of art, science, and literature</w:t>
            </w:r>
          </w:p>
        </w:tc>
      </w:tr>
      <w:tr w:rsidR="00280E00" w:rsidRPr="00CB1E53" w14:paraId="33CC1E05" w14:textId="77777777" w:rsidTr="00542E59">
        <w:tc>
          <w:tcPr>
            <w:tcW w:w="2425" w:type="dxa"/>
          </w:tcPr>
          <w:p w14:paraId="32AF704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F726CF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of incomes in the form of royalties for individuals aged 60 and over in the domain of literature, art, and science.</w:t>
            </w:r>
          </w:p>
        </w:tc>
      </w:tr>
      <w:tr w:rsidR="00280E00" w:rsidRPr="00CB1E53" w14:paraId="38A5CC45" w14:textId="77777777" w:rsidTr="00542E59">
        <w:tc>
          <w:tcPr>
            <w:tcW w:w="2425" w:type="dxa"/>
          </w:tcPr>
          <w:p w14:paraId="38A8862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430367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60A4066" w14:textId="77777777" w:rsidTr="00542E59">
        <w:tc>
          <w:tcPr>
            <w:tcW w:w="2425" w:type="dxa"/>
          </w:tcPr>
          <w:p w14:paraId="4B9A3B8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6EA4FF4" w14:textId="54D96651"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Individuals aged 60 earning royalties</w:t>
            </w:r>
            <w:r w:rsidR="008C3C6D">
              <w:rPr>
                <w:rFonts w:ascii="Segoe UI" w:hAnsi="Segoe UI" w:cs="Segoe UI"/>
                <w:sz w:val="18"/>
                <w:szCs w:val="18"/>
              </w:rPr>
              <w:t>.</w:t>
            </w:r>
          </w:p>
        </w:tc>
      </w:tr>
      <w:tr w:rsidR="00280E00" w:rsidRPr="00CB1E53" w14:paraId="2AF94F62" w14:textId="77777777" w:rsidTr="00542E59">
        <w:tc>
          <w:tcPr>
            <w:tcW w:w="2425" w:type="dxa"/>
          </w:tcPr>
          <w:p w14:paraId="22554D2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D7E225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33D6E424" w14:textId="77777777" w:rsidTr="00542E59">
        <w:tc>
          <w:tcPr>
            <w:tcW w:w="2425" w:type="dxa"/>
          </w:tcPr>
          <w:p w14:paraId="3967374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7C035A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accretion of income from whatever source should attract PIT at the flat rate of 12% if their combined income streams exceed the basic personal allowance of MDL 27,000 per year. The non-taxation of these income accretions constitutes a tax expenditure.</w:t>
            </w:r>
          </w:p>
        </w:tc>
      </w:tr>
      <w:tr w:rsidR="00280E00" w:rsidRPr="00CB1E53" w14:paraId="148FDD14" w14:textId="77777777" w:rsidTr="00542E59">
        <w:tc>
          <w:tcPr>
            <w:tcW w:w="2425" w:type="dxa"/>
          </w:tcPr>
          <w:p w14:paraId="55FB13D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C34117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20(z</w:t>
            </w:r>
            <w:r w:rsidRPr="00CB1E53">
              <w:rPr>
                <w:rFonts w:ascii="Segoe UI" w:hAnsi="Segoe UI" w:cs="Segoe UI"/>
                <w:sz w:val="18"/>
                <w:szCs w:val="18"/>
                <w:vertAlign w:val="superscript"/>
              </w:rPr>
              <w:t>11</w:t>
            </w:r>
            <w:r w:rsidRPr="00CB1E53">
              <w:rPr>
                <w:rFonts w:ascii="Segoe UI" w:hAnsi="Segoe UI" w:cs="Segoe UI"/>
                <w:sz w:val="18"/>
                <w:szCs w:val="18"/>
              </w:rPr>
              <w:t>)</w:t>
            </w:r>
          </w:p>
        </w:tc>
      </w:tr>
      <w:tr w:rsidR="00280E00" w:rsidRPr="00CB1E53" w14:paraId="44362F84" w14:textId="77777777" w:rsidTr="00542E59">
        <w:trPr>
          <w:trHeight w:val="182"/>
        </w:trPr>
        <w:tc>
          <w:tcPr>
            <w:tcW w:w="2425" w:type="dxa"/>
            <w:vMerge w:val="restart"/>
          </w:tcPr>
          <w:p w14:paraId="6E20F49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015565FC"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D548F96" w14:textId="77777777" w:rsidTr="00542E59">
        <w:trPr>
          <w:trHeight w:val="182"/>
        </w:trPr>
        <w:tc>
          <w:tcPr>
            <w:tcW w:w="2425" w:type="dxa"/>
            <w:vMerge/>
          </w:tcPr>
          <w:p w14:paraId="6DC9B2EB"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6DE1D01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0AF9D45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4986D7D6" w14:textId="77777777" w:rsidTr="00542E59">
        <w:tc>
          <w:tcPr>
            <w:tcW w:w="2425" w:type="dxa"/>
          </w:tcPr>
          <w:p w14:paraId="20152FE2"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7DAA207" w14:textId="2AE63610"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3D2F9CFB" w14:textId="77777777" w:rsidTr="00542E59">
        <w:tc>
          <w:tcPr>
            <w:tcW w:w="2425" w:type="dxa"/>
          </w:tcPr>
          <w:p w14:paraId="5512F8CB"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3DF6B99" w14:textId="1DCE2DB3"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5D946229" w14:textId="77777777" w:rsidTr="00542E59">
        <w:tc>
          <w:tcPr>
            <w:tcW w:w="2425" w:type="dxa"/>
          </w:tcPr>
          <w:p w14:paraId="66A61F3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E07D573"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E977555" w14:textId="77777777" w:rsidTr="00542E59">
        <w:tc>
          <w:tcPr>
            <w:tcW w:w="2425" w:type="dxa"/>
          </w:tcPr>
          <w:p w14:paraId="2086A06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7C368C6" w14:textId="62910CA9"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3D2E010A" w14:textId="77777777" w:rsidTr="00542E59">
        <w:trPr>
          <w:trHeight w:val="91"/>
        </w:trPr>
        <w:tc>
          <w:tcPr>
            <w:tcW w:w="2425" w:type="dxa"/>
            <w:vMerge w:val="restart"/>
          </w:tcPr>
          <w:p w14:paraId="237D0BF5"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0F4073D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6A8138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901425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05B9EF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5EF020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1329F240" w14:textId="77777777" w:rsidTr="00542E59">
        <w:trPr>
          <w:trHeight w:val="91"/>
        </w:trPr>
        <w:tc>
          <w:tcPr>
            <w:tcW w:w="2425" w:type="dxa"/>
            <w:vMerge/>
          </w:tcPr>
          <w:p w14:paraId="28EABA72"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4FFF6AC6" w14:textId="11ACDA6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4B01316" w14:textId="2F42C1B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41D8EEB6" w14:textId="2F0F24D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3A4A8D0A" w14:textId="7305E469"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59119910" w14:textId="44187DD7"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798BB3A7"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38ADF8BB" w14:textId="77777777" w:rsidTr="00542E59">
        <w:tc>
          <w:tcPr>
            <w:tcW w:w="9625" w:type="dxa"/>
            <w:gridSpan w:val="7"/>
            <w:shd w:val="clear" w:color="auto" w:fill="D9D9D9" w:themeFill="background1" w:themeFillShade="D9"/>
          </w:tcPr>
          <w:p w14:paraId="7F77F990" w14:textId="3FFC3A1D"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19. Tax exemptions for received allowances as compensation for work performed during election day</w:t>
            </w:r>
          </w:p>
        </w:tc>
      </w:tr>
      <w:tr w:rsidR="00280E00" w:rsidRPr="00CB1E53" w14:paraId="7C4EC7A5" w14:textId="77777777" w:rsidTr="00542E59">
        <w:tc>
          <w:tcPr>
            <w:tcW w:w="2425" w:type="dxa"/>
          </w:tcPr>
          <w:p w14:paraId="052BFBA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362B1E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incomes obtained in the form of an allowance for the work performed on election day, paid to the members of the constituency electoral councils, to the members of the electoral bureaus of the polling stations and to the officials of the respective councils and bureaus.</w:t>
            </w:r>
          </w:p>
        </w:tc>
      </w:tr>
      <w:tr w:rsidR="00280E00" w:rsidRPr="00CB1E53" w14:paraId="545F5685" w14:textId="77777777" w:rsidTr="00542E59">
        <w:tc>
          <w:tcPr>
            <w:tcW w:w="2425" w:type="dxa"/>
          </w:tcPr>
          <w:p w14:paraId="754E0D0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E56008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5BC1A5A3" w14:textId="77777777" w:rsidTr="00542E59">
        <w:tc>
          <w:tcPr>
            <w:tcW w:w="2425" w:type="dxa"/>
          </w:tcPr>
          <w:p w14:paraId="6887027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E77248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Electoral workers and officials.</w:t>
            </w:r>
          </w:p>
        </w:tc>
      </w:tr>
      <w:tr w:rsidR="00280E00" w:rsidRPr="00CB1E53" w14:paraId="467F399F" w14:textId="77777777" w:rsidTr="00542E59">
        <w:tc>
          <w:tcPr>
            <w:tcW w:w="2425" w:type="dxa"/>
          </w:tcPr>
          <w:p w14:paraId="2EFC407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E41344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6A47677C" w14:textId="77777777" w:rsidTr="00542E59">
        <w:tc>
          <w:tcPr>
            <w:tcW w:w="2425" w:type="dxa"/>
          </w:tcPr>
          <w:p w14:paraId="19D25A9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5E9ED7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accretion of income from whatever source or any considerations for work performed should attract PIT at the flat rate of 12% if their combined income streams exceed the basic personal allowance of MDL 27,000 per year. The non-taxation of these income accretions constitutes a tax expenditure.</w:t>
            </w:r>
          </w:p>
        </w:tc>
      </w:tr>
      <w:tr w:rsidR="00280E00" w:rsidRPr="00CB1E53" w14:paraId="21785E97" w14:textId="77777777" w:rsidTr="00542E59">
        <w:tc>
          <w:tcPr>
            <w:tcW w:w="2425" w:type="dxa"/>
          </w:tcPr>
          <w:p w14:paraId="5059F2E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5C8BFF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20(z</w:t>
            </w:r>
            <w:r w:rsidRPr="00CB1E53">
              <w:rPr>
                <w:rFonts w:ascii="Segoe UI" w:hAnsi="Segoe UI" w:cs="Segoe UI"/>
                <w:sz w:val="18"/>
                <w:szCs w:val="18"/>
                <w:vertAlign w:val="superscript"/>
              </w:rPr>
              <w:t>14</w:t>
            </w:r>
            <w:r w:rsidRPr="00CB1E53">
              <w:rPr>
                <w:rFonts w:ascii="Segoe UI" w:hAnsi="Segoe UI" w:cs="Segoe UI"/>
                <w:sz w:val="18"/>
                <w:szCs w:val="18"/>
              </w:rPr>
              <w:t>)</w:t>
            </w:r>
          </w:p>
        </w:tc>
      </w:tr>
      <w:tr w:rsidR="00280E00" w:rsidRPr="00CB1E53" w14:paraId="6D42AAE8" w14:textId="77777777" w:rsidTr="00542E59">
        <w:trPr>
          <w:trHeight w:val="182"/>
        </w:trPr>
        <w:tc>
          <w:tcPr>
            <w:tcW w:w="2425" w:type="dxa"/>
            <w:vMerge w:val="restart"/>
          </w:tcPr>
          <w:p w14:paraId="21D178C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C128343"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C68B131" w14:textId="77777777" w:rsidTr="00542E59">
        <w:trPr>
          <w:trHeight w:val="182"/>
        </w:trPr>
        <w:tc>
          <w:tcPr>
            <w:tcW w:w="2425" w:type="dxa"/>
            <w:vMerge/>
          </w:tcPr>
          <w:p w14:paraId="31A37301"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667FB66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2018</w:t>
            </w:r>
          </w:p>
        </w:tc>
        <w:tc>
          <w:tcPr>
            <w:tcW w:w="3738" w:type="dxa"/>
            <w:gridSpan w:val="3"/>
          </w:tcPr>
          <w:p w14:paraId="4C86048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57CF051A" w14:textId="77777777" w:rsidTr="00542E59">
        <w:tc>
          <w:tcPr>
            <w:tcW w:w="2425" w:type="dxa"/>
          </w:tcPr>
          <w:p w14:paraId="67629232"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B8F697F" w14:textId="45AC347B"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7045D969" w14:textId="77777777" w:rsidTr="00542E59">
        <w:tc>
          <w:tcPr>
            <w:tcW w:w="2425" w:type="dxa"/>
          </w:tcPr>
          <w:p w14:paraId="3C0399BA"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12D41E5" w14:textId="3CF7CB9E"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35DA5C8F" w14:textId="77777777" w:rsidTr="00542E59">
        <w:tc>
          <w:tcPr>
            <w:tcW w:w="2425" w:type="dxa"/>
          </w:tcPr>
          <w:p w14:paraId="42B28EA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71759BC"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B274F22" w14:textId="77777777" w:rsidTr="00542E59">
        <w:tc>
          <w:tcPr>
            <w:tcW w:w="2425" w:type="dxa"/>
          </w:tcPr>
          <w:p w14:paraId="151DBCE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0E5CE47" w14:textId="133D937E"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5319061F" w14:textId="77777777" w:rsidTr="00542E59">
        <w:trPr>
          <w:trHeight w:val="91"/>
        </w:trPr>
        <w:tc>
          <w:tcPr>
            <w:tcW w:w="2425" w:type="dxa"/>
            <w:vMerge w:val="restart"/>
          </w:tcPr>
          <w:p w14:paraId="2E13C749"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47D0FFC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7F1615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2301D9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4AEC4C0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62C788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15C1C79D" w14:textId="77777777" w:rsidTr="00542E59">
        <w:trPr>
          <w:trHeight w:val="91"/>
        </w:trPr>
        <w:tc>
          <w:tcPr>
            <w:tcW w:w="2425" w:type="dxa"/>
            <w:vMerge/>
          </w:tcPr>
          <w:p w14:paraId="020CB1C0"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3C0BC819" w14:textId="297E1929"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B084D83" w14:textId="65981515"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789270AE" w14:textId="166DA2A5"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4F9B81A" w14:textId="07054985"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1B187EB6" w14:textId="70E221EB"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1BD1E65A"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pPr w:leftFromText="180" w:rightFromText="180" w:vertAnchor="text" w:tblpY="231"/>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154F882" w14:textId="77777777" w:rsidTr="00542E59">
        <w:tc>
          <w:tcPr>
            <w:tcW w:w="9625" w:type="dxa"/>
            <w:gridSpan w:val="7"/>
            <w:shd w:val="clear" w:color="auto" w:fill="D9D9D9" w:themeFill="background1" w:themeFillShade="D9"/>
          </w:tcPr>
          <w:p w14:paraId="5E7ECB95" w14:textId="269093CB"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 Tax exemption of payments borne by the beneficiaries of works for food </w:t>
            </w:r>
          </w:p>
        </w:tc>
      </w:tr>
      <w:tr w:rsidR="00280E00" w:rsidRPr="00CB1E53" w14:paraId="6247DBBE" w14:textId="77777777" w:rsidTr="00542E59">
        <w:tc>
          <w:tcPr>
            <w:tcW w:w="2425" w:type="dxa"/>
          </w:tcPr>
          <w:p w14:paraId="73CE63D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FD966C1" w14:textId="094B4471"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payments borne by the beneficiaries of works for food and transportation of day laborers, in the amount established by the Government.</w:t>
            </w:r>
          </w:p>
        </w:tc>
      </w:tr>
      <w:tr w:rsidR="00280E00" w:rsidRPr="00CB1E53" w14:paraId="58479487" w14:textId="77777777" w:rsidTr="00542E59">
        <w:tc>
          <w:tcPr>
            <w:tcW w:w="2425" w:type="dxa"/>
          </w:tcPr>
          <w:p w14:paraId="79C5FBD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B5C201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28B5B57" w14:textId="77777777" w:rsidTr="00542E59">
        <w:tc>
          <w:tcPr>
            <w:tcW w:w="2425" w:type="dxa"/>
          </w:tcPr>
          <w:p w14:paraId="4D19E32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52BF60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Beneficiaries of works for food.</w:t>
            </w:r>
          </w:p>
        </w:tc>
      </w:tr>
      <w:tr w:rsidR="00280E00" w:rsidRPr="00CB1E53" w14:paraId="20725832" w14:textId="77777777" w:rsidTr="00542E59">
        <w:tc>
          <w:tcPr>
            <w:tcW w:w="2425" w:type="dxa"/>
          </w:tcPr>
          <w:p w14:paraId="273BF3F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20A4E8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280E00" w:rsidRPr="00CB1E53" w14:paraId="19605AAD" w14:textId="77777777" w:rsidTr="00542E59">
        <w:tc>
          <w:tcPr>
            <w:tcW w:w="2425" w:type="dxa"/>
          </w:tcPr>
          <w:p w14:paraId="5DAE4BE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2A1EF2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accretion of income from whatever source or any considerations for work performed should attract PIT at the flat rate of 12% if their combined income streams exceed the basic personal allowance of MDL 27,000 per year. The non-taxation of these income accretions or benefits in kind constitutes a tax expenditure.</w:t>
            </w:r>
          </w:p>
        </w:tc>
      </w:tr>
      <w:tr w:rsidR="00280E00" w:rsidRPr="00CB1E53" w14:paraId="31A4DA60" w14:textId="77777777" w:rsidTr="00542E59">
        <w:tc>
          <w:tcPr>
            <w:tcW w:w="2425" w:type="dxa"/>
          </w:tcPr>
          <w:p w14:paraId="2083587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9E5D83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20(z</w:t>
            </w:r>
            <w:r w:rsidRPr="00CB1E53">
              <w:rPr>
                <w:rFonts w:ascii="Segoe UI" w:hAnsi="Segoe UI" w:cs="Segoe UI"/>
                <w:sz w:val="18"/>
                <w:szCs w:val="18"/>
                <w:vertAlign w:val="superscript"/>
              </w:rPr>
              <w:t>15</w:t>
            </w:r>
            <w:r w:rsidRPr="00CB1E53">
              <w:rPr>
                <w:rFonts w:ascii="Segoe UI" w:hAnsi="Segoe UI" w:cs="Segoe UI"/>
                <w:sz w:val="18"/>
                <w:szCs w:val="18"/>
              </w:rPr>
              <w:t>)</w:t>
            </w:r>
          </w:p>
        </w:tc>
      </w:tr>
      <w:tr w:rsidR="00280E00" w:rsidRPr="00CB1E53" w14:paraId="1271D475" w14:textId="77777777" w:rsidTr="00542E59">
        <w:trPr>
          <w:trHeight w:val="182"/>
        </w:trPr>
        <w:tc>
          <w:tcPr>
            <w:tcW w:w="2425" w:type="dxa"/>
            <w:vMerge w:val="restart"/>
          </w:tcPr>
          <w:p w14:paraId="1C5A5C4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19313F7"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DBEE21E" w14:textId="77777777" w:rsidTr="00542E59">
        <w:trPr>
          <w:trHeight w:val="182"/>
        </w:trPr>
        <w:tc>
          <w:tcPr>
            <w:tcW w:w="2425" w:type="dxa"/>
            <w:vMerge/>
          </w:tcPr>
          <w:p w14:paraId="33F04B4B"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24855E5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2020</w:t>
            </w:r>
          </w:p>
        </w:tc>
        <w:tc>
          <w:tcPr>
            <w:tcW w:w="3738" w:type="dxa"/>
            <w:gridSpan w:val="3"/>
          </w:tcPr>
          <w:p w14:paraId="2B808D7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4CEF4ED2" w14:textId="77777777" w:rsidTr="00542E59">
        <w:tc>
          <w:tcPr>
            <w:tcW w:w="2425" w:type="dxa"/>
          </w:tcPr>
          <w:p w14:paraId="1EF59056"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DAEFB66" w14:textId="2E0A672D"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035AE4C3" w14:textId="77777777" w:rsidTr="00542E59">
        <w:tc>
          <w:tcPr>
            <w:tcW w:w="2425" w:type="dxa"/>
          </w:tcPr>
          <w:p w14:paraId="13AFB52B"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6C5F528" w14:textId="052C2ECE"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73625146" w14:textId="77777777" w:rsidTr="00542E59">
        <w:tc>
          <w:tcPr>
            <w:tcW w:w="2425" w:type="dxa"/>
          </w:tcPr>
          <w:p w14:paraId="5106CF8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D543AD9"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6FF69E0" w14:textId="77777777" w:rsidTr="00542E59">
        <w:tc>
          <w:tcPr>
            <w:tcW w:w="2425" w:type="dxa"/>
          </w:tcPr>
          <w:p w14:paraId="1DD4DE5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A62AFD0" w14:textId="66FC8D59"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6A69091B" w14:textId="77777777" w:rsidTr="00542E59">
        <w:trPr>
          <w:trHeight w:val="91"/>
        </w:trPr>
        <w:tc>
          <w:tcPr>
            <w:tcW w:w="2425" w:type="dxa"/>
            <w:vMerge w:val="restart"/>
          </w:tcPr>
          <w:p w14:paraId="0F8D6968"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3F1162A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19021FB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186BBA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8D9637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6C97A6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7524611F" w14:textId="77777777" w:rsidTr="00542E59">
        <w:trPr>
          <w:trHeight w:val="91"/>
        </w:trPr>
        <w:tc>
          <w:tcPr>
            <w:tcW w:w="2425" w:type="dxa"/>
            <w:vMerge/>
          </w:tcPr>
          <w:p w14:paraId="5A8F50EF"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4720D1E4" w14:textId="7D864638"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5120F557" w14:textId="2340CF67"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7870D874" w14:textId="08615C0B"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C2CCFC8" w14:textId="1A14B94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E2BE606" w14:textId="2813F9B6"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0FAEE6AA"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C30EDE3" w14:textId="77777777" w:rsidTr="00542E59">
        <w:tc>
          <w:tcPr>
            <w:tcW w:w="9625" w:type="dxa"/>
            <w:gridSpan w:val="7"/>
            <w:shd w:val="clear" w:color="auto" w:fill="D9D9D9" w:themeFill="background1" w:themeFillShade="D9"/>
          </w:tcPr>
          <w:p w14:paraId="7CAB217F" w14:textId="1382ABB0"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21. Deduction to encourage the development of software (IT programs)</w:t>
            </w:r>
          </w:p>
        </w:tc>
      </w:tr>
      <w:tr w:rsidR="00280E00" w:rsidRPr="00CB1E53" w14:paraId="6E42129D" w14:textId="77777777" w:rsidTr="00542E59">
        <w:tc>
          <w:tcPr>
            <w:tcW w:w="2425" w:type="dxa"/>
          </w:tcPr>
          <w:p w14:paraId="0C22F4E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41A4126" w14:textId="76B2CE64" w:rsidR="00280E00" w:rsidRPr="00CB1E53" w:rsidRDefault="008C3C6D" w:rsidP="00FD11D9">
            <w:pPr>
              <w:autoSpaceDE w:val="0"/>
              <w:autoSpaceDN w:val="0"/>
              <w:adjustRightInd w:val="0"/>
              <w:spacing w:before="20" w:after="20"/>
              <w:jc w:val="both"/>
              <w:rPr>
                <w:rFonts w:ascii="Segoe UI" w:hAnsi="Segoe UI" w:cs="Segoe UI"/>
                <w:sz w:val="18"/>
                <w:szCs w:val="18"/>
              </w:rPr>
            </w:pPr>
            <w:r>
              <w:rPr>
                <w:rFonts w:ascii="Segoe UI" w:hAnsi="Segoe UI" w:cs="Segoe UI"/>
                <w:sz w:val="18"/>
                <w:szCs w:val="18"/>
              </w:rPr>
              <w:t>A d</w:t>
            </w:r>
            <w:r w:rsidR="00280E00" w:rsidRPr="00CB1E53">
              <w:rPr>
                <w:rFonts w:ascii="Segoe UI" w:hAnsi="Segoe UI" w:cs="Segoe UI"/>
                <w:sz w:val="18"/>
                <w:szCs w:val="18"/>
              </w:rPr>
              <w:t xml:space="preserve">eduction </w:t>
            </w:r>
            <w:r>
              <w:rPr>
                <w:rFonts w:ascii="Segoe UI" w:hAnsi="Segoe UI" w:cs="Segoe UI"/>
                <w:sz w:val="18"/>
                <w:szCs w:val="18"/>
              </w:rPr>
              <w:t>is provided for</w:t>
            </w:r>
            <w:r w:rsidR="00280E00" w:rsidRPr="00CB1E53">
              <w:rPr>
                <w:rFonts w:ascii="Segoe UI" w:hAnsi="Segoe UI" w:cs="Segoe UI"/>
                <w:sz w:val="18"/>
                <w:szCs w:val="18"/>
              </w:rPr>
              <w:t xml:space="preserve"> an amount equal to two average monthly salaries at national level forecasted for the tax year. Not for residents of IT parks; </w:t>
            </w:r>
            <w:r>
              <w:rPr>
                <w:rFonts w:ascii="Segoe UI" w:hAnsi="Segoe UI" w:cs="Segoe UI"/>
                <w:sz w:val="18"/>
                <w:szCs w:val="18"/>
              </w:rPr>
              <w:t xml:space="preserve">it is a </w:t>
            </w:r>
            <w:r w:rsidR="00280E00" w:rsidRPr="00CB1E53">
              <w:rPr>
                <w:rFonts w:ascii="Segoe UI" w:hAnsi="Segoe UI" w:cs="Segoe UI"/>
                <w:sz w:val="18"/>
                <w:szCs w:val="18"/>
              </w:rPr>
              <w:t>non-structural</w:t>
            </w:r>
            <w:r>
              <w:rPr>
                <w:rFonts w:ascii="Segoe UI" w:hAnsi="Segoe UI" w:cs="Segoe UI"/>
                <w:sz w:val="18"/>
                <w:szCs w:val="18"/>
              </w:rPr>
              <w:t xml:space="preserve"> incentive.</w:t>
            </w:r>
          </w:p>
        </w:tc>
      </w:tr>
      <w:tr w:rsidR="00280E00" w:rsidRPr="00CB1E53" w14:paraId="1F93D349" w14:textId="77777777" w:rsidTr="00542E59">
        <w:tc>
          <w:tcPr>
            <w:tcW w:w="2425" w:type="dxa"/>
          </w:tcPr>
          <w:p w14:paraId="77D0F9A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Tax Affected</w:t>
            </w:r>
          </w:p>
        </w:tc>
        <w:tc>
          <w:tcPr>
            <w:tcW w:w="7200" w:type="dxa"/>
            <w:gridSpan w:val="6"/>
          </w:tcPr>
          <w:p w14:paraId="2705AB9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747FB326" w14:textId="77777777" w:rsidTr="00542E59">
        <w:tc>
          <w:tcPr>
            <w:tcW w:w="2425" w:type="dxa"/>
          </w:tcPr>
          <w:p w14:paraId="051D69C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470552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IT park resident companies or entrepreneurs</w:t>
            </w:r>
          </w:p>
        </w:tc>
      </w:tr>
      <w:tr w:rsidR="00280E00" w:rsidRPr="00CB1E53" w14:paraId="110FF180" w14:textId="77777777" w:rsidTr="00542E59">
        <w:tc>
          <w:tcPr>
            <w:tcW w:w="2425" w:type="dxa"/>
          </w:tcPr>
          <w:p w14:paraId="6208ADE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204E69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An allowance</w:t>
            </w:r>
          </w:p>
        </w:tc>
      </w:tr>
      <w:tr w:rsidR="00280E00" w:rsidRPr="00CB1E53" w14:paraId="779D555E" w14:textId="77777777" w:rsidTr="00542E59">
        <w:tc>
          <w:tcPr>
            <w:tcW w:w="2425" w:type="dxa"/>
          </w:tcPr>
          <w:p w14:paraId="2BB0748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B730BED" w14:textId="44A4BDED"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This is to encourage through the tax system a small sub-group of taxpayers with the view to stimulate employment in the IT sector and incentivize the development of IT—it is not a standard practice to enhance the deduction of a legitimate business expense this way</w:t>
            </w:r>
            <w:r w:rsidR="008C3C6D">
              <w:rPr>
                <w:rFonts w:ascii="Segoe UI" w:hAnsi="Segoe UI" w:cs="Segoe UI"/>
                <w:sz w:val="18"/>
                <w:szCs w:val="18"/>
              </w:rPr>
              <w:t>; hence, it is a tax expenditure.</w:t>
            </w:r>
          </w:p>
        </w:tc>
      </w:tr>
      <w:tr w:rsidR="00280E00" w:rsidRPr="00CB1E53" w14:paraId="2992C7AE" w14:textId="77777777" w:rsidTr="00542E59">
        <w:tc>
          <w:tcPr>
            <w:tcW w:w="2425" w:type="dxa"/>
          </w:tcPr>
          <w:p w14:paraId="69E0E1E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347EE6D" w14:textId="77777777"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Law no. 1164‐XIII of April 24, 1997, Art. 24 para. (21)</w:t>
            </w:r>
          </w:p>
        </w:tc>
      </w:tr>
      <w:tr w:rsidR="00280E00" w:rsidRPr="00CB1E53" w14:paraId="4CC3A682" w14:textId="77777777" w:rsidTr="00542E59">
        <w:trPr>
          <w:trHeight w:val="182"/>
        </w:trPr>
        <w:tc>
          <w:tcPr>
            <w:tcW w:w="2425" w:type="dxa"/>
            <w:vMerge w:val="restart"/>
          </w:tcPr>
          <w:p w14:paraId="7F03304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385F29D8" w14:textId="77777777" w:rsidR="00280E00" w:rsidRPr="00CB1E53" w:rsidRDefault="00280E00" w:rsidP="00FD11D9">
            <w:pPr>
              <w:spacing w:before="20" w:after="20"/>
              <w:jc w:val="both"/>
              <w:rPr>
                <w:rFonts w:ascii="Segoe UI" w:hAnsi="Segoe UI" w:cs="Segoe UI"/>
                <w:sz w:val="18"/>
                <w:szCs w:val="18"/>
              </w:rPr>
            </w:pPr>
          </w:p>
        </w:tc>
        <w:tc>
          <w:tcPr>
            <w:tcW w:w="3738" w:type="dxa"/>
            <w:gridSpan w:val="3"/>
          </w:tcPr>
          <w:p w14:paraId="35D5239A"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16E0F48" w14:textId="77777777" w:rsidTr="00542E59">
        <w:trPr>
          <w:trHeight w:val="182"/>
        </w:trPr>
        <w:tc>
          <w:tcPr>
            <w:tcW w:w="2425" w:type="dxa"/>
            <w:vMerge/>
          </w:tcPr>
          <w:p w14:paraId="08D7A1B8"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5363D72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Introduced in year </w:t>
            </w:r>
          </w:p>
        </w:tc>
        <w:tc>
          <w:tcPr>
            <w:tcW w:w="3738" w:type="dxa"/>
            <w:gridSpan w:val="3"/>
          </w:tcPr>
          <w:p w14:paraId="3842B03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59C221FF" w14:textId="77777777" w:rsidTr="00F7324F">
        <w:trPr>
          <w:trHeight w:val="67"/>
        </w:trPr>
        <w:tc>
          <w:tcPr>
            <w:tcW w:w="2425" w:type="dxa"/>
          </w:tcPr>
          <w:p w14:paraId="264D21F0"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81BB380" w14:textId="49008A92"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20E282CA" w14:textId="77777777" w:rsidTr="00542E59">
        <w:tc>
          <w:tcPr>
            <w:tcW w:w="2425" w:type="dxa"/>
          </w:tcPr>
          <w:p w14:paraId="079F0E14"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BEBD1F4" w14:textId="4D6B61C1"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0DE58818" w14:textId="77777777" w:rsidTr="00542E59">
        <w:tc>
          <w:tcPr>
            <w:tcW w:w="2425" w:type="dxa"/>
          </w:tcPr>
          <w:p w14:paraId="2CC050A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8E4001F"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D289F70" w14:textId="77777777" w:rsidTr="00542E59">
        <w:tc>
          <w:tcPr>
            <w:tcW w:w="2425" w:type="dxa"/>
          </w:tcPr>
          <w:p w14:paraId="39A2CA9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5432D2B" w14:textId="5AC706E5"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0B98800A" w14:textId="77777777" w:rsidTr="00542E59">
        <w:trPr>
          <w:trHeight w:val="91"/>
        </w:trPr>
        <w:tc>
          <w:tcPr>
            <w:tcW w:w="2425" w:type="dxa"/>
            <w:vMerge w:val="restart"/>
          </w:tcPr>
          <w:p w14:paraId="4A797D34"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31C514E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0C0843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49C193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37FABC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3EE64A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6CFD33CC" w14:textId="77777777" w:rsidTr="00542E59">
        <w:trPr>
          <w:trHeight w:val="91"/>
        </w:trPr>
        <w:tc>
          <w:tcPr>
            <w:tcW w:w="2425" w:type="dxa"/>
            <w:vMerge/>
          </w:tcPr>
          <w:p w14:paraId="7474AE89"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3B58B2BC" w14:textId="3DF347E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54CD9E9A" w14:textId="39199CDE"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6F4A5EA5" w14:textId="26A3BC7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31DE4F1" w14:textId="7282674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7CE4B4E8" w14:textId="0FC07878"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48B8FB57" w14:textId="77777777" w:rsidR="00280E00" w:rsidRPr="00CB1E53" w:rsidRDefault="00280E00" w:rsidP="00FD11D9">
      <w:pPr>
        <w:spacing w:before="20" w:after="20" w:line="240" w:lineRule="auto"/>
        <w:jc w:val="both"/>
        <w:rPr>
          <w:rFonts w:ascii="Segoe UI" w:eastAsia="SimSun"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671444A4" w14:textId="77777777" w:rsidTr="00542E59">
        <w:tc>
          <w:tcPr>
            <w:tcW w:w="9625" w:type="dxa"/>
            <w:gridSpan w:val="7"/>
            <w:shd w:val="clear" w:color="auto" w:fill="D9D9D9" w:themeFill="background1" w:themeFillShade="D9"/>
          </w:tcPr>
          <w:p w14:paraId="72A2B55A" w14:textId="09CFAB2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22. Tax Exemption of income from the disposal of primary residence</w:t>
            </w:r>
          </w:p>
        </w:tc>
      </w:tr>
      <w:tr w:rsidR="00280E00" w:rsidRPr="00CB1E53" w14:paraId="0D9ABD3C" w14:textId="77777777" w:rsidTr="00542E59">
        <w:tc>
          <w:tcPr>
            <w:tcW w:w="2425" w:type="dxa"/>
          </w:tcPr>
          <w:p w14:paraId="0F9A26A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7CA0E7E" w14:textId="54A5570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Income from the disposal of a taxpayer’s primary residence or basic housing is exempt from tax (capital gains). It is deemed to be the primary residence if the individual taxpayer owned it for at least 3 years before selling it and it was the taxpayer’s residence during that period. </w:t>
            </w:r>
            <w:r w:rsidR="008C3C6D">
              <w:rPr>
                <w:rFonts w:ascii="Segoe UI" w:hAnsi="Segoe UI" w:cs="Segoe UI"/>
                <w:sz w:val="18"/>
                <w:szCs w:val="18"/>
              </w:rPr>
              <w:t xml:space="preserve">A </w:t>
            </w:r>
            <w:r w:rsidRPr="00CB1E53">
              <w:rPr>
                <w:rFonts w:ascii="Segoe UI" w:hAnsi="Segoe UI" w:cs="Segoe UI"/>
                <w:sz w:val="18"/>
                <w:szCs w:val="18"/>
              </w:rPr>
              <w:t>50 percent inclusion rate for capital gains is applied</w:t>
            </w:r>
            <w:r w:rsidR="008C3C6D">
              <w:rPr>
                <w:rFonts w:ascii="Segoe UI" w:hAnsi="Segoe UI" w:cs="Segoe UI"/>
                <w:sz w:val="18"/>
                <w:szCs w:val="18"/>
              </w:rPr>
              <w:t>.</w:t>
            </w:r>
          </w:p>
        </w:tc>
      </w:tr>
      <w:tr w:rsidR="00280E00" w:rsidRPr="00CB1E53" w14:paraId="2D47C484" w14:textId="77777777" w:rsidTr="00542E59">
        <w:tc>
          <w:tcPr>
            <w:tcW w:w="2425" w:type="dxa"/>
          </w:tcPr>
          <w:p w14:paraId="045A68E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B7687E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06C5E692" w14:textId="77777777" w:rsidTr="00542E59">
        <w:tc>
          <w:tcPr>
            <w:tcW w:w="2425" w:type="dxa"/>
          </w:tcPr>
          <w:p w14:paraId="354AC68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0AE38C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Homeowners disposing of basic housing or their primary residence</w:t>
            </w:r>
          </w:p>
        </w:tc>
      </w:tr>
      <w:tr w:rsidR="00280E00" w:rsidRPr="00CB1E53" w14:paraId="5221A519" w14:textId="77777777" w:rsidTr="00542E59">
        <w:tc>
          <w:tcPr>
            <w:tcW w:w="2425" w:type="dxa"/>
          </w:tcPr>
          <w:p w14:paraId="712B173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D25E728" w14:textId="0B0C4F0F"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Legislated tax </w:t>
            </w:r>
            <w:r w:rsidR="008C3C6D">
              <w:rPr>
                <w:rFonts w:ascii="Segoe UI" w:hAnsi="Segoe UI" w:cs="Segoe UI"/>
                <w:sz w:val="18"/>
                <w:szCs w:val="18"/>
              </w:rPr>
              <w:t>reduc</w:t>
            </w:r>
            <w:r w:rsidR="008C3C6D" w:rsidRPr="00CB1E53">
              <w:rPr>
                <w:rFonts w:ascii="Segoe UI" w:hAnsi="Segoe UI" w:cs="Segoe UI"/>
                <w:sz w:val="18"/>
                <w:szCs w:val="18"/>
              </w:rPr>
              <w:t>tion</w:t>
            </w:r>
          </w:p>
        </w:tc>
      </w:tr>
      <w:tr w:rsidR="00280E00" w:rsidRPr="00CB1E53" w14:paraId="1856B29E" w14:textId="77777777" w:rsidTr="00542E59">
        <w:tc>
          <w:tcPr>
            <w:tcW w:w="2425" w:type="dxa"/>
          </w:tcPr>
          <w:p w14:paraId="6FC7996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5755F9A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generated income should attract PIT at the flat rate of 12% if their combined income streams exceed the basic personal allowance of MDL 27,000 per year. The non-taxation of a generated income from the sale of a home constitutes therefore a tax expenditure.</w:t>
            </w:r>
          </w:p>
        </w:tc>
      </w:tr>
      <w:tr w:rsidR="00280E00" w:rsidRPr="00CB1E53" w14:paraId="1AC45E54" w14:textId="77777777" w:rsidTr="00542E59">
        <w:tc>
          <w:tcPr>
            <w:tcW w:w="2425" w:type="dxa"/>
          </w:tcPr>
          <w:p w14:paraId="510F07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88E6BA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20(y</w:t>
            </w:r>
            <w:r w:rsidRPr="00CB1E53">
              <w:rPr>
                <w:rFonts w:ascii="Segoe UI" w:hAnsi="Segoe UI" w:cs="Segoe UI"/>
                <w:sz w:val="18"/>
                <w:szCs w:val="18"/>
                <w:vertAlign w:val="superscript"/>
              </w:rPr>
              <w:t>3</w:t>
            </w:r>
            <w:r w:rsidRPr="00CB1E53">
              <w:rPr>
                <w:rFonts w:ascii="Segoe UI" w:hAnsi="Segoe UI" w:cs="Segoe UI"/>
                <w:sz w:val="18"/>
                <w:szCs w:val="18"/>
              </w:rPr>
              <w:t>)</w:t>
            </w:r>
          </w:p>
        </w:tc>
      </w:tr>
      <w:tr w:rsidR="00280E00" w:rsidRPr="00CB1E53" w14:paraId="705ED03E" w14:textId="77777777" w:rsidTr="00542E59">
        <w:trPr>
          <w:trHeight w:val="182"/>
        </w:trPr>
        <w:tc>
          <w:tcPr>
            <w:tcW w:w="2425" w:type="dxa"/>
            <w:vMerge w:val="restart"/>
          </w:tcPr>
          <w:p w14:paraId="7A6377A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54F167C1" w14:textId="77777777" w:rsidR="00280E00" w:rsidRPr="00CB1E53" w:rsidRDefault="00280E00" w:rsidP="00FD11D9">
            <w:pPr>
              <w:spacing w:before="20" w:after="20"/>
              <w:jc w:val="both"/>
              <w:rPr>
                <w:rFonts w:ascii="Segoe UI" w:hAnsi="Segoe UI" w:cs="Segoe UI"/>
                <w:sz w:val="18"/>
                <w:szCs w:val="18"/>
              </w:rPr>
            </w:pPr>
          </w:p>
        </w:tc>
        <w:tc>
          <w:tcPr>
            <w:tcW w:w="3738" w:type="dxa"/>
            <w:gridSpan w:val="3"/>
          </w:tcPr>
          <w:p w14:paraId="4C263227"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72D1DAE" w14:textId="77777777" w:rsidTr="00542E59">
        <w:trPr>
          <w:trHeight w:val="182"/>
        </w:trPr>
        <w:tc>
          <w:tcPr>
            <w:tcW w:w="2425" w:type="dxa"/>
            <w:vMerge/>
          </w:tcPr>
          <w:p w14:paraId="0067BEB5"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270BD3B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2017</w:t>
            </w:r>
          </w:p>
        </w:tc>
        <w:tc>
          <w:tcPr>
            <w:tcW w:w="3738" w:type="dxa"/>
            <w:gridSpan w:val="3"/>
          </w:tcPr>
          <w:p w14:paraId="0BC4C7A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63A2347A" w14:textId="77777777" w:rsidTr="00542E59">
        <w:tc>
          <w:tcPr>
            <w:tcW w:w="2425" w:type="dxa"/>
          </w:tcPr>
          <w:p w14:paraId="38D849EB"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C988E91" w14:textId="54EEF629"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6B00DB25" w14:textId="77777777" w:rsidTr="00542E59">
        <w:tc>
          <w:tcPr>
            <w:tcW w:w="2425" w:type="dxa"/>
          </w:tcPr>
          <w:p w14:paraId="60C42A6C"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09C65F9" w14:textId="6AA6CB72"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619043AD" w14:textId="77777777" w:rsidTr="00542E59">
        <w:tc>
          <w:tcPr>
            <w:tcW w:w="2425" w:type="dxa"/>
          </w:tcPr>
          <w:p w14:paraId="1AE4048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88F03C4"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968B25B" w14:textId="77777777" w:rsidTr="00542E59">
        <w:tc>
          <w:tcPr>
            <w:tcW w:w="2425" w:type="dxa"/>
          </w:tcPr>
          <w:p w14:paraId="76813D0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70E448D" w14:textId="2E638CA1"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6A849C3A" w14:textId="77777777" w:rsidTr="00542E59">
        <w:trPr>
          <w:trHeight w:val="91"/>
        </w:trPr>
        <w:tc>
          <w:tcPr>
            <w:tcW w:w="2425" w:type="dxa"/>
            <w:vMerge w:val="restart"/>
          </w:tcPr>
          <w:p w14:paraId="208F44CC"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334F03A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94AEFD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ADFAEF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24946C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02D077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110F7E4F" w14:textId="77777777" w:rsidTr="00542E59">
        <w:trPr>
          <w:trHeight w:val="91"/>
        </w:trPr>
        <w:tc>
          <w:tcPr>
            <w:tcW w:w="2425" w:type="dxa"/>
            <w:vMerge/>
          </w:tcPr>
          <w:p w14:paraId="7C6A43CB"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13B7C413" w14:textId="0D2AC63F"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0BE9D42A" w14:textId="3D040ADF"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247CF8C5" w14:textId="5F21D863"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6960692B" w14:textId="307743D4"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32AF7B07" w14:textId="6A71EB23"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1A6D4A1C"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C2FED53" w14:textId="77777777" w:rsidTr="00542E59">
        <w:tc>
          <w:tcPr>
            <w:tcW w:w="9625" w:type="dxa"/>
            <w:gridSpan w:val="7"/>
            <w:shd w:val="clear" w:color="auto" w:fill="D9D9D9" w:themeFill="background1" w:themeFillShade="D9"/>
          </w:tcPr>
          <w:p w14:paraId="2374A022" w14:textId="101F4AB4"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23. CGT with 50% inclusion rate of gains realized by natural persons</w:t>
            </w:r>
          </w:p>
        </w:tc>
      </w:tr>
      <w:tr w:rsidR="00280E00" w:rsidRPr="00CB1E53" w14:paraId="550CBACC" w14:textId="77777777" w:rsidTr="00542E59">
        <w:tc>
          <w:tcPr>
            <w:tcW w:w="2425" w:type="dxa"/>
          </w:tcPr>
          <w:p w14:paraId="65B0731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D3C8024" w14:textId="6C0B0C19"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 non-structural incentive taxing only half of realized gains for a tax period</w:t>
            </w:r>
            <w:r w:rsidR="008C3C6D">
              <w:rPr>
                <w:rFonts w:ascii="Segoe UI" w:hAnsi="Segoe UI" w:cs="Segoe UI"/>
                <w:sz w:val="18"/>
                <w:szCs w:val="18"/>
              </w:rPr>
              <w:t>.</w:t>
            </w:r>
          </w:p>
        </w:tc>
      </w:tr>
      <w:tr w:rsidR="00280E00" w:rsidRPr="00CB1E53" w14:paraId="1EE0530A" w14:textId="77777777" w:rsidTr="00542E59">
        <w:tc>
          <w:tcPr>
            <w:tcW w:w="2425" w:type="dxa"/>
          </w:tcPr>
          <w:p w14:paraId="6466F62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CFE326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57D254B3" w14:textId="77777777" w:rsidTr="00542E59">
        <w:tc>
          <w:tcPr>
            <w:tcW w:w="2425" w:type="dxa"/>
          </w:tcPr>
          <w:p w14:paraId="1EDE744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71EE8B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Natural persons with realized capital gains</w:t>
            </w:r>
          </w:p>
        </w:tc>
      </w:tr>
      <w:tr w:rsidR="00280E00" w:rsidRPr="00CB1E53" w14:paraId="49D32746" w14:textId="77777777" w:rsidTr="00542E59">
        <w:tc>
          <w:tcPr>
            <w:tcW w:w="2425" w:type="dxa"/>
          </w:tcPr>
          <w:p w14:paraId="3B0834E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4E2BF5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Exemption of income</w:t>
            </w:r>
          </w:p>
        </w:tc>
      </w:tr>
      <w:tr w:rsidR="00280E00" w:rsidRPr="00CB1E53" w14:paraId="624A5779" w14:textId="77777777" w:rsidTr="00542E59">
        <w:tc>
          <w:tcPr>
            <w:tcW w:w="2425" w:type="dxa"/>
          </w:tcPr>
          <w:p w14:paraId="44968AE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5E5AF3DD" w14:textId="55EA09F2" w:rsidR="00280E00" w:rsidRPr="00CB1E53" w:rsidRDefault="008C3C6D"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the comprehensive income concept, generated income should attract PIT at the flat rate of 12% if their combined income streams exceed the basic personal allowance of </w:t>
            </w:r>
            <w:r w:rsidRPr="00CB1E53">
              <w:rPr>
                <w:rFonts w:ascii="Segoe UI" w:hAnsi="Segoe UI" w:cs="Segoe UI"/>
                <w:sz w:val="18"/>
                <w:szCs w:val="18"/>
              </w:rPr>
              <w:lastRenderedPageBreak/>
              <w:t xml:space="preserve">MDL 27,000 per year. </w:t>
            </w:r>
            <w:r>
              <w:rPr>
                <w:rFonts w:ascii="Segoe UI" w:hAnsi="Segoe UI" w:cs="Segoe UI"/>
                <w:sz w:val="18"/>
                <w:szCs w:val="18"/>
              </w:rPr>
              <w:t>A legislated lighter tax burden on</w:t>
            </w:r>
            <w:r w:rsidRPr="00CB1E53">
              <w:rPr>
                <w:rFonts w:ascii="Segoe UI" w:hAnsi="Segoe UI" w:cs="Segoe UI"/>
                <w:sz w:val="18"/>
                <w:szCs w:val="18"/>
              </w:rPr>
              <w:t xml:space="preserve"> generated income from the sale of a home constitutes therefore a tax expenditure.</w:t>
            </w:r>
          </w:p>
        </w:tc>
      </w:tr>
      <w:tr w:rsidR="00280E00" w:rsidRPr="00CB1E53" w14:paraId="7A33491F" w14:textId="77777777" w:rsidTr="00542E59">
        <w:tc>
          <w:tcPr>
            <w:tcW w:w="2425" w:type="dxa"/>
          </w:tcPr>
          <w:p w14:paraId="590AB64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Legal Reference</w:t>
            </w:r>
          </w:p>
        </w:tc>
        <w:tc>
          <w:tcPr>
            <w:tcW w:w="7200" w:type="dxa"/>
            <w:gridSpan w:val="6"/>
          </w:tcPr>
          <w:p w14:paraId="0AFF2B7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40 of TC</w:t>
            </w:r>
          </w:p>
        </w:tc>
      </w:tr>
      <w:tr w:rsidR="00280E00" w:rsidRPr="00CB1E53" w14:paraId="25552492" w14:textId="77777777" w:rsidTr="00542E59">
        <w:trPr>
          <w:trHeight w:val="182"/>
        </w:trPr>
        <w:tc>
          <w:tcPr>
            <w:tcW w:w="2425" w:type="dxa"/>
            <w:vMerge w:val="restart"/>
          </w:tcPr>
          <w:p w14:paraId="1C8922C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406D639"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6328DF5" w14:textId="77777777" w:rsidTr="00542E59">
        <w:trPr>
          <w:trHeight w:val="182"/>
        </w:trPr>
        <w:tc>
          <w:tcPr>
            <w:tcW w:w="2425" w:type="dxa"/>
            <w:vMerge/>
          </w:tcPr>
          <w:p w14:paraId="4E68C30A"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240F33D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738" w:type="dxa"/>
            <w:gridSpan w:val="3"/>
          </w:tcPr>
          <w:p w14:paraId="7644BDC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324F" w:rsidRPr="00CB1E53" w14:paraId="28C94799" w14:textId="77777777" w:rsidTr="00542E59">
        <w:tc>
          <w:tcPr>
            <w:tcW w:w="2425" w:type="dxa"/>
          </w:tcPr>
          <w:p w14:paraId="1C7CCF3E"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B272BD3" w14:textId="3C33BC7E"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F7324F" w:rsidRPr="00CB1E53" w14:paraId="34F6AD21" w14:textId="77777777" w:rsidTr="00542E59">
        <w:tc>
          <w:tcPr>
            <w:tcW w:w="2425" w:type="dxa"/>
          </w:tcPr>
          <w:p w14:paraId="4CCC7B7E" w14:textId="77777777" w:rsidR="00F7324F" w:rsidRPr="00CB1E53" w:rsidRDefault="00F7324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BAA727B" w14:textId="66FD1684" w:rsidR="00F7324F" w:rsidRPr="00CB1E53" w:rsidRDefault="00F7324F"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1972D9B2" w14:textId="77777777" w:rsidTr="00542E59">
        <w:tc>
          <w:tcPr>
            <w:tcW w:w="2425" w:type="dxa"/>
          </w:tcPr>
          <w:p w14:paraId="765C99A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97FDDF5" w14:textId="77777777" w:rsidR="00280E00" w:rsidRPr="00CB1E53" w:rsidRDefault="00280E00" w:rsidP="00FD11D9">
            <w:pPr>
              <w:spacing w:before="20" w:after="20"/>
              <w:jc w:val="both"/>
              <w:rPr>
                <w:rFonts w:ascii="Segoe UI" w:hAnsi="Segoe UI" w:cs="Segoe UI"/>
                <w:sz w:val="18"/>
                <w:szCs w:val="18"/>
              </w:rPr>
            </w:pPr>
          </w:p>
        </w:tc>
      </w:tr>
      <w:tr w:rsidR="00280E00" w:rsidRPr="00CB1E53" w14:paraId="360B9C6A" w14:textId="77777777" w:rsidTr="00542E59">
        <w:tc>
          <w:tcPr>
            <w:tcW w:w="2425" w:type="dxa"/>
          </w:tcPr>
          <w:p w14:paraId="6616456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F713BAF" w14:textId="52854D8F"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46CB2977" w14:textId="77777777" w:rsidTr="00542E59">
        <w:trPr>
          <w:trHeight w:val="91"/>
        </w:trPr>
        <w:tc>
          <w:tcPr>
            <w:tcW w:w="2425" w:type="dxa"/>
            <w:vMerge w:val="restart"/>
          </w:tcPr>
          <w:p w14:paraId="767C6173"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1CB37BE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CA521F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5614BA6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440BC3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280806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72A3CDF9" w14:textId="77777777" w:rsidTr="00542E59">
        <w:trPr>
          <w:trHeight w:val="91"/>
        </w:trPr>
        <w:tc>
          <w:tcPr>
            <w:tcW w:w="2425" w:type="dxa"/>
            <w:vMerge/>
          </w:tcPr>
          <w:p w14:paraId="7B0294AA"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2D0E472E" w14:textId="5E240521"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17CD6849" w14:textId="26E5BB8D"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3E267151" w14:textId="5658CDA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63D5FE20" w14:textId="27D6CA80"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2382F954" w14:textId="76235EDF"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1121CE15"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30"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5"/>
      </w:tblGrid>
      <w:tr w:rsidR="00280E00" w:rsidRPr="00CB1E53" w14:paraId="2B5AD8AD" w14:textId="77777777" w:rsidTr="00D51E9B">
        <w:tc>
          <w:tcPr>
            <w:tcW w:w="9630" w:type="dxa"/>
            <w:gridSpan w:val="7"/>
            <w:shd w:val="clear" w:color="auto" w:fill="D9D9D9" w:themeFill="background1" w:themeFillShade="D9"/>
          </w:tcPr>
          <w:p w14:paraId="406CDCAE" w14:textId="2472EEA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24. Tax exemption of </w:t>
            </w:r>
            <w:r w:rsidR="006E51C5">
              <w:rPr>
                <w:rFonts w:ascii="Segoe UI" w:hAnsi="Segoe UI" w:cs="Segoe UI"/>
                <w:b/>
                <w:bCs/>
                <w:sz w:val="18"/>
                <w:szCs w:val="18"/>
              </w:rPr>
              <w:t>b</w:t>
            </w:r>
            <w:r w:rsidRPr="00CB1E53">
              <w:rPr>
                <w:rFonts w:ascii="Segoe UI" w:hAnsi="Segoe UI" w:cs="Segoe UI"/>
                <w:b/>
                <w:bCs/>
                <w:sz w:val="18"/>
                <w:szCs w:val="18"/>
              </w:rPr>
              <w:t>enefits in kind: food stamps</w:t>
            </w:r>
          </w:p>
        </w:tc>
      </w:tr>
      <w:tr w:rsidR="00280E00" w:rsidRPr="00CB1E53" w14:paraId="51CF888A" w14:textId="77777777" w:rsidTr="00D51E9B">
        <w:tc>
          <w:tcPr>
            <w:tcW w:w="2425" w:type="dxa"/>
          </w:tcPr>
          <w:p w14:paraId="57373A0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5" w:type="dxa"/>
            <w:gridSpan w:val="6"/>
          </w:tcPr>
          <w:p w14:paraId="19BF0FD8" w14:textId="1655A0FE" w:rsidR="00280E00" w:rsidRPr="00CB1E53" w:rsidRDefault="00280E00" w:rsidP="00FD11D9">
            <w:pPr>
              <w:autoSpaceDE w:val="0"/>
              <w:autoSpaceDN w:val="0"/>
              <w:adjustRightInd w:val="0"/>
              <w:spacing w:before="20" w:after="20"/>
              <w:jc w:val="both"/>
              <w:rPr>
                <w:rFonts w:ascii="Segoe UI" w:hAnsi="Segoe UI" w:cs="Segoe UI"/>
                <w:sz w:val="18"/>
                <w:szCs w:val="18"/>
              </w:rPr>
            </w:pPr>
            <w:r w:rsidRPr="00F7324F">
              <w:rPr>
                <w:rFonts w:ascii="Segoe UI" w:hAnsi="Segoe UI" w:cs="Segoe UI"/>
                <w:sz w:val="18"/>
                <w:szCs w:val="18"/>
              </w:rPr>
              <w:t>Food stamps</w:t>
            </w:r>
            <w:r w:rsidRPr="005529C6">
              <w:rPr>
                <w:rFonts w:ascii="Segoe UI" w:hAnsi="Segoe UI" w:cs="Segoe UI"/>
                <w:sz w:val="18"/>
                <w:szCs w:val="18"/>
              </w:rPr>
              <w:t xml:space="preserve"> </w:t>
            </w:r>
            <w:r w:rsidRPr="00CB1E53">
              <w:rPr>
                <w:rFonts w:ascii="Segoe UI" w:hAnsi="Segoe UI" w:cs="Segoe UI"/>
                <w:sz w:val="18"/>
                <w:szCs w:val="18"/>
              </w:rPr>
              <w:t xml:space="preserve">issued by an employer to its employees that can be used to buy food are not considered as benefits in kind, provided that their value does not exceed MDL 45 per day. </w:t>
            </w:r>
          </w:p>
        </w:tc>
      </w:tr>
      <w:tr w:rsidR="00280E00" w:rsidRPr="00CB1E53" w14:paraId="18DCEE10" w14:textId="77777777" w:rsidTr="00D51E9B">
        <w:tc>
          <w:tcPr>
            <w:tcW w:w="2425" w:type="dxa"/>
          </w:tcPr>
          <w:p w14:paraId="21B6036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5" w:type="dxa"/>
            <w:gridSpan w:val="6"/>
          </w:tcPr>
          <w:p w14:paraId="5EAC73A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42B9AB71" w14:textId="77777777" w:rsidTr="00D51E9B">
        <w:tc>
          <w:tcPr>
            <w:tcW w:w="2425" w:type="dxa"/>
          </w:tcPr>
          <w:p w14:paraId="6EA597F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5" w:type="dxa"/>
            <w:gridSpan w:val="6"/>
          </w:tcPr>
          <w:p w14:paraId="61C44C8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Recipients of food stamps</w:t>
            </w:r>
          </w:p>
        </w:tc>
      </w:tr>
      <w:tr w:rsidR="00280E00" w:rsidRPr="00CB1E53" w14:paraId="6516E610" w14:textId="77777777" w:rsidTr="00D51E9B">
        <w:tc>
          <w:tcPr>
            <w:tcW w:w="2425" w:type="dxa"/>
          </w:tcPr>
          <w:p w14:paraId="67F2EF4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5" w:type="dxa"/>
            <w:gridSpan w:val="6"/>
          </w:tcPr>
          <w:p w14:paraId="6DD37AB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Legislated income tax exemption</w:t>
            </w:r>
          </w:p>
        </w:tc>
      </w:tr>
      <w:tr w:rsidR="00280E00" w:rsidRPr="00CB1E53" w14:paraId="716F3CCD" w14:textId="77777777" w:rsidTr="00D51E9B">
        <w:tc>
          <w:tcPr>
            <w:tcW w:w="2425" w:type="dxa"/>
          </w:tcPr>
          <w:p w14:paraId="3A84E72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5" w:type="dxa"/>
            <w:gridSpan w:val="6"/>
          </w:tcPr>
          <w:p w14:paraId="7C0BF2D1" w14:textId="6E0DFE59"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color w:val="000000"/>
                <w:sz w:val="18"/>
                <w:szCs w:val="18"/>
              </w:rPr>
              <w:t xml:space="preserve">In principle, benefits in kind are taxable as income from employment (Art 18 of the </w:t>
            </w:r>
            <w:r w:rsidRPr="00CB1E53">
              <w:rPr>
                <w:rFonts w:ascii="Segoe UI" w:hAnsi="Segoe UI" w:cs="Segoe UI"/>
                <w:sz w:val="18"/>
                <w:szCs w:val="18"/>
              </w:rPr>
              <w:t>TC)</w:t>
            </w:r>
            <w:r w:rsidRPr="00CB1E53">
              <w:rPr>
                <w:rFonts w:ascii="Segoe UI" w:hAnsi="Segoe UI" w:cs="Segoe UI"/>
                <w:color w:val="000000"/>
                <w:sz w:val="18"/>
                <w:szCs w:val="18"/>
              </w:rPr>
              <w:t>. Benefits in kind are valued at market prices on the date of receipt. Benefits in kind include payments made to cover an employee’s personal expenses, the waiving of an employee’s debts by the employer, supplementary payments for accommodation provided by the employer, the benefit of a</w:t>
            </w:r>
            <w:r w:rsidR="005529C6">
              <w:rPr>
                <w:rFonts w:ascii="Segoe UI" w:hAnsi="Segoe UI" w:cs="Segoe UI"/>
                <w:color w:val="000000"/>
                <w:sz w:val="18"/>
                <w:szCs w:val="18"/>
              </w:rPr>
              <w:t xml:space="preserve"> </w:t>
            </w:r>
            <w:r w:rsidRPr="00CB1E53">
              <w:rPr>
                <w:rFonts w:ascii="Segoe UI" w:hAnsi="Segoe UI" w:cs="Segoe UI"/>
                <w:color w:val="000000"/>
                <w:sz w:val="18"/>
                <w:szCs w:val="18"/>
              </w:rPr>
              <w:t>low-interest loan provided by an employer, except for loans granted to an employee at a regular market rate, the employer’s expenses with regard to the personal use of its assets by an employee, etc.</w:t>
            </w:r>
          </w:p>
        </w:tc>
      </w:tr>
      <w:tr w:rsidR="00280E00" w:rsidRPr="00CB1E53" w14:paraId="2D37E1F1" w14:textId="77777777" w:rsidTr="00D51E9B">
        <w:tc>
          <w:tcPr>
            <w:tcW w:w="2425" w:type="dxa"/>
          </w:tcPr>
          <w:p w14:paraId="537C6E7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5" w:type="dxa"/>
            <w:gridSpan w:val="6"/>
          </w:tcPr>
          <w:p w14:paraId="67A7D8D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19 of TC</w:t>
            </w:r>
          </w:p>
        </w:tc>
      </w:tr>
      <w:tr w:rsidR="00280E00" w:rsidRPr="00CB1E53" w14:paraId="4111A254" w14:textId="77777777" w:rsidTr="00D51E9B">
        <w:trPr>
          <w:trHeight w:val="182"/>
        </w:trPr>
        <w:tc>
          <w:tcPr>
            <w:tcW w:w="2425" w:type="dxa"/>
            <w:vMerge w:val="restart"/>
          </w:tcPr>
          <w:p w14:paraId="53E3A8D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5FD185EA" w14:textId="77777777" w:rsidR="00280E00" w:rsidRPr="00CB1E53" w:rsidRDefault="00280E00" w:rsidP="00FD11D9">
            <w:pPr>
              <w:spacing w:before="20" w:after="20"/>
              <w:jc w:val="both"/>
              <w:rPr>
                <w:rFonts w:ascii="Segoe UI" w:hAnsi="Segoe UI" w:cs="Segoe UI"/>
                <w:sz w:val="18"/>
                <w:szCs w:val="18"/>
              </w:rPr>
            </w:pPr>
          </w:p>
        </w:tc>
        <w:tc>
          <w:tcPr>
            <w:tcW w:w="3743" w:type="dxa"/>
            <w:gridSpan w:val="3"/>
          </w:tcPr>
          <w:p w14:paraId="040B503B" w14:textId="77777777" w:rsidR="00280E00" w:rsidRPr="00CB1E53" w:rsidRDefault="00280E00" w:rsidP="00FD11D9">
            <w:pPr>
              <w:spacing w:before="20" w:after="20"/>
              <w:jc w:val="both"/>
              <w:rPr>
                <w:rFonts w:ascii="Segoe UI" w:hAnsi="Segoe UI" w:cs="Segoe UI"/>
                <w:sz w:val="18"/>
                <w:szCs w:val="18"/>
              </w:rPr>
            </w:pPr>
          </w:p>
        </w:tc>
      </w:tr>
      <w:tr w:rsidR="00280E00" w:rsidRPr="00CB1E53" w14:paraId="0EDACF74" w14:textId="77777777" w:rsidTr="00D51E9B">
        <w:trPr>
          <w:trHeight w:val="182"/>
        </w:trPr>
        <w:tc>
          <w:tcPr>
            <w:tcW w:w="2425" w:type="dxa"/>
            <w:vMerge/>
          </w:tcPr>
          <w:p w14:paraId="5C8D4183"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321725F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2017</w:t>
            </w:r>
          </w:p>
        </w:tc>
        <w:tc>
          <w:tcPr>
            <w:tcW w:w="3743" w:type="dxa"/>
            <w:gridSpan w:val="3"/>
          </w:tcPr>
          <w:p w14:paraId="3D194E3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6BBFA8E7" w14:textId="77777777" w:rsidTr="00D51E9B">
        <w:tc>
          <w:tcPr>
            <w:tcW w:w="2425" w:type="dxa"/>
          </w:tcPr>
          <w:p w14:paraId="7B555A7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5" w:type="dxa"/>
            <w:gridSpan w:val="6"/>
          </w:tcPr>
          <w:p w14:paraId="147BC84B" w14:textId="079E9056" w:rsidR="00280E00" w:rsidRPr="00CB1E53" w:rsidRDefault="00F7324F" w:rsidP="00FD11D9">
            <w:pPr>
              <w:spacing w:before="20" w:after="20"/>
              <w:jc w:val="both"/>
              <w:rPr>
                <w:rFonts w:ascii="Segoe UI" w:hAnsi="Segoe UI" w:cs="Segoe UI"/>
                <w:sz w:val="18"/>
                <w:szCs w:val="18"/>
              </w:rPr>
            </w:pPr>
            <w:r>
              <w:rPr>
                <w:rFonts w:ascii="Segoe UI" w:hAnsi="Segoe UI" w:cs="Segoe UI"/>
                <w:sz w:val="18"/>
                <w:szCs w:val="18"/>
              </w:rPr>
              <w:t>I</w:t>
            </w:r>
            <w:r w:rsidR="00B7472F">
              <w:rPr>
                <w:rFonts w:ascii="Segoe UI" w:hAnsi="Segoe UI" w:cs="Segoe UI"/>
                <w:sz w:val="18"/>
                <w:szCs w:val="18"/>
              </w:rPr>
              <w:t>nformation from</w:t>
            </w:r>
            <w:r w:rsidR="00B7472F">
              <w:t xml:space="preserve"> </w:t>
            </w:r>
            <w:r w:rsidR="00B7472F">
              <w:rPr>
                <w:rFonts w:ascii="Segoe UI" w:hAnsi="Segoe UI" w:cs="Segoe UI"/>
                <w:sz w:val="18"/>
                <w:szCs w:val="18"/>
              </w:rPr>
              <w:t xml:space="preserve">stamps </w:t>
            </w:r>
            <w:r w:rsidR="00B7472F" w:rsidRPr="00B7472F">
              <w:rPr>
                <w:rFonts w:ascii="Segoe UI" w:hAnsi="Segoe UI" w:cs="Segoe UI"/>
                <w:sz w:val="18"/>
                <w:szCs w:val="18"/>
              </w:rPr>
              <w:t>issuers</w:t>
            </w:r>
          </w:p>
        </w:tc>
      </w:tr>
      <w:tr w:rsidR="00280E00" w:rsidRPr="00CB1E53" w14:paraId="75202AC0" w14:textId="77777777" w:rsidTr="00D51E9B">
        <w:tc>
          <w:tcPr>
            <w:tcW w:w="2425" w:type="dxa"/>
          </w:tcPr>
          <w:p w14:paraId="32BFA6F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5" w:type="dxa"/>
            <w:gridSpan w:val="6"/>
          </w:tcPr>
          <w:p w14:paraId="7D7463A8" w14:textId="273934D3" w:rsidR="00280E00" w:rsidRPr="00CB1E53" w:rsidRDefault="00F7324F" w:rsidP="00FD11D9">
            <w:pPr>
              <w:spacing w:before="20" w:after="20"/>
              <w:jc w:val="both"/>
              <w:rPr>
                <w:rFonts w:ascii="Segoe UI" w:hAnsi="Segoe UI" w:cs="Segoe UI"/>
                <w:sz w:val="18"/>
                <w:szCs w:val="18"/>
              </w:rPr>
            </w:pPr>
            <w:r>
              <w:rPr>
                <w:rFonts w:ascii="Segoe UI" w:hAnsi="Segoe UI" w:cs="Segoe UI"/>
                <w:sz w:val="18"/>
                <w:szCs w:val="18"/>
              </w:rPr>
              <w:t>Direct calculations</w:t>
            </w:r>
          </w:p>
        </w:tc>
      </w:tr>
      <w:tr w:rsidR="00280E00" w:rsidRPr="00CB1E53" w14:paraId="650FC623" w14:textId="77777777" w:rsidTr="00D51E9B">
        <w:tc>
          <w:tcPr>
            <w:tcW w:w="2425" w:type="dxa"/>
          </w:tcPr>
          <w:p w14:paraId="6E14F85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5" w:type="dxa"/>
            <w:gridSpan w:val="6"/>
          </w:tcPr>
          <w:p w14:paraId="3589084A" w14:textId="77777777" w:rsidR="00280E00" w:rsidRPr="00CB1E53" w:rsidRDefault="00280E00" w:rsidP="00FD11D9">
            <w:pPr>
              <w:spacing w:before="20" w:after="20"/>
              <w:jc w:val="both"/>
              <w:rPr>
                <w:rFonts w:ascii="Segoe UI" w:hAnsi="Segoe UI" w:cs="Segoe UI"/>
                <w:sz w:val="18"/>
                <w:szCs w:val="18"/>
              </w:rPr>
            </w:pPr>
          </w:p>
        </w:tc>
      </w:tr>
      <w:tr w:rsidR="00280E00" w:rsidRPr="00CB1E53" w14:paraId="4B5A4CED" w14:textId="77777777" w:rsidTr="00D51E9B">
        <w:tc>
          <w:tcPr>
            <w:tcW w:w="2425" w:type="dxa"/>
          </w:tcPr>
          <w:p w14:paraId="293122F4"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5" w:type="dxa"/>
            <w:gridSpan w:val="6"/>
          </w:tcPr>
          <w:p w14:paraId="5D16B63E" w14:textId="354F2FAF" w:rsidR="00280E00" w:rsidRPr="00CB1E53" w:rsidRDefault="00CF3A5E" w:rsidP="00FD11D9">
            <w:pPr>
              <w:keepNext/>
              <w:keepLines/>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4DF49031" w14:textId="77777777" w:rsidTr="00D51E9B">
        <w:trPr>
          <w:trHeight w:val="91"/>
        </w:trPr>
        <w:tc>
          <w:tcPr>
            <w:tcW w:w="2425" w:type="dxa"/>
            <w:vMerge w:val="restart"/>
          </w:tcPr>
          <w:p w14:paraId="62460938" w14:textId="77777777" w:rsidR="00280E00" w:rsidRPr="00CB1E53" w:rsidRDefault="00280E00" w:rsidP="00FD11D9">
            <w:pPr>
              <w:keepNext/>
              <w:keepLines/>
              <w:spacing w:before="20" w:after="20"/>
              <w:jc w:val="both"/>
              <w:rPr>
                <w:rFonts w:ascii="Segoe UI" w:hAnsi="Segoe UI" w:cs="Segoe UI"/>
                <w:b/>
                <w:bCs/>
                <w:sz w:val="18"/>
                <w:szCs w:val="18"/>
              </w:rPr>
            </w:pPr>
          </w:p>
        </w:tc>
        <w:tc>
          <w:tcPr>
            <w:tcW w:w="1385" w:type="dxa"/>
          </w:tcPr>
          <w:p w14:paraId="33DCA37A"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2785C02"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E6E86A7"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1308AEA"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5" w:type="dxa"/>
          </w:tcPr>
          <w:p w14:paraId="3E4DE91B" w14:textId="77777777" w:rsidR="00280E00" w:rsidRPr="00CB1E53" w:rsidRDefault="00280E00"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7EC0CD18" w14:textId="77777777" w:rsidTr="00D51E9B">
        <w:trPr>
          <w:trHeight w:val="91"/>
        </w:trPr>
        <w:tc>
          <w:tcPr>
            <w:tcW w:w="2425" w:type="dxa"/>
            <w:vMerge/>
          </w:tcPr>
          <w:p w14:paraId="3A4C95DF" w14:textId="77777777" w:rsidR="00280E00" w:rsidRPr="00CB1E53" w:rsidRDefault="00280E00" w:rsidP="00FD11D9">
            <w:pPr>
              <w:keepNext/>
              <w:keepLines/>
              <w:spacing w:before="20" w:after="20"/>
              <w:jc w:val="both"/>
              <w:rPr>
                <w:rFonts w:ascii="Segoe UI" w:hAnsi="Segoe UI" w:cs="Segoe UI"/>
                <w:b/>
                <w:bCs/>
                <w:sz w:val="18"/>
                <w:szCs w:val="18"/>
              </w:rPr>
            </w:pPr>
          </w:p>
        </w:tc>
        <w:tc>
          <w:tcPr>
            <w:tcW w:w="1385" w:type="dxa"/>
          </w:tcPr>
          <w:p w14:paraId="271E5F55" w14:textId="45FB9110" w:rsidR="00280E00" w:rsidRPr="00CB1E53" w:rsidRDefault="00AA1580" w:rsidP="00FD11D9">
            <w:pPr>
              <w:keepNext/>
              <w:keepLines/>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439C7A8D" w14:textId="6C2950A8" w:rsidR="00280E00" w:rsidRPr="00CB1E53" w:rsidRDefault="00280E00" w:rsidP="00FD11D9">
            <w:pPr>
              <w:keepNext/>
              <w:keepLines/>
              <w:spacing w:before="20" w:after="20"/>
              <w:jc w:val="both"/>
              <w:rPr>
                <w:rFonts w:ascii="Segoe UI" w:hAnsi="Segoe UI" w:cs="Segoe UI"/>
                <w:b/>
                <w:sz w:val="18"/>
                <w:szCs w:val="18"/>
              </w:rPr>
            </w:pPr>
            <w:r w:rsidRPr="00F26CA5">
              <w:rPr>
                <w:rFonts w:ascii="Segoe UI" w:hAnsi="Segoe UI"/>
                <w:color w:val="000000"/>
                <w:sz w:val="18"/>
              </w:rPr>
              <w:t>39.</w:t>
            </w:r>
            <w:r w:rsidR="009419CB" w:rsidRPr="009419CB">
              <w:rPr>
                <w:rFonts w:ascii="Segoe UI" w:hAnsi="Segoe UI" w:cs="Segoe UI"/>
                <w:color w:val="000000"/>
                <w:sz w:val="18"/>
                <w:szCs w:val="18"/>
              </w:rPr>
              <w:t>5</w:t>
            </w:r>
          </w:p>
        </w:tc>
        <w:tc>
          <w:tcPr>
            <w:tcW w:w="1385" w:type="dxa"/>
            <w:gridSpan w:val="2"/>
            <w:shd w:val="clear" w:color="auto" w:fill="E6E6E6" w:themeFill="background1" w:themeFillShade="E6"/>
          </w:tcPr>
          <w:p w14:paraId="65164737" w14:textId="4F3FE6B2" w:rsidR="00106CC5" w:rsidRPr="00F7324F" w:rsidRDefault="00106CC5" w:rsidP="00FD11D9">
            <w:pPr>
              <w:keepNext/>
              <w:keepLines/>
              <w:spacing w:before="20" w:after="20"/>
              <w:jc w:val="both"/>
              <w:rPr>
                <w:rFonts w:ascii="Segoe UI" w:hAnsi="Segoe UI" w:cs="Segoe UI"/>
                <w:i/>
                <w:iCs/>
                <w:sz w:val="18"/>
                <w:szCs w:val="18"/>
              </w:rPr>
            </w:pPr>
            <w:r w:rsidRPr="00F7324F">
              <w:rPr>
                <w:rFonts w:ascii="Segoe UI" w:hAnsi="Segoe UI"/>
                <w:i/>
                <w:iCs/>
                <w:color w:val="000000"/>
                <w:sz w:val="18"/>
              </w:rPr>
              <w:t>38.</w:t>
            </w:r>
            <w:r w:rsidR="009419CB" w:rsidRPr="00F7324F">
              <w:rPr>
                <w:rFonts w:ascii="Segoe UI" w:hAnsi="Segoe UI" w:cs="Segoe UI"/>
                <w:i/>
                <w:iCs/>
                <w:color w:val="000000"/>
                <w:sz w:val="18"/>
                <w:szCs w:val="18"/>
              </w:rPr>
              <w:t>6</w:t>
            </w:r>
          </w:p>
        </w:tc>
        <w:tc>
          <w:tcPr>
            <w:tcW w:w="1385" w:type="dxa"/>
            <w:shd w:val="clear" w:color="auto" w:fill="E6E6E6" w:themeFill="background1" w:themeFillShade="E6"/>
          </w:tcPr>
          <w:p w14:paraId="22B6FA93" w14:textId="5A6EEF8A" w:rsidR="00106CC5" w:rsidRPr="00F7324F" w:rsidRDefault="00106CC5" w:rsidP="00FD11D9">
            <w:pPr>
              <w:keepNext/>
              <w:keepLines/>
              <w:spacing w:before="20" w:after="20"/>
              <w:jc w:val="both"/>
              <w:rPr>
                <w:rFonts w:ascii="Segoe UI" w:hAnsi="Segoe UI" w:cs="Segoe UI"/>
                <w:i/>
                <w:iCs/>
                <w:sz w:val="18"/>
                <w:szCs w:val="18"/>
              </w:rPr>
            </w:pPr>
            <w:r w:rsidRPr="00F7324F">
              <w:rPr>
                <w:rFonts w:ascii="Segoe UI" w:hAnsi="Segoe UI"/>
                <w:i/>
                <w:iCs/>
                <w:color w:val="000000"/>
                <w:sz w:val="18"/>
              </w:rPr>
              <w:t>43.</w:t>
            </w:r>
            <w:r w:rsidR="009419CB" w:rsidRPr="00F7324F">
              <w:rPr>
                <w:rFonts w:ascii="Segoe UI" w:hAnsi="Segoe UI" w:cs="Segoe UI"/>
                <w:i/>
                <w:iCs/>
                <w:color w:val="000000"/>
                <w:sz w:val="18"/>
                <w:szCs w:val="18"/>
              </w:rPr>
              <w:t>7</w:t>
            </w:r>
          </w:p>
        </w:tc>
        <w:tc>
          <w:tcPr>
            <w:tcW w:w="1665" w:type="dxa"/>
            <w:shd w:val="clear" w:color="auto" w:fill="E6E6E6" w:themeFill="background1" w:themeFillShade="E6"/>
          </w:tcPr>
          <w:p w14:paraId="60B79AF7" w14:textId="02DA2148" w:rsidR="00106CC5" w:rsidRPr="00F7324F" w:rsidRDefault="001761FA" w:rsidP="00FD11D9">
            <w:pPr>
              <w:keepNext/>
              <w:keepLines/>
              <w:spacing w:before="20" w:after="20"/>
              <w:jc w:val="both"/>
              <w:rPr>
                <w:rFonts w:ascii="Segoe UI" w:hAnsi="Segoe UI" w:cs="Segoe UI"/>
                <w:i/>
                <w:iCs/>
                <w:sz w:val="18"/>
                <w:szCs w:val="18"/>
              </w:rPr>
            </w:pPr>
            <w:r w:rsidRPr="00F7324F">
              <w:rPr>
                <w:rFonts w:ascii="Segoe UI" w:hAnsi="Segoe UI"/>
                <w:i/>
                <w:iCs/>
                <w:color w:val="000000"/>
                <w:sz w:val="18"/>
              </w:rPr>
              <w:t>48.</w:t>
            </w:r>
            <w:r w:rsidR="009419CB" w:rsidRPr="00F7324F">
              <w:rPr>
                <w:rFonts w:ascii="Segoe UI" w:hAnsi="Segoe UI" w:cs="Segoe UI"/>
                <w:i/>
                <w:iCs/>
                <w:color w:val="000000"/>
                <w:sz w:val="18"/>
                <w:szCs w:val="18"/>
              </w:rPr>
              <w:t>0</w:t>
            </w:r>
          </w:p>
        </w:tc>
      </w:tr>
    </w:tbl>
    <w:p w14:paraId="3550AA31"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pPr w:leftFromText="180" w:rightFromText="180" w:vertAnchor="text" w:tblpY="231"/>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E0C299C" w14:textId="77777777" w:rsidTr="0092285E">
        <w:tc>
          <w:tcPr>
            <w:tcW w:w="9625" w:type="dxa"/>
            <w:gridSpan w:val="7"/>
            <w:shd w:val="clear" w:color="auto" w:fill="D9D9D9" w:themeFill="background1" w:themeFillShade="D9"/>
          </w:tcPr>
          <w:p w14:paraId="729DE2A1" w14:textId="2D4D3904"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25. Rental income earned by natural persons</w:t>
            </w:r>
            <w:r w:rsidR="007E3C04">
              <w:rPr>
                <w:rFonts w:ascii="Segoe UI" w:hAnsi="Segoe UI" w:cs="Segoe UI"/>
                <w:b/>
                <w:bCs/>
                <w:sz w:val="18"/>
                <w:szCs w:val="18"/>
              </w:rPr>
              <w:t xml:space="preserve"> </w:t>
            </w:r>
            <w:r w:rsidRPr="00CB1E53">
              <w:rPr>
                <w:rFonts w:ascii="Segoe UI" w:hAnsi="Segoe UI" w:cs="Segoe UI"/>
                <w:b/>
                <w:bCs/>
                <w:sz w:val="18"/>
                <w:szCs w:val="18"/>
              </w:rPr>
              <w:t>taxed at a reduced rate</w:t>
            </w:r>
          </w:p>
        </w:tc>
      </w:tr>
      <w:tr w:rsidR="00280E00" w:rsidRPr="00CB1E53" w14:paraId="0699F047" w14:textId="77777777" w:rsidTr="0092285E">
        <w:tc>
          <w:tcPr>
            <w:tcW w:w="2425" w:type="dxa"/>
          </w:tcPr>
          <w:p w14:paraId="23A5078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476A4B7" w14:textId="40A77114"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Natural persons, subjects of taxation that do not carry out entrepreneurial activity and transmit the real estate in possession and/or in use (rent, lease, usufruct</w:t>
            </w:r>
            <w:r w:rsidR="005524A8">
              <w:rPr>
                <w:rFonts w:ascii="Segoe UI" w:hAnsi="Segoe UI" w:cs="Segoe UI"/>
                <w:sz w:val="18"/>
                <w:szCs w:val="18"/>
              </w:rPr>
              <w:t>,</w:t>
            </w:r>
            <w:r w:rsidRPr="00CB1E53">
              <w:rPr>
                <w:rFonts w:ascii="Segoe UI" w:hAnsi="Segoe UI" w:cs="Segoe UI"/>
                <w:sz w:val="18"/>
                <w:szCs w:val="18"/>
              </w:rPr>
              <w:t xml:space="preserve"> and superficies</w:t>
            </w:r>
            <w:r w:rsidR="00F7324F">
              <w:rPr>
                <w:rStyle w:val="FootnoteReference"/>
                <w:rFonts w:ascii="Segoe UI" w:hAnsi="Segoe UI" w:cs="Segoe UI"/>
                <w:szCs w:val="18"/>
              </w:rPr>
              <w:footnoteReference w:id="22"/>
            </w:r>
            <w:r w:rsidRPr="00CB1E53">
              <w:rPr>
                <w:rFonts w:ascii="Segoe UI" w:hAnsi="Segoe UI" w:cs="Segoe UI"/>
                <w:sz w:val="18"/>
                <w:szCs w:val="18"/>
              </w:rPr>
              <w:t xml:space="preserve">) to the other natural persons pay tax in the amount of 7% of the monthly value of the contract. </w:t>
            </w:r>
          </w:p>
        </w:tc>
      </w:tr>
      <w:tr w:rsidR="00280E00" w:rsidRPr="00CB1E53" w14:paraId="39AC5A9D" w14:textId="77777777" w:rsidTr="0092285E">
        <w:tc>
          <w:tcPr>
            <w:tcW w:w="2425" w:type="dxa"/>
          </w:tcPr>
          <w:p w14:paraId="5AA3879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E94B33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7595E782" w14:textId="77777777" w:rsidTr="0092285E">
        <w:tc>
          <w:tcPr>
            <w:tcW w:w="2425" w:type="dxa"/>
          </w:tcPr>
          <w:p w14:paraId="241D08C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8E5DE8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Natural persons that transmit real estate in possession</w:t>
            </w:r>
          </w:p>
        </w:tc>
      </w:tr>
      <w:tr w:rsidR="00280E00" w:rsidRPr="00CB1E53" w14:paraId="2C7885E2" w14:textId="77777777" w:rsidTr="0092285E">
        <w:tc>
          <w:tcPr>
            <w:tcW w:w="2425" w:type="dxa"/>
          </w:tcPr>
          <w:p w14:paraId="12DF4E9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Measure</w:t>
            </w:r>
          </w:p>
        </w:tc>
        <w:tc>
          <w:tcPr>
            <w:tcW w:w="7200" w:type="dxa"/>
            <w:gridSpan w:val="6"/>
          </w:tcPr>
          <w:p w14:paraId="1BD744D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exemption</w:t>
            </w:r>
          </w:p>
        </w:tc>
      </w:tr>
      <w:tr w:rsidR="00280E00" w:rsidRPr="00CB1E53" w14:paraId="09C44BF7" w14:textId="77777777" w:rsidTr="0092285E">
        <w:tc>
          <w:tcPr>
            <w:tcW w:w="2425" w:type="dxa"/>
          </w:tcPr>
          <w:p w14:paraId="26B4F52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72DF95E" w14:textId="66858069" w:rsidR="00280E00" w:rsidRPr="00CB1E53" w:rsidRDefault="005524A8"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the comprehensive income concept, generated income should attract PIT at the flat rate of 12% if their combined income streams exceed the basic personal allowance of MDL 27,000 per year. </w:t>
            </w:r>
            <w:r>
              <w:rPr>
                <w:rFonts w:ascii="Segoe UI" w:hAnsi="Segoe UI" w:cs="Segoe UI"/>
                <w:sz w:val="18"/>
                <w:szCs w:val="18"/>
              </w:rPr>
              <w:t>A legislated lighter tax burden on</w:t>
            </w:r>
            <w:r w:rsidRPr="00CB1E53">
              <w:rPr>
                <w:rFonts w:ascii="Segoe UI" w:hAnsi="Segoe UI" w:cs="Segoe UI"/>
                <w:sz w:val="18"/>
                <w:szCs w:val="18"/>
              </w:rPr>
              <w:t xml:space="preserve"> </w:t>
            </w:r>
            <w:r>
              <w:rPr>
                <w:rFonts w:ascii="Segoe UI" w:hAnsi="Segoe UI" w:cs="Segoe UI"/>
                <w:sz w:val="18"/>
                <w:szCs w:val="18"/>
              </w:rPr>
              <w:t>rentals</w:t>
            </w:r>
            <w:r w:rsidRPr="00CB1E53">
              <w:rPr>
                <w:rFonts w:ascii="Segoe UI" w:hAnsi="Segoe UI" w:cs="Segoe UI"/>
                <w:sz w:val="18"/>
                <w:szCs w:val="18"/>
              </w:rPr>
              <w:t xml:space="preserve"> constitutes therefore a tax expenditure.</w:t>
            </w:r>
          </w:p>
        </w:tc>
      </w:tr>
      <w:tr w:rsidR="00280E00" w:rsidRPr="00CB1E53" w14:paraId="40DF38D1" w14:textId="77777777" w:rsidTr="0092285E">
        <w:tc>
          <w:tcPr>
            <w:tcW w:w="2425" w:type="dxa"/>
          </w:tcPr>
          <w:p w14:paraId="4AA2FAC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97B790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90 para 3</w:t>
            </w:r>
            <w:r w:rsidRPr="00CB1E53">
              <w:rPr>
                <w:rFonts w:ascii="Segoe UI" w:hAnsi="Segoe UI" w:cs="Segoe UI"/>
                <w:sz w:val="18"/>
                <w:szCs w:val="18"/>
                <w:vertAlign w:val="superscript"/>
              </w:rPr>
              <w:t>4</w:t>
            </w:r>
          </w:p>
        </w:tc>
      </w:tr>
      <w:tr w:rsidR="00280E00" w:rsidRPr="00CB1E53" w14:paraId="306CC15D" w14:textId="77777777" w:rsidTr="0092285E">
        <w:trPr>
          <w:trHeight w:val="182"/>
        </w:trPr>
        <w:tc>
          <w:tcPr>
            <w:tcW w:w="2425" w:type="dxa"/>
            <w:vMerge w:val="restart"/>
          </w:tcPr>
          <w:p w14:paraId="4E938F0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0DE1F47B"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646BD8D" w14:textId="77777777" w:rsidTr="0092285E">
        <w:trPr>
          <w:trHeight w:val="182"/>
        </w:trPr>
        <w:tc>
          <w:tcPr>
            <w:tcW w:w="2425" w:type="dxa"/>
            <w:vMerge/>
          </w:tcPr>
          <w:p w14:paraId="5742ECD8"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3D84EF1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Introduced in year: </w:t>
            </w:r>
          </w:p>
        </w:tc>
        <w:tc>
          <w:tcPr>
            <w:tcW w:w="3738" w:type="dxa"/>
            <w:gridSpan w:val="3"/>
          </w:tcPr>
          <w:p w14:paraId="2FD4156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AA1580" w:rsidRPr="00CB1E53" w14:paraId="459D9A6F" w14:textId="77777777" w:rsidTr="0092285E">
        <w:tc>
          <w:tcPr>
            <w:tcW w:w="2425" w:type="dxa"/>
          </w:tcPr>
          <w:p w14:paraId="12E2CAF4" w14:textId="77777777" w:rsidR="00AA1580" w:rsidRPr="00CB1E53" w:rsidRDefault="00AA158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190A884" w14:textId="657579EC" w:rsidR="00AA158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AA1580" w:rsidRPr="00CB1E53" w14:paraId="311CEB00" w14:textId="77777777" w:rsidTr="0092285E">
        <w:tc>
          <w:tcPr>
            <w:tcW w:w="2425" w:type="dxa"/>
          </w:tcPr>
          <w:p w14:paraId="4A3A5CEE" w14:textId="77777777" w:rsidR="00AA1580" w:rsidRPr="00CB1E53" w:rsidRDefault="00AA158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C0BF0AD" w14:textId="4F5909F4" w:rsidR="00AA158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7D06AD67" w14:textId="77777777" w:rsidTr="0092285E">
        <w:tc>
          <w:tcPr>
            <w:tcW w:w="2425" w:type="dxa"/>
          </w:tcPr>
          <w:p w14:paraId="3D7023C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219A61F"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8E3E735" w14:textId="77777777" w:rsidTr="0092285E">
        <w:tc>
          <w:tcPr>
            <w:tcW w:w="2425" w:type="dxa"/>
          </w:tcPr>
          <w:p w14:paraId="043746D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7A4D09C" w14:textId="26392B1B"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4C5E3CFA" w14:textId="77777777" w:rsidTr="0092285E">
        <w:trPr>
          <w:trHeight w:val="91"/>
        </w:trPr>
        <w:tc>
          <w:tcPr>
            <w:tcW w:w="2425" w:type="dxa"/>
            <w:vMerge w:val="restart"/>
          </w:tcPr>
          <w:p w14:paraId="0A29C3BC"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F46B0D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5FB85D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D498F0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A019D5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AFD241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099605A7" w14:textId="77777777" w:rsidTr="0092285E">
        <w:trPr>
          <w:trHeight w:val="91"/>
        </w:trPr>
        <w:tc>
          <w:tcPr>
            <w:tcW w:w="2425" w:type="dxa"/>
            <w:vMerge/>
          </w:tcPr>
          <w:p w14:paraId="56562C9E"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42FA9585" w14:textId="061C1A7C"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2246ED47" w14:textId="7F30A936"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16098E18" w14:textId="08D8763B"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079CE545" w14:textId="733C616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29144489" w14:textId="6E72113F"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5B638EE4"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ED203A8" w14:textId="77777777" w:rsidTr="0092285E">
        <w:tc>
          <w:tcPr>
            <w:tcW w:w="9625" w:type="dxa"/>
            <w:gridSpan w:val="7"/>
            <w:shd w:val="clear" w:color="auto" w:fill="D9D9D9" w:themeFill="background1" w:themeFillShade="D9"/>
          </w:tcPr>
          <w:p w14:paraId="041EDB5C" w14:textId="7DEF6963"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26. Interest earned by natural persons taxed at a reduced rate</w:t>
            </w:r>
          </w:p>
        </w:tc>
      </w:tr>
      <w:tr w:rsidR="00280E00" w:rsidRPr="00CB1E53" w14:paraId="055AB0CB" w14:textId="77777777" w:rsidTr="0092285E">
        <w:tc>
          <w:tcPr>
            <w:tcW w:w="2425" w:type="dxa"/>
          </w:tcPr>
          <w:p w14:paraId="49E3167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7E1327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Banks, savings, and loan associations, as well as issuers of corporate securities withhold a tax of 3% of the interest paid to resident individuals.</w:t>
            </w:r>
          </w:p>
        </w:tc>
      </w:tr>
      <w:tr w:rsidR="00280E00" w:rsidRPr="00CB1E53" w14:paraId="7B9480B7" w14:textId="77777777" w:rsidTr="0092285E">
        <w:tc>
          <w:tcPr>
            <w:tcW w:w="2425" w:type="dxa"/>
          </w:tcPr>
          <w:p w14:paraId="033D04E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6F1213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D22B3FD" w14:textId="77777777" w:rsidTr="0092285E">
        <w:tc>
          <w:tcPr>
            <w:tcW w:w="2425" w:type="dxa"/>
          </w:tcPr>
          <w:p w14:paraId="0B1AEAB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2AC0AB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Natural persons that receive interest from savings</w:t>
            </w:r>
          </w:p>
        </w:tc>
      </w:tr>
      <w:tr w:rsidR="00280E00" w:rsidRPr="00CB1E53" w14:paraId="6549A2F7" w14:textId="77777777" w:rsidTr="0092285E">
        <w:tc>
          <w:tcPr>
            <w:tcW w:w="2425" w:type="dxa"/>
          </w:tcPr>
          <w:p w14:paraId="775FD7A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2E0632E"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exemption</w:t>
            </w:r>
          </w:p>
        </w:tc>
      </w:tr>
      <w:tr w:rsidR="00280E00" w:rsidRPr="00CB1E53" w14:paraId="73BD3D11" w14:textId="77777777" w:rsidTr="0092285E">
        <w:tc>
          <w:tcPr>
            <w:tcW w:w="2425" w:type="dxa"/>
          </w:tcPr>
          <w:p w14:paraId="54FDD3F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8B99CB3" w14:textId="3175D599" w:rsidR="00280E00" w:rsidRPr="00CB1E53" w:rsidRDefault="00FC3AC8"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the comprehensive income concept, generated income should attract PIT at the flat rate of 12% if their combined income streams exceed the basic personal allowance of MDL 27,000 per year. </w:t>
            </w:r>
            <w:r>
              <w:rPr>
                <w:rFonts w:ascii="Segoe UI" w:hAnsi="Segoe UI" w:cs="Segoe UI"/>
                <w:sz w:val="18"/>
                <w:szCs w:val="18"/>
              </w:rPr>
              <w:t>A legislated lighter tax burden on</w:t>
            </w:r>
            <w:r w:rsidRPr="00CB1E53">
              <w:rPr>
                <w:rFonts w:ascii="Segoe UI" w:hAnsi="Segoe UI" w:cs="Segoe UI"/>
                <w:sz w:val="18"/>
                <w:szCs w:val="18"/>
              </w:rPr>
              <w:t xml:space="preserve"> </w:t>
            </w:r>
            <w:r>
              <w:rPr>
                <w:rFonts w:ascii="Segoe UI" w:hAnsi="Segoe UI" w:cs="Segoe UI"/>
                <w:sz w:val="18"/>
                <w:szCs w:val="18"/>
              </w:rPr>
              <w:t>interest earned by natural persons</w:t>
            </w:r>
            <w:r w:rsidRPr="00CB1E53">
              <w:rPr>
                <w:rFonts w:ascii="Segoe UI" w:hAnsi="Segoe UI" w:cs="Segoe UI"/>
                <w:sz w:val="18"/>
                <w:szCs w:val="18"/>
              </w:rPr>
              <w:t xml:space="preserve"> constitutes therefore a tax expenditure.</w:t>
            </w:r>
          </w:p>
        </w:tc>
      </w:tr>
      <w:tr w:rsidR="00280E00" w:rsidRPr="00CB1E53" w14:paraId="65B20C94" w14:textId="77777777" w:rsidTr="0092285E">
        <w:tc>
          <w:tcPr>
            <w:tcW w:w="2425" w:type="dxa"/>
          </w:tcPr>
          <w:p w14:paraId="3DDC9E4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3B1C3D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90 para 3</w:t>
            </w:r>
            <w:r w:rsidRPr="00CB1E53">
              <w:rPr>
                <w:rFonts w:ascii="Segoe UI" w:hAnsi="Segoe UI" w:cs="Segoe UI"/>
                <w:sz w:val="18"/>
                <w:szCs w:val="18"/>
                <w:vertAlign w:val="superscript"/>
              </w:rPr>
              <w:t>7</w:t>
            </w:r>
          </w:p>
        </w:tc>
      </w:tr>
      <w:tr w:rsidR="00280E00" w:rsidRPr="00CB1E53" w14:paraId="0C6973FF" w14:textId="77777777" w:rsidTr="0092285E">
        <w:trPr>
          <w:trHeight w:val="182"/>
        </w:trPr>
        <w:tc>
          <w:tcPr>
            <w:tcW w:w="2425" w:type="dxa"/>
            <w:vMerge w:val="restart"/>
          </w:tcPr>
          <w:p w14:paraId="7A9979E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6CE79C7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52B6B0B0" w14:textId="77777777" w:rsidTr="0092285E">
        <w:trPr>
          <w:trHeight w:val="182"/>
        </w:trPr>
        <w:tc>
          <w:tcPr>
            <w:tcW w:w="2425" w:type="dxa"/>
            <w:vMerge/>
          </w:tcPr>
          <w:p w14:paraId="4493A220"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6EBF911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2021</w:t>
            </w:r>
          </w:p>
        </w:tc>
        <w:tc>
          <w:tcPr>
            <w:tcW w:w="3738" w:type="dxa"/>
            <w:gridSpan w:val="3"/>
          </w:tcPr>
          <w:p w14:paraId="462D4B8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AA1580" w:rsidRPr="00CB1E53" w14:paraId="594E1563" w14:textId="77777777" w:rsidTr="0092285E">
        <w:tc>
          <w:tcPr>
            <w:tcW w:w="2425" w:type="dxa"/>
          </w:tcPr>
          <w:p w14:paraId="45A53072" w14:textId="77777777" w:rsidR="00AA1580" w:rsidRPr="00CB1E53" w:rsidRDefault="00AA158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D405D74" w14:textId="7FC849D9" w:rsidR="00AA158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AA1580" w:rsidRPr="00CB1E53" w14:paraId="164DDCB1" w14:textId="77777777" w:rsidTr="0092285E">
        <w:tc>
          <w:tcPr>
            <w:tcW w:w="2425" w:type="dxa"/>
          </w:tcPr>
          <w:p w14:paraId="239766AF" w14:textId="77777777" w:rsidR="00AA1580" w:rsidRPr="00CB1E53" w:rsidRDefault="00AA158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24B1AC0" w14:textId="651FD127" w:rsidR="00AA158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280E00" w:rsidRPr="00CB1E53" w14:paraId="41E3D4B2" w14:textId="77777777" w:rsidTr="0092285E">
        <w:tc>
          <w:tcPr>
            <w:tcW w:w="2425" w:type="dxa"/>
          </w:tcPr>
          <w:p w14:paraId="44183AD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095E7A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311F331E" w14:textId="77777777" w:rsidTr="0092285E">
        <w:tc>
          <w:tcPr>
            <w:tcW w:w="2425" w:type="dxa"/>
          </w:tcPr>
          <w:p w14:paraId="5C6375F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EB1ABF8" w14:textId="3B762DAE"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0C14738F" w14:textId="77777777" w:rsidTr="0092285E">
        <w:trPr>
          <w:trHeight w:val="91"/>
        </w:trPr>
        <w:tc>
          <w:tcPr>
            <w:tcW w:w="2425" w:type="dxa"/>
            <w:vMerge w:val="restart"/>
          </w:tcPr>
          <w:p w14:paraId="14F8E0A4"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2ACEA5C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4BAB7F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A3004B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F321B6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05305D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AA1580" w:rsidRPr="00CB1E53" w14:paraId="112366C0" w14:textId="77777777" w:rsidTr="0092285E">
        <w:trPr>
          <w:trHeight w:val="91"/>
        </w:trPr>
        <w:tc>
          <w:tcPr>
            <w:tcW w:w="2425" w:type="dxa"/>
            <w:vMerge/>
          </w:tcPr>
          <w:p w14:paraId="07A1F5FE" w14:textId="77777777" w:rsidR="00AA1580" w:rsidRPr="00CB1E53" w:rsidRDefault="00AA1580" w:rsidP="00FD11D9">
            <w:pPr>
              <w:spacing w:before="20" w:after="20"/>
              <w:jc w:val="both"/>
              <w:rPr>
                <w:rFonts w:ascii="Segoe UI" w:hAnsi="Segoe UI" w:cs="Segoe UI"/>
                <w:b/>
                <w:bCs/>
                <w:sz w:val="18"/>
                <w:szCs w:val="18"/>
              </w:rPr>
            </w:pPr>
          </w:p>
        </w:tc>
        <w:tc>
          <w:tcPr>
            <w:tcW w:w="1385" w:type="dxa"/>
          </w:tcPr>
          <w:p w14:paraId="6B66C63C" w14:textId="67B11209"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60CFECDA" w14:textId="0F0DD085"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gridSpan w:val="2"/>
          </w:tcPr>
          <w:p w14:paraId="23BE4049" w14:textId="20052B5A"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385" w:type="dxa"/>
          </w:tcPr>
          <w:p w14:paraId="54B5093C" w14:textId="015CD58B" w:rsidR="00AA1580" w:rsidRPr="00CB1E53" w:rsidRDefault="00AA1580" w:rsidP="00FD11D9">
            <w:pPr>
              <w:spacing w:before="20" w:after="20"/>
              <w:jc w:val="both"/>
              <w:rPr>
                <w:rFonts w:ascii="Segoe UI" w:hAnsi="Segoe UI" w:cs="Segoe UI"/>
                <w:sz w:val="18"/>
                <w:szCs w:val="18"/>
              </w:rPr>
            </w:pPr>
            <w:r>
              <w:rPr>
                <w:rFonts w:ascii="Segoe UI" w:hAnsi="Segoe UI" w:cs="Segoe UI"/>
                <w:color w:val="000000"/>
                <w:sz w:val="18"/>
                <w:szCs w:val="18"/>
              </w:rPr>
              <w:t>—</w:t>
            </w:r>
          </w:p>
        </w:tc>
        <w:tc>
          <w:tcPr>
            <w:tcW w:w="1660" w:type="dxa"/>
          </w:tcPr>
          <w:p w14:paraId="40301F09" w14:textId="6178F1A9" w:rsidR="00AA1580" w:rsidRPr="00CB1E53" w:rsidRDefault="00AA1580" w:rsidP="00FD11D9">
            <w:pPr>
              <w:spacing w:before="20" w:after="20"/>
              <w:jc w:val="both"/>
              <w:rPr>
                <w:rFonts w:ascii="Segoe UI" w:hAnsi="Segoe UI" w:cs="Segoe UI"/>
                <w:sz w:val="18"/>
                <w:szCs w:val="18"/>
              </w:rPr>
            </w:pPr>
            <w:r>
              <w:rPr>
                <w:rFonts w:ascii="Segoe UI" w:hAnsi="Segoe UI" w:cs="Segoe UI"/>
                <w:i/>
                <w:iCs/>
                <w:color w:val="000000"/>
                <w:sz w:val="18"/>
                <w:szCs w:val="18"/>
              </w:rPr>
              <w:t>—</w:t>
            </w:r>
          </w:p>
        </w:tc>
      </w:tr>
    </w:tbl>
    <w:p w14:paraId="16299C5C"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47C0E2E3" w14:textId="77777777" w:rsidTr="0092285E">
        <w:tc>
          <w:tcPr>
            <w:tcW w:w="9625" w:type="dxa"/>
            <w:gridSpan w:val="7"/>
            <w:shd w:val="clear" w:color="auto" w:fill="D9D9D9" w:themeFill="background1" w:themeFillShade="D9"/>
          </w:tcPr>
          <w:p w14:paraId="1257A77B" w14:textId="64AAEB95"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27. Personal deduction of 2% of annual income tax liability</w:t>
            </w:r>
          </w:p>
        </w:tc>
      </w:tr>
      <w:tr w:rsidR="00280E00" w:rsidRPr="00CB1E53" w14:paraId="1E772035" w14:textId="77777777" w:rsidTr="0092285E">
        <w:tc>
          <w:tcPr>
            <w:tcW w:w="2425" w:type="dxa"/>
          </w:tcPr>
          <w:p w14:paraId="4DCD0A1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E07DB5B" w14:textId="77777777" w:rsidR="00280E00" w:rsidRPr="00CB1E53" w:rsidRDefault="00280E00" w:rsidP="00FD11D9">
            <w:pPr>
              <w:autoSpaceDE w:val="0"/>
              <w:autoSpaceDN w:val="0"/>
              <w:adjustRightInd w:val="0"/>
              <w:spacing w:before="20" w:after="20"/>
              <w:jc w:val="both"/>
              <w:rPr>
                <w:rFonts w:ascii="Segoe UI" w:hAnsi="Segoe UI" w:cs="Segoe UI"/>
                <w:color w:val="000000"/>
                <w:sz w:val="18"/>
                <w:szCs w:val="18"/>
              </w:rPr>
            </w:pPr>
            <w:r w:rsidRPr="00CB1E53">
              <w:rPr>
                <w:rFonts w:ascii="Segoe UI" w:hAnsi="Segoe UI" w:cs="Segoe UI"/>
                <w:color w:val="000000"/>
                <w:sz w:val="18"/>
                <w:szCs w:val="18"/>
              </w:rPr>
              <w:t>Individuals may deduct charity and sponsoring contributions made to eligible entities. This deduction may not exceed 2% of their annual income tax liability. The list of eligible entities for each year is made public annually by the Agency of Public Services.</w:t>
            </w:r>
          </w:p>
        </w:tc>
      </w:tr>
      <w:tr w:rsidR="00280E00" w:rsidRPr="00CB1E53" w14:paraId="04270E0C" w14:textId="77777777" w:rsidTr="0092285E">
        <w:tc>
          <w:tcPr>
            <w:tcW w:w="2425" w:type="dxa"/>
          </w:tcPr>
          <w:p w14:paraId="5B1B452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039CAD4"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20937B91" w14:textId="77777777" w:rsidTr="0092285E">
        <w:tc>
          <w:tcPr>
            <w:tcW w:w="2425" w:type="dxa"/>
          </w:tcPr>
          <w:p w14:paraId="69528C7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EE3B49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Donator of funds to assigned charity</w:t>
            </w:r>
          </w:p>
        </w:tc>
      </w:tr>
      <w:tr w:rsidR="00280E00" w:rsidRPr="00CB1E53" w14:paraId="585F28D1" w14:textId="77777777" w:rsidTr="0092285E">
        <w:tc>
          <w:tcPr>
            <w:tcW w:w="2425" w:type="dxa"/>
          </w:tcPr>
          <w:p w14:paraId="54F82F6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0409349"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liability deduction</w:t>
            </w:r>
          </w:p>
        </w:tc>
      </w:tr>
      <w:tr w:rsidR="00280E00" w:rsidRPr="00CB1E53" w14:paraId="75715B47" w14:textId="77777777" w:rsidTr="0092285E">
        <w:tc>
          <w:tcPr>
            <w:tcW w:w="2425" w:type="dxa"/>
          </w:tcPr>
          <w:p w14:paraId="55ADB6D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44C1294" w14:textId="4371F7F2"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Through an individually determined deduction up to a ceiling, an individual can reduce his/her tax liability, thereby reducing the originally intended tax burden for respective income earned</w:t>
            </w:r>
            <w:r w:rsidR="00FC3AC8">
              <w:rPr>
                <w:rFonts w:ascii="Segoe UI" w:hAnsi="Segoe UI" w:cs="Segoe UI"/>
                <w:sz w:val="18"/>
                <w:szCs w:val="18"/>
              </w:rPr>
              <w:t>.</w:t>
            </w:r>
          </w:p>
        </w:tc>
      </w:tr>
      <w:tr w:rsidR="00280E00" w:rsidRPr="00CB1E53" w14:paraId="4ACAE87E" w14:textId="77777777" w:rsidTr="0092285E">
        <w:tc>
          <w:tcPr>
            <w:tcW w:w="2425" w:type="dxa"/>
          </w:tcPr>
          <w:p w14:paraId="18C7B6BF"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0BA6BE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15</w:t>
            </w:r>
            <w:r w:rsidRPr="00CB1E53">
              <w:rPr>
                <w:rFonts w:ascii="Segoe UI" w:hAnsi="Segoe UI" w:cs="Segoe UI"/>
                <w:sz w:val="18"/>
                <w:szCs w:val="18"/>
                <w:vertAlign w:val="superscript"/>
              </w:rPr>
              <w:t>2</w:t>
            </w:r>
            <w:r w:rsidRPr="00CB1E53">
              <w:rPr>
                <w:rFonts w:ascii="Segoe UI" w:hAnsi="Segoe UI" w:cs="Segoe UI"/>
                <w:sz w:val="18"/>
                <w:szCs w:val="18"/>
              </w:rPr>
              <w:t xml:space="preserve"> </w:t>
            </w:r>
          </w:p>
        </w:tc>
      </w:tr>
      <w:tr w:rsidR="00280E00" w:rsidRPr="00CB1E53" w14:paraId="089BD7C6" w14:textId="77777777" w:rsidTr="0092285E">
        <w:trPr>
          <w:trHeight w:val="182"/>
        </w:trPr>
        <w:tc>
          <w:tcPr>
            <w:tcW w:w="2425" w:type="dxa"/>
            <w:vMerge w:val="restart"/>
          </w:tcPr>
          <w:p w14:paraId="6546069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A786A89"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A67F8E8" w14:textId="77777777" w:rsidTr="0092285E">
        <w:trPr>
          <w:trHeight w:val="182"/>
        </w:trPr>
        <w:tc>
          <w:tcPr>
            <w:tcW w:w="2425" w:type="dxa"/>
            <w:vMerge/>
          </w:tcPr>
          <w:p w14:paraId="5DB17DC7"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7D3313A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2B850D9D"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26E2E3D6" w14:textId="77777777" w:rsidTr="0092285E">
        <w:tc>
          <w:tcPr>
            <w:tcW w:w="2425" w:type="dxa"/>
          </w:tcPr>
          <w:p w14:paraId="71C4B0F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Source of Data</w:t>
            </w:r>
          </w:p>
        </w:tc>
        <w:tc>
          <w:tcPr>
            <w:tcW w:w="7200" w:type="dxa"/>
            <w:gridSpan w:val="6"/>
          </w:tcPr>
          <w:p w14:paraId="21C53DD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return</w:t>
            </w:r>
          </w:p>
        </w:tc>
      </w:tr>
      <w:tr w:rsidR="00280E00" w:rsidRPr="00CB1E53" w14:paraId="4E059B5D" w14:textId="77777777" w:rsidTr="0092285E">
        <w:tc>
          <w:tcPr>
            <w:tcW w:w="2425" w:type="dxa"/>
          </w:tcPr>
          <w:p w14:paraId="694B441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77FD471"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22232E0" w14:textId="77777777" w:rsidTr="0092285E">
        <w:tc>
          <w:tcPr>
            <w:tcW w:w="2425" w:type="dxa"/>
          </w:tcPr>
          <w:p w14:paraId="48260DF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6F35628"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2019 - 504 beneficiaries</w:t>
            </w:r>
          </w:p>
          <w:p w14:paraId="703D4606"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2020 – 534 beneficiaries</w:t>
            </w:r>
          </w:p>
          <w:p w14:paraId="79B43A0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2021 – 651 beneficiaries</w:t>
            </w:r>
          </w:p>
        </w:tc>
      </w:tr>
      <w:tr w:rsidR="00280E00" w:rsidRPr="00CB1E53" w14:paraId="4C2B38EA" w14:textId="77777777" w:rsidTr="0092285E">
        <w:tc>
          <w:tcPr>
            <w:tcW w:w="2425" w:type="dxa"/>
          </w:tcPr>
          <w:p w14:paraId="45066E4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2C073E7" w14:textId="41353477"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7459EB35" w14:textId="77777777" w:rsidTr="0092285E">
        <w:trPr>
          <w:trHeight w:val="91"/>
        </w:trPr>
        <w:tc>
          <w:tcPr>
            <w:tcW w:w="2425" w:type="dxa"/>
            <w:vMerge w:val="restart"/>
          </w:tcPr>
          <w:p w14:paraId="3133343D"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1467C9B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CB2959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A20FA4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E2F23F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1841D0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3C320527" w14:textId="77777777" w:rsidTr="007B38FB">
        <w:trPr>
          <w:trHeight w:val="91"/>
        </w:trPr>
        <w:tc>
          <w:tcPr>
            <w:tcW w:w="2425" w:type="dxa"/>
            <w:vMerge/>
          </w:tcPr>
          <w:p w14:paraId="38A1387B"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1C0093A3" w14:textId="77DBDB20"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5D2C9C98" w14:textId="18B76FDE"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0.7</w:t>
            </w:r>
          </w:p>
        </w:tc>
        <w:tc>
          <w:tcPr>
            <w:tcW w:w="1385" w:type="dxa"/>
            <w:gridSpan w:val="2"/>
          </w:tcPr>
          <w:p w14:paraId="13805EE5" w14:textId="3D8E047F"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5.6</w:t>
            </w:r>
          </w:p>
        </w:tc>
        <w:tc>
          <w:tcPr>
            <w:tcW w:w="1385" w:type="dxa"/>
          </w:tcPr>
          <w:p w14:paraId="3EC52B58" w14:textId="0C4F463F"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8.9</w:t>
            </w:r>
          </w:p>
        </w:tc>
        <w:tc>
          <w:tcPr>
            <w:tcW w:w="1660" w:type="dxa"/>
            <w:shd w:val="clear" w:color="auto" w:fill="E6E6E6" w:themeFill="background1" w:themeFillShade="E6"/>
          </w:tcPr>
          <w:p w14:paraId="2D1C92A1" w14:textId="17211433" w:rsidR="006A4F57" w:rsidRPr="009130EE" w:rsidRDefault="007E477E" w:rsidP="00FD11D9">
            <w:pPr>
              <w:spacing w:before="20" w:after="20"/>
              <w:jc w:val="both"/>
              <w:rPr>
                <w:rFonts w:ascii="Segoe UI" w:hAnsi="Segoe UI" w:cs="Segoe UI"/>
                <w:i/>
                <w:iCs/>
                <w:sz w:val="18"/>
                <w:szCs w:val="18"/>
              </w:rPr>
            </w:pPr>
            <w:r w:rsidRPr="009130EE">
              <w:rPr>
                <w:rFonts w:ascii="Segoe UI" w:hAnsi="Segoe UI" w:cs="Segoe UI"/>
                <w:i/>
                <w:iCs/>
                <w:sz w:val="18"/>
                <w:szCs w:val="18"/>
              </w:rPr>
              <w:t>9.</w:t>
            </w:r>
            <w:r w:rsidR="00172462" w:rsidRPr="009130EE">
              <w:rPr>
                <w:rFonts w:ascii="Segoe UI" w:hAnsi="Segoe UI" w:cs="Segoe UI"/>
                <w:i/>
                <w:iCs/>
                <w:sz w:val="18"/>
                <w:szCs w:val="18"/>
              </w:rPr>
              <w:t>8</w:t>
            </w:r>
          </w:p>
        </w:tc>
      </w:tr>
    </w:tbl>
    <w:p w14:paraId="4250E456"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29C1F626" w14:textId="77777777" w:rsidTr="0092285E">
        <w:tc>
          <w:tcPr>
            <w:tcW w:w="9625" w:type="dxa"/>
            <w:gridSpan w:val="7"/>
            <w:shd w:val="clear" w:color="auto" w:fill="D9D9D9" w:themeFill="background1" w:themeFillShade="D9"/>
          </w:tcPr>
          <w:p w14:paraId="345486BE" w14:textId="57BF64E0"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28. Major lifelong personal allowance in case of illness or disability</w:t>
            </w:r>
          </w:p>
        </w:tc>
      </w:tr>
      <w:tr w:rsidR="00280E00" w:rsidRPr="00CB1E53" w14:paraId="722A1AEB" w14:textId="77777777" w:rsidTr="0092285E">
        <w:tc>
          <w:tcPr>
            <w:tcW w:w="2425" w:type="dxa"/>
          </w:tcPr>
          <w:p w14:paraId="110CE27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6583D08" w14:textId="77777777"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An allowance of (2019 – 2021 is in amount of 30 000 lei; in 2022 -31 500 lei) is applied in case of an illness, disability or for persons whose child or spouse died or was injured in defense of the state</w:t>
            </w:r>
          </w:p>
        </w:tc>
      </w:tr>
      <w:tr w:rsidR="00280E00" w:rsidRPr="00CB1E53" w14:paraId="2EB257BE" w14:textId="77777777" w:rsidTr="0092285E">
        <w:tc>
          <w:tcPr>
            <w:tcW w:w="2425" w:type="dxa"/>
          </w:tcPr>
          <w:p w14:paraId="5457A05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0AFADF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ED3C09B" w14:textId="77777777" w:rsidTr="0092285E">
        <w:tc>
          <w:tcPr>
            <w:tcW w:w="2425" w:type="dxa"/>
          </w:tcPr>
          <w:p w14:paraId="0ADCDA8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5B86A5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Taxpayers with disabilities as a result of defense</w:t>
            </w:r>
          </w:p>
        </w:tc>
      </w:tr>
      <w:tr w:rsidR="00280E00" w:rsidRPr="00CB1E53" w14:paraId="7CB908BD" w14:textId="77777777" w:rsidTr="0092285E">
        <w:tc>
          <w:tcPr>
            <w:tcW w:w="2425" w:type="dxa"/>
          </w:tcPr>
          <w:p w14:paraId="3C90B49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66D5DED" w14:textId="5846282D"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 xml:space="preserve">Deduction </w:t>
            </w:r>
            <w:r w:rsidR="00451CD8">
              <w:rPr>
                <w:rFonts w:ascii="Segoe UI" w:hAnsi="Segoe UI" w:cs="Segoe UI"/>
                <w:sz w:val="18"/>
                <w:szCs w:val="18"/>
              </w:rPr>
              <w:t>against</w:t>
            </w:r>
            <w:r w:rsidR="00451CD8" w:rsidRPr="00CB1E53">
              <w:rPr>
                <w:rFonts w:ascii="Segoe UI" w:hAnsi="Segoe UI" w:cs="Segoe UI"/>
                <w:sz w:val="18"/>
                <w:szCs w:val="18"/>
              </w:rPr>
              <w:t xml:space="preserve"> </w:t>
            </w:r>
            <w:r w:rsidRPr="00CB1E53">
              <w:rPr>
                <w:rFonts w:ascii="Segoe UI" w:hAnsi="Segoe UI" w:cs="Segoe UI"/>
                <w:sz w:val="18"/>
                <w:szCs w:val="18"/>
              </w:rPr>
              <w:t>taxable income</w:t>
            </w:r>
          </w:p>
        </w:tc>
      </w:tr>
      <w:tr w:rsidR="00280E00" w:rsidRPr="00CB1E53" w14:paraId="12E71C72" w14:textId="77777777" w:rsidTr="0092285E">
        <w:tc>
          <w:tcPr>
            <w:tcW w:w="2425" w:type="dxa"/>
          </w:tcPr>
          <w:p w14:paraId="61912AF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92A9D74" w14:textId="3607864B" w:rsidR="00280E00" w:rsidRPr="00CB1E53" w:rsidRDefault="00451CD8"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the comprehensive income concept, generated income should attract PIT at the flat rate of 12% if their combined income streams exceed the basic personal allowance of MDL 27,000 per year. </w:t>
            </w:r>
            <w:r>
              <w:rPr>
                <w:rFonts w:ascii="Segoe UI" w:hAnsi="Segoe UI" w:cs="Segoe UI"/>
                <w:sz w:val="18"/>
                <w:szCs w:val="18"/>
              </w:rPr>
              <w:t>A legislated lighter tax burden on income of persons with long-term illness or disability</w:t>
            </w:r>
            <w:r w:rsidRPr="00CB1E53">
              <w:rPr>
                <w:rFonts w:ascii="Segoe UI" w:hAnsi="Segoe UI" w:cs="Segoe UI"/>
                <w:sz w:val="18"/>
                <w:szCs w:val="18"/>
              </w:rPr>
              <w:t xml:space="preserve"> constitutes a tax expenditure.</w:t>
            </w:r>
          </w:p>
        </w:tc>
      </w:tr>
      <w:tr w:rsidR="00280E00" w:rsidRPr="00CB1E53" w14:paraId="09312ECF" w14:textId="77777777" w:rsidTr="0092285E">
        <w:tc>
          <w:tcPr>
            <w:tcW w:w="2425" w:type="dxa"/>
          </w:tcPr>
          <w:p w14:paraId="473B08D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ECE3E1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35 para (2) of the TC</w:t>
            </w:r>
          </w:p>
        </w:tc>
      </w:tr>
      <w:tr w:rsidR="00280E00" w:rsidRPr="00CB1E53" w14:paraId="2C01A133" w14:textId="77777777" w:rsidTr="0092285E">
        <w:trPr>
          <w:trHeight w:val="182"/>
        </w:trPr>
        <w:tc>
          <w:tcPr>
            <w:tcW w:w="2425" w:type="dxa"/>
            <w:vMerge w:val="restart"/>
          </w:tcPr>
          <w:p w14:paraId="3EDD79F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19DC0FE"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E7DBE77" w14:textId="77777777" w:rsidTr="0092285E">
        <w:trPr>
          <w:trHeight w:val="182"/>
        </w:trPr>
        <w:tc>
          <w:tcPr>
            <w:tcW w:w="2425" w:type="dxa"/>
            <w:vMerge/>
          </w:tcPr>
          <w:p w14:paraId="5591DB99"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57A24DA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0889EE0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48C8B2EF" w14:textId="77777777" w:rsidTr="0092285E">
        <w:tc>
          <w:tcPr>
            <w:tcW w:w="2425" w:type="dxa"/>
          </w:tcPr>
          <w:p w14:paraId="2900A3F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89FE2B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return</w:t>
            </w:r>
          </w:p>
        </w:tc>
      </w:tr>
      <w:tr w:rsidR="00280E00" w:rsidRPr="00CB1E53" w14:paraId="01253801" w14:textId="77777777" w:rsidTr="0092285E">
        <w:tc>
          <w:tcPr>
            <w:tcW w:w="2425" w:type="dxa"/>
          </w:tcPr>
          <w:p w14:paraId="568566B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6C2904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Microsimulation</w:t>
            </w:r>
          </w:p>
        </w:tc>
      </w:tr>
      <w:tr w:rsidR="00280E00" w:rsidRPr="00CB1E53" w14:paraId="3EC93657" w14:textId="77777777" w:rsidTr="0092285E">
        <w:tc>
          <w:tcPr>
            <w:tcW w:w="2425" w:type="dxa"/>
          </w:tcPr>
          <w:p w14:paraId="0BE233C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FE9936A" w14:textId="77777777" w:rsidR="00280E00" w:rsidRPr="00CB1E53" w:rsidRDefault="00280E00" w:rsidP="00FD11D9">
            <w:pPr>
              <w:spacing w:before="20" w:after="20"/>
              <w:jc w:val="both"/>
              <w:rPr>
                <w:rFonts w:ascii="Segoe UI" w:hAnsi="Segoe UI" w:cs="Segoe UI"/>
                <w:sz w:val="18"/>
                <w:szCs w:val="18"/>
              </w:rPr>
            </w:pPr>
          </w:p>
        </w:tc>
      </w:tr>
      <w:tr w:rsidR="00280E00" w:rsidRPr="00CB1E53" w14:paraId="2B8E7E94" w14:textId="77777777" w:rsidTr="0092285E">
        <w:tc>
          <w:tcPr>
            <w:tcW w:w="2425" w:type="dxa"/>
          </w:tcPr>
          <w:p w14:paraId="48368E5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FFF2DD7" w14:textId="47A9BE9C"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67BF5B43" w14:textId="77777777" w:rsidTr="0092285E">
        <w:trPr>
          <w:trHeight w:val="91"/>
        </w:trPr>
        <w:tc>
          <w:tcPr>
            <w:tcW w:w="2425" w:type="dxa"/>
            <w:vMerge w:val="restart"/>
          </w:tcPr>
          <w:p w14:paraId="149AB5C8"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0E3C6E1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F58E15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FC9B72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883FFE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AFD054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0411420E" w14:textId="77777777" w:rsidTr="007B38FB">
        <w:trPr>
          <w:trHeight w:val="91"/>
        </w:trPr>
        <w:tc>
          <w:tcPr>
            <w:tcW w:w="2425" w:type="dxa"/>
            <w:vMerge/>
          </w:tcPr>
          <w:p w14:paraId="331D1293"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D5E6731" w14:textId="48725429"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29A9C22E" w14:textId="65137458"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68626089" w14:textId="11AEA441" w:rsidR="00280E00" w:rsidRPr="00312185" w:rsidRDefault="00280E00" w:rsidP="00FD11D9">
            <w:pPr>
              <w:spacing w:before="20" w:after="20"/>
              <w:jc w:val="both"/>
              <w:rPr>
                <w:rFonts w:ascii="Segoe UI" w:hAnsi="Segoe UI" w:cs="Segoe UI"/>
                <w:bCs/>
                <w:sz w:val="18"/>
                <w:szCs w:val="18"/>
              </w:rPr>
            </w:pPr>
            <w:r w:rsidRPr="00312185">
              <w:rPr>
                <w:rFonts w:ascii="Segoe UI" w:hAnsi="Segoe UI" w:cs="Segoe UI"/>
                <w:bCs/>
                <w:sz w:val="18"/>
                <w:szCs w:val="18"/>
              </w:rPr>
              <w:t>31.2</w:t>
            </w:r>
          </w:p>
        </w:tc>
        <w:tc>
          <w:tcPr>
            <w:tcW w:w="1385" w:type="dxa"/>
            <w:shd w:val="clear" w:color="auto" w:fill="E6E6E6" w:themeFill="background1" w:themeFillShade="E6"/>
          </w:tcPr>
          <w:p w14:paraId="211E6833" w14:textId="23329617" w:rsidR="00280E00" w:rsidRPr="009130EE" w:rsidRDefault="009E6D99" w:rsidP="00FD11D9">
            <w:pPr>
              <w:spacing w:before="20" w:after="20"/>
              <w:jc w:val="both"/>
              <w:rPr>
                <w:rFonts w:ascii="Segoe UI" w:hAnsi="Segoe UI" w:cs="Segoe UI"/>
                <w:i/>
                <w:iCs/>
                <w:sz w:val="18"/>
                <w:szCs w:val="18"/>
              </w:rPr>
            </w:pPr>
            <w:r w:rsidRPr="009130EE">
              <w:rPr>
                <w:rFonts w:ascii="Segoe UI" w:hAnsi="Segoe UI" w:cs="Segoe UI"/>
                <w:i/>
                <w:iCs/>
                <w:sz w:val="18"/>
                <w:szCs w:val="18"/>
              </w:rPr>
              <w:t>35.3</w:t>
            </w:r>
          </w:p>
        </w:tc>
        <w:tc>
          <w:tcPr>
            <w:tcW w:w="1660" w:type="dxa"/>
            <w:shd w:val="clear" w:color="auto" w:fill="E6E6E6" w:themeFill="background1" w:themeFillShade="E6"/>
          </w:tcPr>
          <w:p w14:paraId="26902CBE" w14:textId="4BC71B1A" w:rsidR="00280E00" w:rsidRPr="009130EE" w:rsidRDefault="00A620CE" w:rsidP="00FD11D9">
            <w:pPr>
              <w:spacing w:before="20" w:after="20"/>
              <w:jc w:val="both"/>
              <w:rPr>
                <w:rFonts w:ascii="Segoe UI" w:hAnsi="Segoe UI" w:cs="Segoe UI"/>
                <w:i/>
                <w:iCs/>
                <w:sz w:val="18"/>
                <w:szCs w:val="18"/>
              </w:rPr>
            </w:pPr>
            <w:r w:rsidRPr="009130EE">
              <w:rPr>
                <w:rFonts w:ascii="Segoe UI" w:hAnsi="Segoe UI" w:cs="Segoe UI"/>
                <w:i/>
                <w:iCs/>
                <w:sz w:val="18"/>
                <w:szCs w:val="18"/>
              </w:rPr>
              <w:t>3</w:t>
            </w:r>
            <w:r w:rsidR="00BF07FD" w:rsidRPr="009130EE">
              <w:rPr>
                <w:rFonts w:ascii="Segoe UI" w:hAnsi="Segoe UI" w:cs="Segoe UI"/>
                <w:i/>
                <w:iCs/>
                <w:sz w:val="18"/>
                <w:szCs w:val="18"/>
              </w:rPr>
              <w:t>8.8</w:t>
            </w:r>
          </w:p>
        </w:tc>
      </w:tr>
    </w:tbl>
    <w:p w14:paraId="4D7EE617"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3233929A" w14:textId="77777777" w:rsidTr="0092285E">
        <w:tc>
          <w:tcPr>
            <w:tcW w:w="9625" w:type="dxa"/>
            <w:gridSpan w:val="7"/>
            <w:shd w:val="clear" w:color="auto" w:fill="D9D9D9" w:themeFill="background1" w:themeFillShade="D9"/>
          </w:tcPr>
          <w:p w14:paraId="7DE0C006" w14:textId="648DC7D4"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29. Spouse major allowance</w:t>
            </w:r>
          </w:p>
        </w:tc>
      </w:tr>
      <w:tr w:rsidR="00280E00" w:rsidRPr="00CB1E53" w14:paraId="6D85C006" w14:textId="77777777" w:rsidTr="0092285E">
        <w:tc>
          <w:tcPr>
            <w:tcW w:w="2425" w:type="dxa"/>
          </w:tcPr>
          <w:p w14:paraId="7F8BF17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6BC368E" w14:textId="77777777"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An allowance of (2019 -2020 is in amount of 18 000 lei; 2021 -18 900 lei: 2022 – 19 800 lei) applies in case of illness, disability, or for persons whose spouse died or was injured in defense of the state. Applies only if the spouse does not benefit from personal exemption</w:t>
            </w:r>
          </w:p>
        </w:tc>
      </w:tr>
      <w:tr w:rsidR="00280E00" w:rsidRPr="00CB1E53" w14:paraId="74966217" w14:textId="77777777" w:rsidTr="0092285E">
        <w:tc>
          <w:tcPr>
            <w:tcW w:w="2425" w:type="dxa"/>
          </w:tcPr>
          <w:p w14:paraId="3F24893C"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7B1A1B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1B83AD85" w14:textId="77777777" w:rsidTr="0092285E">
        <w:tc>
          <w:tcPr>
            <w:tcW w:w="2425" w:type="dxa"/>
          </w:tcPr>
          <w:p w14:paraId="483E009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DA8B064"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EEF9FBA" w14:textId="77777777" w:rsidTr="0092285E">
        <w:tc>
          <w:tcPr>
            <w:tcW w:w="2425" w:type="dxa"/>
          </w:tcPr>
          <w:p w14:paraId="25A47BD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22FCD9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Deduction of taxable income</w:t>
            </w:r>
          </w:p>
        </w:tc>
      </w:tr>
      <w:tr w:rsidR="00851A19" w:rsidRPr="00CB1E53" w14:paraId="77661F71" w14:textId="77777777" w:rsidTr="0092285E">
        <w:tc>
          <w:tcPr>
            <w:tcW w:w="2425" w:type="dxa"/>
          </w:tcPr>
          <w:p w14:paraId="79CF9C67"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CB002BF" w14:textId="399B36B9"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the comprehensive income concept, generated income should attract PIT at the flat rate of 12% if their combined income streams exceed the basic personal allowance of MDL 27,000 per year. </w:t>
            </w:r>
            <w:r>
              <w:rPr>
                <w:rFonts w:ascii="Segoe UI" w:hAnsi="Segoe UI" w:cs="Segoe UI"/>
                <w:sz w:val="18"/>
                <w:szCs w:val="18"/>
              </w:rPr>
              <w:t>A legislated lighter tax burden for surviving spouses</w:t>
            </w:r>
            <w:r w:rsidRPr="00CB1E53">
              <w:rPr>
                <w:rFonts w:ascii="Segoe UI" w:hAnsi="Segoe UI" w:cs="Segoe UI"/>
                <w:sz w:val="18"/>
                <w:szCs w:val="18"/>
              </w:rPr>
              <w:t xml:space="preserve"> </w:t>
            </w:r>
            <w:r>
              <w:rPr>
                <w:rFonts w:ascii="Segoe UI" w:hAnsi="Segoe UI" w:cs="Segoe UI"/>
                <w:sz w:val="18"/>
                <w:szCs w:val="18"/>
              </w:rPr>
              <w:t xml:space="preserve">or spouses with illness and disability </w:t>
            </w:r>
            <w:r w:rsidRPr="00CB1E53">
              <w:rPr>
                <w:rFonts w:ascii="Segoe UI" w:hAnsi="Segoe UI" w:cs="Segoe UI"/>
                <w:sz w:val="18"/>
                <w:szCs w:val="18"/>
              </w:rPr>
              <w:t>constitutes a tax expenditure.</w:t>
            </w:r>
          </w:p>
        </w:tc>
      </w:tr>
      <w:tr w:rsidR="00851A19" w:rsidRPr="00CB1E53" w14:paraId="0D5295F3" w14:textId="77777777" w:rsidTr="0092285E">
        <w:tc>
          <w:tcPr>
            <w:tcW w:w="2425" w:type="dxa"/>
          </w:tcPr>
          <w:p w14:paraId="23D12BE3"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A8D646E" w14:textId="77777777"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Art. 34 para. 2 of the TC</w:t>
            </w:r>
          </w:p>
        </w:tc>
      </w:tr>
      <w:tr w:rsidR="00851A19" w:rsidRPr="00CB1E53" w14:paraId="536AAEDF" w14:textId="77777777" w:rsidTr="0092285E">
        <w:trPr>
          <w:trHeight w:val="182"/>
        </w:trPr>
        <w:tc>
          <w:tcPr>
            <w:tcW w:w="2425" w:type="dxa"/>
            <w:vMerge w:val="restart"/>
          </w:tcPr>
          <w:p w14:paraId="344F316B"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D279ACE" w14:textId="77777777" w:rsidR="00851A19" w:rsidRPr="00CB1E53" w:rsidRDefault="00851A19" w:rsidP="00FD11D9">
            <w:pPr>
              <w:spacing w:before="20" w:after="20"/>
              <w:jc w:val="both"/>
              <w:rPr>
                <w:rFonts w:ascii="Segoe UI" w:hAnsi="Segoe UI" w:cs="Segoe UI"/>
                <w:sz w:val="18"/>
                <w:szCs w:val="18"/>
              </w:rPr>
            </w:pPr>
          </w:p>
        </w:tc>
      </w:tr>
      <w:tr w:rsidR="00851A19" w:rsidRPr="00CB1E53" w14:paraId="7C645D99" w14:textId="77777777" w:rsidTr="0092285E">
        <w:trPr>
          <w:trHeight w:val="182"/>
        </w:trPr>
        <w:tc>
          <w:tcPr>
            <w:tcW w:w="2425" w:type="dxa"/>
            <w:vMerge/>
          </w:tcPr>
          <w:p w14:paraId="3EC37947" w14:textId="77777777" w:rsidR="00851A19" w:rsidRPr="00CB1E53" w:rsidRDefault="00851A19" w:rsidP="00FD11D9">
            <w:pPr>
              <w:spacing w:before="20" w:after="20"/>
              <w:jc w:val="both"/>
              <w:rPr>
                <w:rFonts w:ascii="Segoe UI" w:hAnsi="Segoe UI" w:cs="Segoe UI"/>
                <w:b/>
                <w:bCs/>
                <w:sz w:val="18"/>
                <w:szCs w:val="18"/>
              </w:rPr>
            </w:pPr>
          </w:p>
        </w:tc>
        <w:tc>
          <w:tcPr>
            <w:tcW w:w="3462" w:type="dxa"/>
            <w:gridSpan w:val="3"/>
          </w:tcPr>
          <w:p w14:paraId="6C107195" w14:textId="77777777"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4DE24455" w14:textId="77777777"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851A19" w:rsidRPr="00CB1E53" w14:paraId="134F2409" w14:textId="77777777" w:rsidTr="0092285E">
        <w:tc>
          <w:tcPr>
            <w:tcW w:w="2425" w:type="dxa"/>
          </w:tcPr>
          <w:p w14:paraId="3167A5ED"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0554BF0" w14:textId="77777777"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Tax return</w:t>
            </w:r>
          </w:p>
        </w:tc>
      </w:tr>
      <w:tr w:rsidR="00851A19" w:rsidRPr="00CB1E53" w14:paraId="52277DA8" w14:textId="77777777" w:rsidTr="0092285E">
        <w:tc>
          <w:tcPr>
            <w:tcW w:w="2425" w:type="dxa"/>
          </w:tcPr>
          <w:p w14:paraId="5E262BD5"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Estimation Method</w:t>
            </w:r>
          </w:p>
        </w:tc>
        <w:tc>
          <w:tcPr>
            <w:tcW w:w="7200" w:type="dxa"/>
            <w:gridSpan w:val="6"/>
          </w:tcPr>
          <w:p w14:paraId="796C7DEA" w14:textId="77777777"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Microsimulation</w:t>
            </w:r>
          </w:p>
        </w:tc>
      </w:tr>
      <w:tr w:rsidR="00851A19" w:rsidRPr="00CB1E53" w14:paraId="10EBA1E0" w14:textId="77777777" w:rsidTr="0092285E">
        <w:tc>
          <w:tcPr>
            <w:tcW w:w="2425" w:type="dxa"/>
          </w:tcPr>
          <w:p w14:paraId="500C756A"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901461E" w14:textId="77777777" w:rsidR="00851A19" w:rsidRPr="00CB1E53" w:rsidRDefault="00851A19" w:rsidP="00FD11D9">
            <w:pPr>
              <w:spacing w:before="20" w:after="20"/>
              <w:jc w:val="both"/>
              <w:rPr>
                <w:rFonts w:ascii="Segoe UI" w:hAnsi="Segoe UI" w:cs="Segoe UI"/>
                <w:sz w:val="18"/>
                <w:szCs w:val="18"/>
              </w:rPr>
            </w:pPr>
          </w:p>
        </w:tc>
      </w:tr>
      <w:tr w:rsidR="00851A19" w:rsidRPr="00CB1E53" w14:paraId="3128A188" w14:textId="77777777" w:rsidTr="0092285E">
        <w:tc>
          <w:tcPr>
            <w:tcW w:w="2425" w:type="dxa"/>
          </w:tcPr>
          <w:p w14:paraId="3AADD1F6"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95C9E10" w14:textId="30072C8A" w:rsidR="00851A19" w:rsidRPr="00CB1E53" w:rsidRDefault="00851A19"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851A19" w:rsidRPr="00CB1E53" w14:paraId="6CC7D512" w14:textId="77777777" w:rsidTr="0092285E">
        <w:trPr>
          <w:trHeight w:val="91"/>
        </w:trPr>
        <w:tc>
          <w:tcPr>
            <w:tcW w:w="2425" w:type="dxa"/>
            <w:vMerge w:val="restart"/>
          </w:tcPr>
          <w:p w14:paraId="7EC9B073" w14:textId="77777777" w:rsidR="00851A19" w:rsidRPr="00CB1E53" w:rsidRDefault="00851A19" w:rsidP="00FD11D9">
            <w:pPr>
              <w:spacing w:before="20" w:after="20"/>
              <w:jc w:val="both"/>
              <w:rPr>
                <w:rFonts w:ascii="Segoe UI" w:hAnsi="Segoe UI" w:cs="Segoe UI"/>
                <w:b/>
                <w:bCs/>
                <w:sz w:val="18"/>
                <w:szCs w:val="18"/>
              </w:rPr>
            </w:pPr>
          </w:p>
        </w:tc>
        <w:tc>
          <w:tcPr>
            <w:tcW w:w="1385" w:type="dxa"/>
          </w:tcPr>
          <w:p w14:paraId="1A832803"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4A2B4DC"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101377C"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6BA688A"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8493D77" w14:textId="77777777" w:rsidR="00851A19" w:rsidRPr="00CB1E53" w:rsidRDefault="00851A19"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851A19" w:rsidRPr="00CB1E53" w14:paraId="191BEE54" w14:textId="77777777" w:rsidTr="007B38FB">
        <w:trPr>
          <w:trHeight w:val="91"/>
        </w:trPr>
        <w:tc>
          <w:tcPr>
            <w:tcW w:w="2425" w:type="dxa"/>
            <w:vMerge/>
          </w:tcPr>
          <w:p w14:paraId="49460162" w14:textId="77777777" w:rsidR="00851A19" w:rsidRPr="00CB1E53" w:rsidRDefault="00851A19" w:rsidP="00FD11D9">
            <w:pPr>
              <w:spacing w:before="20" w:after="20"/>
              <w:jc w:val="both"/>
              <w:rPr>
                <w:rFonts w:ascii="Segoe UI" w:hAnsi="Segoe UI" w:cs="Segoe UI"/>
                <w:b/>
                <w:bCs/>
                <w:sz w:val="18"/>
                <w:szCs w:val="18"/>
              </w:rPr>
            </w:pPr>
          </w:p>
        </w:tc>
        <w:tc>
          <w:tcPr>
            <w:tcW w:w="1385" w:type="dxa"/>
          </w:tcPr>
          <w:p w14:paraId="1DAFF188" w14:textId="366350CD" w:rsidR="00851A19"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01D1BB96" w14:textId="1B1F937A" w:rsidR="00851A19"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16438192" w14:textId="3DFD566C" w:rsidR="00851A19" w:rsidRPr="00312185" w:rsidRDefault="00851A19" w:rsidP="00FD11D9">
            <w:pPr>
              <w:spacing w:before="20" w:after="20"/>
              <w:jc w:val="both"/>
              <w:rPr>
                <w:rFonts w:ascii="Segoe UI" w:hAnsi="Segoe UI" w:cs="Segoe UI"/>
                <w:bCs/>
                <w:sz w:val="18"/>
                <w:szCs w:val="18"/>
              </w:rPr>
            </w:pPr>
            <w:r w:rsidRPr="00312185">
              <w:rPr>
                <w:rFonts w:ascii="Segoe UI" w:hAnsi="Segoe UI" w:cs="Segoe UI"/>
                <w:bCs/>
                <w:sz w:val="18"/>
                <w:szCs w:val="18"/>
              </w:rPr>
              <w:t>11.9</w:t>
            </w:r>
          </w:p>
        </w:tc>
        <w:tc>
          <w:tcPr>
            <w:tcW w:w="1385" w:type="dxa"/>
            <w:shd w:val="clear" w:color="auto" w:fill="E6E6E6" w:themeFill="background1" w:themeFillShade="E6"/>
          </w:tcPr>
          <w:p w14:paraId="36CE6E38" w14:textId="266A2ED7" w:rsidR="00851A19" w:rsidRPr="009130EE" w:rsidRDefault="00851A19" w:rsidP="00FD11D9">
            <w:pPr>
              <w:spacing w:before="20" w:after="20"/>
              <w:jc w:val="both"/>
              <w:rPr>
                <w:rFonts w:ascii="Segoe UI" w:hAnsi="Segoe UI" w:cs="Segoe UI"/>
                <w:i/>
                <w:iCs/>
                <w:sz w:val="18"/>
                <w:szCs w:val="18"/>
              </w:rPr>
            </w:pPr>
            <w:r w:rsidRPr="009130EE">
              <w:rPr>
                <w:rFonts w:ascii="Segoe UI" w:hAnsi="Segoe UI" w:cs="Segoe UI"/>
                <w:i/>
                <w:iCs/>
                <w:sz w:val="18"/>
                <w:szCs w:val="18"/>
              </w:rPr>
              <w:t>13.5</w:t>
            </w:r>
          </w:p>
        </w:tc>
        <w:tc>
          <w:tcPr>
            <w:tcW w:w="1660" w:type="dxa"/>
            <w:shd w:val="clear" w:color="auto" w:fill="E6E6E6" w:themeFill="background1" w:themeFillShade="E6"/>
          </w:tcPr>
          <w:p w14:paraId="28672C51" w14:textId="5D4D6A4D" w:rsidR="00851A19" w:rsidRPr="009130EE" w:rsidRDefault="00851A19" w:rsidP="00FD11D9">
            <w:pPr>
              <w:spacing w:before="20" w:after="20"/>
              <w:jc w:val="both"/>
              <w:rPr>
                <w:rFonts w:ascii="Segoe UI" w:hAnsi="Segoe UI" w:cs="Segoe UI"/>
                <w:i/>
                <w:iCs/>
                <w:sz w:val="18"/>
                <w:szCs w:val="18"/>
              </w:rPr>
            </w:pPr>
            <w:r w:rsidRPr="009130EE">
              <w:rPr>
                <w:rFonts w:ascii="Segoe UI" w:hAnsi="Segoe UI" w:cs="Segoe UI"/>
                <w:i/>
                <w:iCs/>
                <w:sz w:val="18"/>
                <w:szCs w:val="18"/>
              </w:rPr>
              <w:t>14.8</w:t>
            </w:r>
          </w:p>
        </w:tc>
      </w:tr>
    </w:tbl>
    <w:p w14:paraId="5F92CA41" w14:textId="77777777" w:rsidR="00280E00" w:rsidRPr="00CB1E53" w:rsidRDefault="00280E0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5896E934" w14:textId="77777777" w:rsidTr="0092285E">
        <w:tc>
          <w:tcPr>
            <w:tcW w:w="9625" w:type="dxa"/>
            <w:gridSpan w:val="7"/>
            <w:shd w:val="clear" w:color="auto" w:fill="D9D9D9" w:themeFill="background1" w:themeFillShade="D9"/>
          </w:tcPr>
          <w:p w14:paraId="0D3580B2" w14:textId="2E3803C8"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30. Allowance for a child and other dependent</w:t>
            </w:r>
          </w:p>
        </w:tc>
      </w:tr>
      <w:tr w:rsidR="00280E00" w:rsidRPr="00CB1E53" w14:paraId="6CF9A4D6" w14:textId="77777777" w:rsidTr="0092285E">
        <w:tc>
          <w:tcPr>
            <w:tcW w:w="2425" w:type="dxa"/>
          </w:tcPr>
          <w:p w14:paraId="307D671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55E929E9" w14:textId="22F070E3"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 xml:space="preserve">An allowance is in amount of 3 000 </w:t>
            </w:r>
            <w:r w:rsidR="00D51E9B">
              <w:rPr>
                <w:rFonts w:ascii="Segoe UI" w:hAnsi="Segoe UI" w:cs="Segoe UI"/>
                <w:sz w:val="18"/>
                <w:szCs w:val="18"/>
              </w:rPr>
              <w:t>MD</w:t>
            </w:r>
            <w:r w:rsidR="00330AAE">
              <w:rPr>
                <w:rFonts w:ascii="Segoe UI" w:hAnsi="Segoe UI" w:cs="Segoe UI"/>
                <w:sz w:val="18"/>
                <w:szCs w:val="18"/>
              </w:rPr>
              <w:t>L</w:t>
            </w:r>
            <w:r w:rsidRPr="00CB1E53">
              <w:rPr>
                <w:rFonts w:ascii="Segoe UI" w:hAnsi="Segoe UI" w:cs="Segoe UI"/>
                <w:sz w:val="18"/>
                <w:szCs w:val="18"/>
              </w:rPr>
              <w:t xml:space="preserve"> for period 2019-2020; in 2021 – it was 4 500 </w:t>
            </w:r>
            <w:r w:rsidR="00D51E9B">
              <w:rPr>
                <w:rFonts w:ascii="Segoe UI" w:hAnsi="Segoe UI" w:cs="Segoe UI"/>
                <w:sz w:val="18"/>
                <w:szCs w:val="18"/>
              </w:rPr>
              <w:t>MD</w:t>
            </w:r>
            <w:r w:rsidR="00330AAE">
              <w:rPr>
                <w:rFonts w:ascii="Segoe UI" w:hAnsi="Segoe UI" w:cs="Segoe UI"/>
                <w:sz w:val="18"/>
                <w:szCs w:val="18"/>
              </w:rPr>
              <w:t>L:</w:t>
            </w:r>
            <w:r w:rsidRPr="00CB1E53">
              <w:rPr>
                <w:rFonts w:ascii="Segoe UI" w:hAnsi="Segoe UI" w:cs="Segoe UI"/>
                <w:sz w:val="18"/>
                <w:szCs w:val="18"/>
              </w:rPr>
              <w:t xml:space="preserve">; 2022 – 9 000 </w:t>
            </w:r>
            <w:r w:rsidR="00D51E9B">
              <w:rPr>
                <w:rFonts w:ascii="Segoe UI" w:hAnsi="Segoe UI" w:cs="Segoe UI"/>
                <w:sz w:val="18"/>
                <w:szCs w:val="18"/>
              </w:rPr>
              <w:t>MD</w:t>
            </w:r>
            <w:r w:rsidR="00330AAE">
              <w:rPr>
                <w:rFonts w:ascii="Segoe UI" w:hAnsi="Segoe UI" w:cs="Segoe UI"/>
                <w:sz w:val="18"/>
                <w:szCs w:val="18"/>
              </w:rPr>
              <w:t>L</w:t>
            </w:r>
            <w:r w:rsidRPr="00CB1E53">
              <w:rPr>
                <w:rFonts w:ascii="Segoe UI" w:hAnsi="Segoe UI" w:cs="Segoe UI"/>
                <w:sz w:val="18"/>
                <w:szCs w:val="18"/>
              </w:rPr>
              <w:t>) is granted for each child and other dependents of the taxpayer</w:t>
            </w:r>
          </w:p>
        </w:tc>
      </w:tr>
      <w:tr w:rsidR="00280E00" w:rsidRPr="00CB1E53" w14:paraId="382EFE74" w14:textId="77777777" w:rsidTr="0092285E">
        <w:tc>
          <w:tcPr>
            <w:tcW w:w="2425" w:type="dxa"/>
          </w:tcPr>
          <w:p w14:paraId="403593B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271860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384ECBC8" w14:textId="77777777" w:rsidTr="0092285E">
        <w:tc>
          <w:tcPr>
            <w:tcW w:w="2425" w:type="dxa"/>
          </w:tcPr>
          <w:p w14:paraId="7DE468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E78B89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Taxpayers with a child(ren) and dependents</w:t>
            </w:r>
          </w:p>
        </w:tc>
      </w:tr>
      <w:tr w:rsidR="00280E00" w:rsidRPr="00CB1E53" w14:paraId="72C030BF" w14:textId="77777777" w:rsidTr="0092285E">
        <w:tc>
          <w:tcPr>
            <w:tcW w:w="2425" w:type="dxa"/>
          </w:tcPr>
          <w:p w14:paraId="41EC775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7AB53F2"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Deduction of taxable income</w:t>
            </w:r>
          </w:p>
        </w:tc>
      </w:tr>
      <w:tr w:rsidR="00280E00" w:rsidRPr="00CB1E53" w14:paraId="1023951B" w14:textId="77777777" w:rsidTr="0092285E">
        <w:tc>
          <w:tcPr>
            <w:tcW w:w="2425" w:type="dxa"/>
          </w:tcPr>
          <w:p w14:paraId="521AF45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F1B94AD" w14:textId="3510BD91"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Through accessing this additional allowance of a capped amount, an individual with children or dependents can reduce his/her tax liability, to a greater extent than taxpayers without children or dependents, translating into a lower tax burden than in the standard PIT regime</w:t>
            </w:r>
            <w:r w:rsidR="00851A19">
              <w:rPr>
                <w:rFonts w:ascii="Segoe UI" w:hAnsi="Segoe UI" w:cs="Segoe UI"/>
                <w:sz w:val="18"/>
                <w:szCs w:val="18"/>
              </w:rPr>
              <w:t xml:space="preserve">. This is a tax </w:t>
            </w:r>
            <w:r w:rsidR="001D20E0">
              <w:rPr>
                <w:rFonts w:ascii="Segoe UI" w:hAnsi="Segoe UI" w:cs="Segoe UI"/>
                <w:sz w:val="18"/>
                <w:szCs w:val="18"/>
              </w:rPr>
              <w:t>expenditure</w:t>
            </w:r>
            <w:r w:rsidR="00851A19">
              <w:rPr>
                <w:rFonts w:ascii="Segoe UI" w:hAnsi="Segoe UI" w:cs="Segoe UI"/>
                <w:sz w:val="18"/>
                <w:szCs w:val="18"/>
              </w:rPr>
              <w:t>.</w:t>
            </w:r>
          </w:p>
        </w:tc>
      </w:tr>
      <w:tr w:rsidR="00280E00" w:rsidRPr="00CB1E53" w14:paraId="2144D101" w14:textId="77777777" w:rsidTr="0092285E">
        <w:tc>
          <w:tcPr>
            <w:tcW w:w="2425" w:type="dxa"/>
          </w:tcPr>
          <w:p w14:paraId="401BE1C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8B19F9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35 of the TC</w:t>
            </w:r>
          </w:p>
        </w:tc>
      </w:tr>
      <w:tr w:rsidR="00280E00" w:rsidRPr="00CB1E53" w14:paraId="527B6EB7" w14:textId="77777777" w:rsidTr="0092285E">
        <w:trPr>
          <w:trHeight w:val="182"/>
        </w:trPr>
        <w:tc>
          <w:tcPr>
            <w:tcW w:w="2425" w:type="dxa"/>
            <w:vMerge w:val="restart"/>
          </w:tcPr>
          <w:p w14:paraId="6812E91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8849CAD"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0F529D3" w14:textId="77777777" w:rsidTr="0092285E">
        <w:trPr>
          <w:trHeight w:val="182"/>
        </w:trPr>
        <w:tc>
          <w:tcPr>
            <w:tcW w:w="2425" w:type="dxa"/>
            <w:vMerge/>
          </w:tcPr>
          <w:p w14:paraId="64534276"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69299CDB"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7C735E4A"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10C5CC93" w14:textId="77777777" w:rsidTr="0092285E">
        <w:tc>
          <w:tcPr>
            <w:tcW w:w="2425" w:type="dxa"/>
          </w:tcPr>
          <w:p w14:paraId="0852880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13A3310"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return</w:t>
            </w:r>
          </w:p>
        </w:tc>
      </w:tr>
      <w:tr w:rsidR="00280E00" w:rsidRPr="00CB1E53" w14:paraId="416E54E1" w14:textId="77777777" w:rsidTr="0092285E">
        <w:tc>
          <w:tcPr>
            <w:tcW w:w="2425" w:type="dxa"/>
          </w:tcPr>
          <w:p w14:paraId="0F45DC2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61A7E5C"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Microsimulation</w:t>
            </w:r>
          </w:p>
        </w:tc>
      </w:tr>
      <w:tr w:rsidR="00280E00" w:rsidRPr="00CB1E53" w14:paraId="44B56AC2" w14:textId="77777777" w:rsidTr="0092285E">
        <w:tc>
          <w:tcPr>
            <w:tcW w:w="2425" w:type="dxa"/>
          </w:tcPr>
          <w:p w14:paraId="40BB243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6682738" w14:textId="77777777" w:rsidR="00280E00" w:rsidRPr="00CB1E53" w:rsidRDefault="00280E00" w:rsidP="00FD11D9">
            <w:pPr>
              <w:spacing w:before="20" w:after="20"/>
              <w:jc w:val="both"/>
              <w:rPr>
                <w:rFonts w:ascii="Segoe UI" w:hAnsi="Segoe UI" w:cs="Segoe UI"/>
                <w:sz w:val="18"/>
                <w:szCs w:val="18"/>
              </w:rPr>
            </w:pPr>
          </w:p>
        </w:tc>
      </w:tr>
      <w:tr w:rsidR="00280E00" w:rsidRPr="00CB1E53" w14:paraId="12E495EE" w14:textId="77777777" w:rsidTr="0092285E">
        <w:tc>
          <w:tcPr>
            <w:tcW w:w="2425" w:type="dxa"/>
          </w:tcPr>
          <w:p w14:paraId="7ECD5F0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7C3857B" w14:textId="421820B4"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06671CFC" w14:textId="77777777" w:rsidTr="0092285E">
        <w:trPr>
          <w:trHeight w:val="91"/>
        </w:trPr>
        <w:tc>
          <w:tcPr>
            <w:tcW w:w="2425" w:type="dxa"/>
            <w:vMerge w:val="restart"/>
          </w:tcPr>
          <w:p w14:paraId="6658818F"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6C6F2A55"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FB7E17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C522D62"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7A3F2A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79FBECA"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1CBB1857" w14:textId="77777777" w:rsidTr="007B38FB">
        <w:trPr>
          <w:trHeight w:val="91"/>
        </w:trPr>
        <w:tc>
          <w:tcPr>
            <w:tcW w:w="2425" w:type="dxa"/>
            <w:vMerge/>
          </w:tcPr>
          <w:p w14:paraId="3CCF9B9B"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03915BA9" w14:textId="25698258"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7A760768" w14:textId="5BBA2755"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1FECEE6F" w14:textId="53ECB6CA" w:rsidR="00280E00" w:rsidRPr="0072252A" w:rsidRDefault="00280E00" w:rsidP="00FD11D9">
            <w:pPr>
              <w:spacing w:before="20" w:after="20"/>
              <w:jc w:val="both"/>
              <w:rPr>
                <w:rFonts w:ascii="Segoe UI" w:hAnsi="Segoe UI"/>
                <w:bCs/>
                <w:sz w:val="18"/>
              </w:rPr>
            </w:pPr>
            <w:r w:rsidRPr="0072252A">
              <w:rPr>
                <w:rFonts w:ascii="Segoe UI" w:hAnsi="Segoe UI" w:cs="Segoe UI"/>
                <w:bCs/>
                <w:sz w:val="18"/>
                <w:szCs w:val="18"/>
              </w:rPr>
              <w:t>131.8</w:t>
            </w:r>
          </w:p>
        </w:tc>
        <w:tc>
          <w:tcPr>
            <w:tcW w:w="1385" w:type="dxa"/>
            <w:shd w:val="clear" w:color="auto" w:fill="E6E6E6" w:themeFill="background1" w:themeFillShade="E6"/>
          </w:tcPr>
          <w:p w14:paraId="5F83D7C9" w14:textId="76B895CA" w:rsidR="009A2941" w:rsidRPr="009130EE" w:rsidRDefault="009A2941" w:rsidP="00FD11D9">
            <w:pPr>
              <w:spacing w:before="20" w:after="20"/>
              <w:jc w:val="both"/>
              <w:rPr>
                <w:rFonts w:ascii="Segoe UI" w:hAnsi="Segoe UI" w:cs="Segoe UI"/>
                <w:i/>
                <w:iCs/>
                <w:sz w:val="18"/>
                <w:szCs w:val="18"/>
              </w:rPr>
            </w:pPr>
            <w:r w:rsidRPr="009130EE">
              <w:rPr>
                <w:rFonts w:ascii="Segoe UI" w:hAnsi="Segoe UI" w:cs="Segoe UI"/>
                <w:i/>
                <w:iCs/>
                <w:sz w:val="18"/>
                <w:szCs w:val="18"/>
              </w:rPr>
              <w:t>149.2</w:t>
            </w:r>
          </w:p>
        </w:tc>
        <w:tc>
          <w:tcPr>
            <w:tcW w:w="1660" w:type="dxa"/>
            <w:shd w:val="clear" w:color="auto" w:fill="E6E6E6" w:themeFill="background1" w:themeFillShade="E6"/>
          </w:tcPr>
          <w:p w14:paraId="5FFA3473" w14:textId="49087F4D" w:rsidR="00033B5A" w:rsidRPr="009130EE" w:rsidRDefault="0047738F" w:rsidP="00FD11D9">
            <w:pPr>
              <w:spacing w:before="20" w:after="20"/>
              <w:jc w:val="both"/>
              <w:rPr>
                <w:rFonts w:ascii="Segoe UI" w:hAnsi="Segoe UI" w:cs="Segoe UI"/>
                <w:i/>
                <w:iCs/>
                <w:sz w:val="18"/>
                <w:szCs w:val="18"/>
              </w:rPr>
            </w:pPr>
            <w:r w:rsidRPr="009130EE">
              <w:rPr>
                <w:rFonts w:ascii="Segoe UI" w:hAnsi="Segoe UI" w:cs="Segoe UI"/>
                <w:i/>
                <w:iCs/>
                <w:sz w:val="18"/>
                <w:szCs w:val="18"/>
              </w:rPr>
              <w:t>163.9</w:t>
            </w:r>
          </w:p>
        </w:tc>
      </w:tr>
    </w:tbl>
    <w:p w14:paraId="50A17F0C" w14:textId="7296C162" w:rsidR="00280E00" w:rsidRDefault="00280E00" w:rsidP="00FD11D9">
      <w:pPr>
        <w:spacing w:before="20" w:after="20" w:line="240" w:lineRule="auto"/>
        <w:jc w:val="both"/>
        <w:rPr>
          <w:rFonts w:ascii="Segoe UI" w:hAnsi="Segoe UI" w:cs="Segoe UI"/>
          <w:b/>
          <w:bCs/>
          <w:sz w:val="18"/>
          <w:szCs w:val="18"/>
        </w:rPr>
      </w:pPr>
    </w:p>
    <w:p w14:paraId="1C85AF96" w14:textId="604C81E8" w:rsidR="001D20E0" w:rsidRDefault="001D20E0" w:rsidP="00FD11D9">
      <w:pPr>
        <w:spacing w:before="20" w:after="20" w:line="240" w:lineRule="auto"/>
        <w:jc w:val="both"/>
        <w:rPr>
          <w:rFonts w:ascii="Segoe UI" w:hAnsi="Segoe UI" w:cs="Segoe UI"/>
          <w:b/>
          <w:bCs/>
          <w:sz w:val="18"/>
          <w:szCs w:val="18"/>
        </w:rPr>
      </w:pPr>
    </w:p>
    <w:p w14:paraId="72209C03" w14:textId="6D677E86" w:rsidR="001D20E0" w:rsidRDefault="001D20E0" w:rsidP="00FD11D9">
      <w:pPr>
        <w:spacing w:before="20" w:after="20" w:line="240" w:lineRule="auto"/>
        <w:jc w:val="both"/>
        <w:rPr>
          <w:rFonts w:ascii="Segoe UI" w:hAnsi="Segoe UI" w:cs="Segoe UI"/>
          <w:b/>
          <w:bCs/>
          <w:sz w:val="18"/>
          <w:szCs w:val="18"/>
        </w:rPr>
      </w:pPr>
    </w:p>
    <w:p w14:paraId="366DDDA8" w14:textId="77777777" w:rsidR="001D20E0" w:rsidRPr="00CB1E53" w:rsidRDefault="001D20E0"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280E00" w:rsidRPr="00CB1E53" w14:paraId="6649FED1" w14:textId="77777777" w:rsidTr="0092285E">
        <w:tc>
          <w:tcPr>
            <w:tcW w:w="9625" w:type="dxa"/>
            <w:gridSpan w:val="7"/>
            <w:shd w:val="clear" w:color="auto" w:fill="D9D9D9" w:themeFill="background1" w:themeFillShade="D9"/>
          </w:tcPr>
          <w:bookmarkEnd w:id="42"/>
          <w:p w14:paraId="5E93C719" w14:textId="649D4B08"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31. Major allowance for a child and other dependent with disabilities</w:t>
            </w:r>
          </w:p>
        </w:tc>
      </w:tr>
      <w:tr w:rsidR="00280E00" w:rsidRPr="00CB1E53" w14:paraId="1B378801" w14:textId="77777777" w:rsidTr="0092285E">
        <w:tc>
          <w:tcPr>
            <w:tcW w:w="2425" w:type="dxa"/>
          </w:tcPr>
          <w:p w14:paraId="3FC197F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0F03BEC" w14:textId="5B8ECB4B" w:rsidR="00280E00" w:rsidRPr="00CB1E53" w:rsidRDefault="00280E00"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 xml:space="preserve">An allowance of (2019-2020 is in amount of </w:t>
            </w:r>
            <w:r w:rsidR="00D51E9B">
              <w:rPr>
                <w:rFonts w:ascii="Segoe UI" w:hAnsi="Segoe UI" w:cs="Segoe UI"/>
                <w:sz w:val="18"/>
                <w:szCs w:val="18"/>
              </w:rPr>
              <w:t>MD</w:t>
            </w:r>
            <w:r w:rsidR="00C05AE0">
              <w:rPr>
                <w:rFonts w:ascii="Segoe UI" w:hAnsi="Segoe UI" w:cs="Segoe UI"/>
                <w:sz w:val="18"/>
                <w:szCs w:val="18"/>
              </w:rPr>
              <w:t>L</w:t>
            </w:r>
            <w:r w:rsidR="00D51E9B">
              <w:rPr>
                <w:rFonts w:ascii="Segoe UI" w:hAnsi="Segoe UI" w:cs="Segoe UI"/>
                <w:sz w:val="18"/>
                <w:szCs w:val="18"/>
              </w:rPr>
              <w:t xml:space="preserve"> </w:t>
            </w:r>
            <w:r w:rsidRPr="00CB1E53">
              <w:rPr>
                <w:rFonts w:ascii="Segoe UI" w:hAnsi="Segoe UI" w:cs="Segoe UI"/>
                <w:sz w:val="18"/>
                <w:szCs w:val="18"/>
              </w:rPr>
              <w:t xml:space="preserve">18 000; 2021 </w:t>
            </w:r>
            <w:r w:rsidR="00D51E9B">
              <w:rPr>
                <w:rFonts w:ascii="Segoe UI" w:hAnsi="Segoe UI" w:cs="Segoe UI"/>
                <w:sz w:val="18"/>
                <w:szCs w:val="18"/>
              </w:rPr>
              <w:t>–</w:t>
            </w:r>
            <w:r w:rsidRPr="00CB1E53">
              <w:rPr>
                <w:rFonts w:ascii="Segoe UI" w:hAnsi="Segoe UI" w:cs="Segoe UI"/>
                <w:sz w:val="18"/>
                <w:szCs w:val="18"/>
              </w:rPr>
              <w:t xml:space="preserve"> </w:t>
            </w:r>
            <w:r w:rsidR="00D51E9B">
              <w:rPr>
                <w:rFonts w:ascii="Segoe UI" w:hAnsi="Segoe UI" w:cs="Segoe UI"/>
                <w:sz w:val="18"/>
                <w:szCs w:val="18"/>
              </w:rPr>
              <w:t>MD</w:t>
            </w:r>
            <w:r w:rsidR="00C05AE0">
              <w:rPr>
                <w:rFonts w:ascii="Segoe UI" w:hAnsi="Segoe UI" w:cs="Segoe UI"/>
                <w:sz w:val="18"/>
                <w:szCs w:val="18"/>
              </w:rPr>
              <w:t>L</w:t>
            </w:r>
            <w:r w:rsidR="00D51E9B">
              <w:rPr>
                <w:rFonts w:ascii="Segoe UI" w:hAnsi="Segoe UI" w:cs="Segoe UI"/>
                <w:sz w:val="18"/>
                <w:szCs w:val="18"/>
              </w:rPr>
              <w:t xml:space="preserve"> </w:t>
            </w:r>
            <w:r w:rsidRPr="00CB1E53">
              <w:rPr>
                <w:rFonts w:ascii="Segoe UI" w:hAnsi="Segoe UI" w:cs="Segoe UI"/>
                <w:sz w:val="18"/>
                <w:szCs w:val="18"/>
              </w:rPr>
              <w:t>18 900</w:t>
            </w:r>
            <w:r w:rsidR="00D51E9B">
              <w:rPr>
                <w:rFonts w:ascii="Segoe UI" w:hAnsi="Segoe UI" w:cs="Segoe UI"/>
                <w:sz w:val="18"/>
                <w:szCs w:val="18"/>
              </w:rPr>
              <w:t>;</w:t>
            </w:r>
            <w:r w:rsidRPr="00CB1E53">
              <w:rPr>
                <w:rFonts w:ascii="Segoe UI" w:hAnsi="Segoe UI" w:cs="Segoe UI"/>
                <w:sz w:val="18"/>
                <w:szCs w:val="18"/>
              </w:rPr>
              <w:t xml:space="preserve"> 2022 – </w:t>
            </w:r>
            <w:r w:rsidR="00D51E9B">
              <w:rPr>
                <w:rFonts w:ascii="Segoe UI" w:hAnsi="Segoe UI" w:cs="Segoe UI"/>
                <w:sz w:val="18"/>
                <w:szCs w:val="18"/>
              </w:rPr>
              <w:t>MD</w:t>
            </w:r>
            <w:r w:rsidR="00C05AE0">
              <w:rPr>
                <w:rFonts w:ascii="Segoe UI" w:hAnsi="Segoe UI" w:cs="Segoe UI"/>
                <w:sz w:val="18"/>
                <w:szCs w:val="18"/>
              </w:rPr>
              <w:t>L</w:t>
            </w:r>
            <w:r w:rsidR="00D51E9B">
              <w:rPr>
                <w:rFonts w:ascii="Segoe UI" w:hAnsi="Segoe UI" w:cs="Segoe UI"/>
                <w:sz w:val="18"/>
                <w:szCs w:val="18"/>
              </w:rPr>
              <w:t xml:space="preserve"> </w:t>
            </w:r>
            <w:r w:rsidRPr="00CB1E53">
              <w:rPr>
                <w:rFonts w:ascii="Segoe UI" w:hAnsi="Segoe UI" w:cs="Segoe UI"/>
                <w:sz w:val="18"/>
                <w:szCs w:val="18"/>
              </w:rPr>
              <w:t>19 800) is granted for each child and other dependents with disabilities due to a congenital or childhood illness, people with severe and severe disabilities</w:t>
            </w:r>
            <w:r w:rsidR="00D51E9B">
              <w:rPr>
                <w:rFonts w:ascii="Segoe UI" w:hAnsi="Segoe UI" w:cs="Segoe UI"/>
                <w:sz w:val="18"/>
                <w:szCs w:val="18"/>
              </w:rPr>
              <w:t>.</w:t>
            </w:r>
          </w:p>
        </w:tc>
      </w:tr>
      <w:tr w:rsidR="00280E00" w:rsidRPr="00CB1E53" w14:paraId="47A8BDEE" w14:textId="77777777" w:rsidTr="0092285E">
        <w:tc>
          <w:tcPr>
            <w:tcW w:w="2425" w:type="dxa"/>
          </w:tcPr>
          <w:p w14:paraId="3C695BD7"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0F5256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PIT</w:t>
            </w:r>
          </w:p>
        </w:tc>
      </w:tr>
      <w:tr w:rsidR="00280E00" w:rsidRPr="00CB1E53" w14:paraId="4BFDC8D3" w14:textId="77777777" w:rsidTr="0092285E">
        <w:tc>
          <w:tcPr>
            <w:tcW w:w="2425" w:type="dxa"/>
          </w:tcPr>
          <w:p w14:paraId="2F8B215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789C95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Taxpayers with a child(ren) and dependents with disabilities</w:t>
            </w:r>
          </w:p>
        </w:tc>
      </w:tr>
      <w:tr w:rsidR="00280E00" w:rsidRPr="00CB1E53" w14:paraId="2DE5A043" w14:textId="77777777" w:rsidTr="0092285E">
        <w:tc>
          <w:tcPr>
            <w:tcW w:w="2425" w:type="dxa"/>
          </w:tcPr>
          <w:p w14:paraId="620E25A9"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3C7AA85"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Deduction of taxable income</w:t>
            </w:r>
          </w:p>
        </w:tc>
      </w:tr>
      <w:tr w:rsidR="00280E00" w:rsidRPr="00CB1E53" w14:paraId="1B809A33" w14:textId="77777777" w:rsidTr="0092285E">
        <w:tc>
          <w:tcPr>
            <w:tcW w:w="2425" w:type="dxa"/>
          </w:tcPr>
          <w:p w14:paraId="5D41EC0D"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5099407" w14:textId="4F989DFE"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Through accessing this additional allowance of a capped amount, an individual with children or dependents with disabilities can reduce his/her tax liability, to a greater extent than taxpayers without children or dependents with disabilities, translating into a lower tax burden than in the standard PIT regime</w:t>
            </w:r>
            <w:r w:rsidR="001D20E0">
              <w:rPr>
                <w:rFonts w:ascii="Segoe UI" w:hAnsi="Segoe UI" w:cs="Segoe UI"/>
                <w:sz w:val="18"/>
                <w:szCs w:val="18"/>
              </w:rPr>
              <w:t>. This is a tax expenditure.</w:t>
            </w:r>
          </w:p>
        </w:tc>
      </w:tr>
      <w:tr w:rsidR="00280E00" w:rsidRPr="00CB1E53" w14:paraId="232F73B8" w14:textId="77777777" w:rsidTr="0092285E">
        <w:tc>
          <w:tcPr>
            <w:tcW w:w="2425" w:type="dxa"/>
          </w:tcPr>
          <w:p w14:paraId="2FA85F3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959556F"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Art. 35 of the TC</w:t>
            </w:r>
          </w:p>
        </w:tc>
      </w:tr>
      <w:tr w:rsidR="00280E00" w:rsidRPr="00CB1E53" w14:paraId="293B2A9B" w14:textId="77777777" w:rsidTr="0092285E">
        <w:trPr>
          <w:trHeight w:val="182"/>
        </w:trPr>
        <w:tc>
          <w:tcPr>
            <w:tcW w:w="2425" w:type="dxa"/>
            <w:vMerge w:val="restart"/>
          </w:tcPr>
          <w:p w14:paraId="6E771F00"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6AED35F0" w14:textId="77777777" w:rsidR="00280E00" w:rsidRPr="00CB1E53" w:rsidRDefault="00280E00" w:rsidP="00FD11D9">
            <w:pPr>
              <w:spacing w:before="20" w:after="20"/>
              <w:jc w:val="both"/>
              <w:rPr>
                <w:rFonts w:ascii="Segoe UI" w:hAnsi="Segoe UI" w:cs="Segoe UI"/>
                <w:sz w:val="18"/>
                <w:szCs w:val="18"/>
              </w:rPr>
            </w:pPr>
          </w:p>
        </w:tc>
      </w:tr>
      <w:tr w:rsidR="00280E00" w:rsidRPr="00CB1E53" w14:paraId="7B8F18A5" w14:textId="77777777" w:rsidTr="0092285E">
        <w:trPr>
          <w:trHeight w:val="182"/>
        </w:trPr>
        <w:tc>
          <w:tcPr>
            <w:tcW w:w="2425" w:type="dxa"/>
            <w:vMerge/>
          </w:tcPr>
          <w:p w14:paraId="5DDE3DDF" w14:textId="77777777" w:rsidR="00280E00" w:rsidRPr="00CB1E53" w:rsidRDefault="00280E00" w:rsidP="00FD11D9">
            <w:pPr>
              <w:spacing w:before="20" w:after="20"/>
              <w:jc w:val="both"/>
              <w:rPr>
                <w:rFonts w:ascii="Segoe UI" w:hAnsi="Segoe UI" w:cs="Segoe UI"/>
                <w:b/>
                <w:bCs/>
                <w:sz w:val="18"/>
                <w:szCs w:val="18"/>
              </w:rPr>
            </w:pPr>
          </w:p>
        </w:tc>
        <w:tc>
          <w:tcPr>
            <w:tcW w:w="3462" w:type="dxa"/>
            <w:gridSpan w:val="3"/>
          </w:tcPr>
          <w:p w14:paraId="31F86B61"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223C3A2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280E00" w:rsidRPr="00CB1E53" w14:paraId="4005FFC9" w14:textId="77777777" w:rsidTr="0092285E">
        <w:tc>
          <w:tcPr>
            <w:tcW w:w="2425" w:type="dxa"/>
          </w:tcPr>
          <w:p w14:paraId="3BB15A2B"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DDCF093"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Tax return</w:t>
            </w:r>
          </w:p>
        </w:tc>
      </w:tr>
      <w:tr w:rsidR="00280E00" w:rsidRPr="00CB1E53" w14:paraId="71690290" w14:textId="77777777" w:rsidTr="0092285E">
        <w:tc>
          <w:tcPr>
            <w:tcW w:w="2425" w:type="dxa"/>
          </w:tcPr>
          <w:p w14:paraId="4132875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A7E7C07" w14:textId="77777777" w:rsidR="00280E00" w:rsidRPr="00CB1E53" w:rsidRDefault="00280E00" w:rsidP="00FD11D9">
            <w:pPr>
              <w:spacing w:before="20" w:after="20"/>
              <w:jc w:val="both"/>
              <w:rPr>
                <w:rFonts w:ascii="Segoe UI" w:hAnsi="Segoe UI" w:cs="Segoe UI"/>
                <w:sz w:val="18"/>
                <w:szCs w:val="18"/>
              </w:rPr>
            </w:pPr>
            <w:r w:rsidRPr="00CB1E53">
              <w:rPr>
                <w:rFonts w:ascii="Segoe UI" w:hAnsi="Segoe UI" w:cs="Segoe UI"/>
                <w:sz w:val="18"/>
                <w:szCs w:val="18"/>
              </w:rPr>
              <w:t>Microsimulation</w:t>
            </w:r>
          </w:p>
        </w:tc>
      </w:tr>
      <w:tr w:rsidR="00280E00" w:rsidRPr="00CB1E53" w14:paraId="31C5F30E" w14:textId="77777777" w:rsidTr="0092285E">
        <w:tc>
          <w:tcPr>
            <w:tcW w:w="2425" w:type="dxa"/>
          </w:tcPr>
          <w:p w14:paraId="64944F56"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8B48E5B" w14:textId="77777777" w:rsidR="00280E00" w:rsidRPr="00CB1E53" w:rsidRDefault="00280E00" w:rsidP="00FD11D9">
            <w:pPr>
              <w:spacing w:before="20" w:after="20"/>
              <w:jc w:val="both"/>
              <w:rPr>
                <w:rFonts w:ascii="Segoe UI" w:hAnsi="Segoe UI" w:cs="Segoe UI"/>
                <w:sz w:val="18"/>
                <w:szCs w:val="18"/>
              </w:rPr>
            </w:pPr>
          </w:p>
        </w:tc>
      </w:tr>
      <w:tr w:rsidR="00280E00" w:rsidRPr="00CB1E53" w14:paraId="6FB023EA" w14:textId="77777777" w:rsidTr="0092285E">
        <w:tc>
          <w:tcPr>
            <w:tcW w:w="2425" w:type="dxa"/>
          </w:tcPr>
          <w:p w14:paraId="120A2A31"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B0165EE" w14:textId="75A1796A" w:rsidR="00280E00"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280E00" w:rsidRPr="00CB1E53" w14:paraId="7087BFC7" w14:textId="77777777" w:rsidTr="0092285E">
        <w:trPr>
          <w:trHeight w:val="91"/>
        </w:trPr>
        <w:tc>
          <w:tcPr>
            <w:tcW w:w="2425" w:type="dxa"/>
            <w:vMerge w:val="restart"/>
          </w:tcPr>
          <w:p w14:paraId="535EBAA6"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742B48D8"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B967ECE"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78B73E3"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BE9972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B582B74" w14:textId="77777777" w:rsidR="00280E00" w:rsidRPr="00CB1E53" w:rsidRDefault="00280E00"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185884" w:rsidRPr="00CB1E53" w14:paraId="44E70595" w14:textId="77777777" w:rsidTr="007B38FB">
        <w:trPr>
          <w:trHeight w:val="91"/>
        </w:trPr>
        <w:tc>
          <w:tcPr>
            <w:tcW w:w="2425" w:type="dxa"/>
            <w:vMerge/>
          </w:tcPr>
          <w:p w14:paraId="22D52FCE" w14:textId="77777777" w:rsidR="00280E00" w:rsidRPr="00CB1E53" w:rsidRDefault="00280E00" w:rsidP="00FD11D9">
            <w:pPr>
              <w:spacing w:before="20" w:after="20"/>
              <w:jc w:val="both"/>
              <w:rPr>
                <w:rFonts w:ascii="Segoe UI" w:hAnsi="Segoe UI" w:cs="Segoe UI"/>
                <w:b/>
                <w:bCs/>
                <w:sz w:val="18"/>
                <w:szCs w:val="18"/>
              </w:rPr>
            </w:pPr>
          </w:p>
        </w:tc>
        <w:tc>
          <w:tcPr>
            <w:tcW w:w="1385" w:type="dxa"/>
          </w:tcPr>
          <w:p w14:paraId="6797A4B6" w14:textId="0F83DF05"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3F96C0C5" w14:textId="510F6EF3" w:rsidR="00280E00" w:rsidRPr="00CB1E53" w:rsidRDefault="00AA1580"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539EBA0F" w14:textId="13561179" w:rsidR="00280E00" w:rsidRPr="006321AC" w:rsidRDefault="00280E00" w:rsidP="00FD11D9">
            <w:pPr>
              <w:spacing w:before="20" w:after="20"/>
              <w:jc w:val="both"/>
              <w:rPr>
                <w:rFonts w:ascii="Segoe UI" w:hAnsi="Segoe UI" w:cs="Segoe UI"/>
                <w:bCs/>
                <w:sz w:val="18"/>
                <w:szCs w:val="18"/>
              </w:rPr>
            </w:pPr>
            <w:r w:rsidRPr="006321AC">
              <w:rPr>
                <w:rFonts w:ascii="Segoe UI" w:hAnsi="Segoe UI" w:cs="Segoe UI"/>
                <w:bCs/>
                <w:sz w:val="18"/>
                <w:szCs w:val="18"/>
              </w:rPr>
              <w:t>16.6</w:t>
            </w:r>
          </w:p>
        </w:tc>
        <w:tc>
          <w:tcPr>
            <w:tcW w:w="1385" w:type="dxa"/>
            <w:shd w:val="clear" w:color="auto" w:fill="E6E6E6" w:themeFill="background1" w:themeFillShade="E6"/>
          </w:tcPr>
          <w:p w14:paraId="0B54A8D2" w14:textId="07A9D519" w:rsidR="00280E00" w:rsidRPr="009130EE" w:rsidRDefault="00813A44" w:rsidP="00FD11D9">
            <w:pPr>
              <w:spacing w:before="20" w:after="20"/>
              <w:jc w:val="both"/>
              <w:rPr>
                <w:rFonts w:ascii="Segoe UI" w:hAnsi="Segoe UI" w:cs="Segoe UI"/>
                <w:bCs/>
                <w:i/>
                <w:iCs/>
                <w:sz w:val="18"/>
                <w:szCs w:val="18"/>
              </w:rPr>
            </w:pPr>
            <w:r w:rsidRPr="009130EE">
              <w:rPr>
                <w:rFonts w:ascii="Segoe UI" w:hAnsi="Segoe UI" w:cs="Segoe UI"/>
                <w:bCs/>
                <w:i/>
                <w:iCs/>
                <w:sz w:val="18"/>
                <w:szCs w:val="18"/>
              </w:rPr>
              <w:t>18</w:t>
            </w:r>
            <w:r w:rsidR="00377BF5" w:rsidRPr="009130EE">
              <w:rPr>
                <w:rFonts w:ascii="Segoe UI" w:hAnsi="Segoe UI" w:cs="Segoe UI"/>
                <w:bCs/>
                <w:i/>
                <w:iCs/>
                <w:sz w:val="18"/>
                <w:szCs w:val="18"/>
              </w:rPr>
              <w:t>.</w:t>
            </w:r>
            <w:r w:rsidR="006321AC" w:rsidRPr="009130EE">
              <w:rPr>
                <w:rFonts w:ascii="Segoe UI" w:hAnsi="Segoe UI" w:cs="Segoe UI"/>
                <w:bCs/>
                <w:i/>
                <w:iCs/>
                <w:sz w:val="18"/>
                <w:szCs w:val="18"/>
              </w:rPr>
              <w:t>8</w:t>
            </w:r>
          </w:p>
        </w:tc>
        <w:tc>
          <w:tcPr>
            <w:tcW w:w="1660" w:type="dxa"/>
            <w:shd w:val="clear" w:color="auto" w:fill="E6E6E6" w:themeFill="background1" w:themeFillShade="E6"/>
          </w:tcPr>
          <w:p w14:paraId="49DD2BD2" w14:textId="48CB2B5F" w:rsidR="0047738F" w:rsidRPr="009130EE" w:rsidRDefault="004A7794" w:rsidP="00FD11D9">
            <w:pPr>
              <w:spacing w:before="20" w:after="20"/>
              <w:jc w:val="both"/>
              <w:rPr>
                <w:rFonts w:ascii="Segoe UI" w:hAnsi="Segoe UI" w:cs="Segoe UI"/>
                <w:bCs/>
                <w:i/>
                <w:iCs/>
                <w:sz w:val="18"/>
                <w:szCs w:val="18"/>
              </w:rPr>
            </w:pPr>
            <w:r w:rsidRPr="009130EE">
              <w:rPr>
                <w:rFonts w:ascii="Segoe UI" w:hAnsi="Segoe UI" w:cs="Segoe UI"/>
                <w:bCs/>
                <w:i/>
                <w:iCs/>
                <w:sz w:val="18"/>
                <w:szCs w:val="18"/>
              </w:rPr>
              <w:t>20.7</w:t>
            </w:r>
          </w:p>
        </w:tc>
      </w:tr>
    </w:tbl>
    <w:p w14:paraId="6DCE0D5A" w14:textId="77777777" w:rsidR="00280E00" w:rsidRPr="00CB1E53" w:rsidRDefault="00280E00" w:rsidP="00FD11D9">
      <w:pPr>
        <w:spacing w:before="20" w:after="20" w:line="240" w:lineRule="auto"/>
        <w:jc w:val="both"/>
        <w:rPr>
          <w:rFonts w:ascii="Segoe UI" w:hAnsi="Segoe UI" w:cs="Segoe UI"/>
          <w:sz w:val="18"/>
          <w:szCs w:val="18"/>
        </w:rPr>
      </w:pPr>
    </w:p>
    <w:p w14:paraId="79D52CF1" w14:textId="77777777" w:rsidR="00F77F6D" w:rsidRPr="00CB1E53" w:rsidRDefault="00F77F6D" w:rsidP="00FD11D9">
      <w:pPr>
        <w:spacing w:before="20" w:after="20" w:line="240" w:lineRule="auto"/>
        <w:jc w:val="both"/>
        <w:rPr>
          <w:rFonts w:ascii="Segoe UI" w:hAnsi="Segoe UI" w:cs="Segoe UI"/>
          <w:b/>
          <w:bCs/>
          <w:sz w:val="18"/>
          <w:szCs w:val="18"/>
        </w:rPr>
      </w:pPr>
      <w:r w:rsidRPr="00CB1E53">
        <w:rPr>
          <w:rFonts w:ascii="Segoe UI" w:hAnsi="Segoe UI" w:cs="Segoe UI"/>
          <w:b/>
          <w:bCs/>
          <w:sz w:val="18"/>
          <w:szCs w:val="18"/>
        </w:rPr>
        <w:br w:type="page"/>
      </w:r>
    </w:p>
    <w:p w14:paraId="47A764F3" w14:textId="36ED2567" w:rsidR="007C2B84" w:rsidRPr="00CB1E53" w:rsidRDefault="007C2B84" w:rsidP="00FD11D9">
      <w:pPr>
        <w:pStyle w:val="Heading2"/>
        <w:jc w:val="both"/>
        <w:rPr>
          <w:rFonts w:ascii="Segoe UI" w:hAnsi="Segoe UI" w:cs="Segoe UI"/>
          <w:sz w:val="18"/>
          <w:szCs w:val="18"/>
        </w:rPr>
      </w:pPr>
      <w:bookmarkStart w:id="43" w:name="_Toc99298779"/>
      <w:r w:rsidRPr="00CB1E53">
        <w:rPr>
          <w:rFonts w:ascii="Segoe UI" w:hAnsi="Segoe UI" w:cs="Segoe UI"/>
          <w:sz w:val="18"/>
          <w:szCs w:val="18"/>
        </w:rPr>
        <w:lastRenderedPageBreak/>
        <w:t>Appendix 2:</w:t>
      </w:r>
      <w:r w:rsidRPr="00CB1E53">
        <w:rPr>
          <w:rFonts w:ascii="Segoe UI" w:hAnsi="Segoe UI" w:cs="Segoe UI"/>
          <w:sz w:val="18"/>
          <w:szCs w:val="18"/>
        </w:rPr>
        <w:tab/>
        <w:t>BIT Tax Expenditures Summary Sheets</w:t>
      </w:r>
      <w:bookmarkEnd w:id="43"/>
    </w:p>
    <w:p w14:paraId="7BD88ED2" w14:textId="77777777" w:rsidR="007C2B84" w:rsidRPr="00CB1E53" w:rsidRDefault="007C2B84"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2578D823" w14:textId="77777777" w:rsidTr="00D75D26">
        <w:tc>
          <w:tcPr>
            <w:tcW w:w="9625" w:type="dxa"/>
            <w:gridSpan w:val="7"/>
            <w:shd w:val="clear" w:color="auto" w:fill="D9D9D9" w:themeFill="background1" w:themeFillShade="D9"/>
          </w:tcPr>
          <w:p w14:paraId="3DEC189B" w14:textId="073BA2E4"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 </w:t>
            </w:r>
            <w:r w:rsidR="007A6DCA">
              <w:rPr>
                <w:rFonts w:ascii="Segoe UI" w:hAnsi="Segoe UI" w:cs="Segoe UI"/>
                <w:b/>
                <w:bCs/>
                <w:sz w:val="18"/>
                <w:szCs w:val="18"/>
              </w:rPr>
              <w:t>Tax exemption of private e</w:t>
            </w:r>
            <w:r w:rsidRPr="00CB1E53">
              <w:rPr>
                <w:rFonts w:ascii="Segoe UI" w:hAnsi="Segoe UI" w:cs="Segoe UI"/>
                <w:b/>
                <w:bCs/>
                <w:sz w:val="18"/>
                <w:szCs w:val="18"/>
              </w:rPr>
              <w:t>ducation authorities</w:t>
            </w:r>
          </w:p>
        </w:tc>
      </w:tr>
      <w:tr w:rsidR="007C2B84" w:rsidRPr="00CB1E53" w14:paraId="0C0B08CA" w14:textId="77777777" w:rsidTr="00D75D26">
        <w:tc>
          <w:tcPr>
            <w:tcW w:w="2425" w:type="dxa"/>
          </w:tcPr>
          <w:p w14:paraId="28088AC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AC1133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income tax exemption for public education institutions is deemed benchmark treatment, notwithstanding the provisions of the Article 51, whereas the income tax exemption of private education institutions’ income derived from the education process in accordance with the Education Code is a tax expenditure.</w:t>
            </w:r>
          </w:p>
        </w:tc>
      </w:tr>
      <w:tr w:rsidR="007C2B84" w:rsidRPr="00CB1E53" w14:paraId="3F33F0AC" w14:textId="77777777" w:rsidTr="00D75D26">
        <w:tc>
          <w:tcPr>
            <w:tcW w:w="2425" w:type="dxa"/>
          </w:tcPr>
          <w:p w14:paraId="1E5CDEC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BDAAD36" w14:textId="77777777" w:rsidR="007C2B84" w:rsidRPr="00CB1E53" w:rsidRDefault="007C2B84" w:rsidP="00FD11D9">
            <w:pPr>
              <w:spacing w:before="20" w:after="20"/>
              <w:jc w:val="both"/>
              <w:rPr>
                <w:rFonts w:ascii="Segoe UI" w:hAnsi="Segoe UI" w:cs="Segoe UI"/>
                <w:bCs/>
                <w:sz w:val="18"/>
                <w:szCs w:val="18"/>
              </w:rPr>
            </w:pPr>
            <w:r w:rsidRPr="00CB1E53">
              <w:rPr>
                <w:rFonts w:ascii="Segoe UI" w:hAnsi="Segoe UI" w:cs="Segoe UI"/>
                <w:bCs/>
                <w:sz w:val="18"/>
                <w:szCs w:val="18"/>
              </w:rPr>
              <w:t>BIT</w:t>
            </w:r>
          </w:p>
        </w:tc>
      </w:tr>
      <w:tr w:rsidR="007C2B84" w:rsidRPr="00CB1E53" w14:paraId="6318C92F" w14:textId="77777777" w:rsidTr="00D75D26">
        <w:tc>
          <w:tcPr>
            <w:tcW w:w="2425" w:type="dxa"/>
          </w:tcPr>
          <w:p w14:paraId="46A4BA4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88BB7D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Privately run and managed education institutions.</w:t>
            </w:r>
          </w:p>
        </w:tc>
      </w:tr>
      <w:tr w:rsidR="007C2B84" w:rsidRPr="00CB1E53" w14:paraId="52E6EF5A" w14:textId="77777777" w:rsidTr="00D75D26">
        <w:tc>
          <w:tcPr>
            <w:tcW w:w="2425" w:type="dxa"/>
          </w:tcPr>
          <w:p w14:paraId="48EB099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BDC70F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6AA2E810" w14:textId="77777777" w:rsidTr="00D75D26">
        <w:tc>
          <w:tcPr>
            <w:tcW w:w="2425" w:type="dxa"/>
          </w:tcPr>
          <w:p w14:paraId="007922F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23E49D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legislated tax exemption is a departure from the benchmark tax treatment whereby taxable income attracts the 12% statutory BIT rate. The exemption is therefore a tax expenditure.</w:t>
            </w:r>
          </w:p>
        </w:tc>
      </w:tr>
      <w:tr w:rsidR="007C2B84" w:rsidRPr="00CB1E53" w14:paraId="51144E57" w14:textId="77777777" w:rsidTr="00D75D26">
        <w:tc>
          <w:tcPr>
            <w:tcW w:w="2425" w:type="dxa"/>
          </w:tcPr>
          <w:p w14:paraId="06AD8CE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B031A4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51</w:t>
            </w:r>
            <w:r w:rsidRPr="00CB1E53">
              <w:rPr>
                <w:rFonts w:ascii="Segoe UI" w:hAnsi="Segoe UI" w:cs="Segoe UI"/>
                <w:sz w:val="18"/>
                <w:szCs w:val="18"/>
                <w:vertAlign w:val="superscript"/>
              </w:rPr>
              <w:t>3</w:t>
            </w:r>
          </w:p>
        </w:tc>
      </w:tr>
      <w:tr w:rsidR="007C2B84" w:rsidRPr="00CB1E53" w14:paraId="066C825F" w14:textId="77777777" w:rsidTr="00D75D26">
        <w:trPr>
          <w:trHeight w:val="182"/>
        </w:trPr>
        <w:tc>
          <w:tcPr>
            <w:tcW w:w="2425" w:type="dxa"/>
            <w:vMerge w:val="restart"/>
          </w:tcPr>
          <w:p w14:paraId="130E480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25EF22DF"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62197A0F" w14:textId="77777777" w:rsidR="007C2B84" w:rsidRPr="00CB1E53" w:rsidRDefault="007C2B84" w:rsidP="00FD11D9">
            <w:pPr>
              <w:spacing w:before="20" w:after="20"/>
              <w:jc w:val="both"/>
              <w:rPr>
                <w:rFonts w:ascii="Segoe UI" w:hAnsi="Segoe UI" w:cs="Segoe UI"/>
                <w:sz w:val="18"/>
                <w:szCs w:val="18"/>
              </w:rPr>
            </w:pPr>
          </w:p>
        </w:tc>
      </w:tr>
      <w:tr w:rsidR="007C2B84" w:rsidRPr="00CB1E53" w14:paraId="75C5C9C2" w14:textId="77777777" w:rsidTr="00D75D26">
        <w:trPr>
          <w:trHeight w:val="182"/>
        </w:trPr>
        <w:tc>
          <w:tcPr>
            <w:tcW w:w="2425" w:type="dxa"/>
            <w:vMerge/>
          </w:tcPr>
          <w:p w14:paraId="0BD21FBA"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1717D24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2012</w:t>
            </w:r>
          </w:p>
        </w:tc>
        <w:tc>
          <w:tcPr>
            <w:tcW w:w="3738" w:type="dxa"/>
            <w:gridSpan w:val="3"/>
          </w:tcPr>
          <w:p w14:paraId="07EBA28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7C2B84" w:rsidRPr="00CB1E53" w14:paraId="23D29C89" w14:textId="77777777" w:rsidTr="00D75D26">
        <w:tc>
          <w:tcPr>
            <w:tcW w:w="2425" w:type="dxa"/>
          </w:tcPr>
          <w:p w14:paraId="3FDA1FB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DFED232" w14:textId="62EF725A" w:rsidR="007C2B84" w:rsidRPr="00CB1E53" w:rsidRDefault="00467703"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7C2B84" w:rsidRPr="00CB1E53" w14:paraId="39EB4ED2" w14:textId="77777777" w:rsidTr="00D75D26">
        <w:tc>
          <w:tcPr>
            <w:tcW w:w="2425" w:type="dxa"/>
          </w:tcPr>
          <w:p w14:paraId="61CBFB7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97B4AA3" w14:textId="05FFEE9D" w:rsidR="007C2B84" w:rsidRPr="00CB1E53" w:rsidRDefault="00467703"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2C9FDF12" w14:textId="77777777" w:rsidTr="00D75D26">
        <w:tc>
          <w:tcPr>
            <w:tcW w:w="2425" w:type="dxa"/>
          </w:tcPr>
          <w:p w14:paraId="133B8E9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ED997C2" w14:textId="77777777" w:rsidR="007C2B84" w:rsidRPr="00CB1E53" w:rsidRDefault="007C2B84" w:rsidP="00FD11D9">
            <w:pPr>
              <w:spacing w:before="20" w:after="20"/>
              <w:jc w:val="both"/>
              <w:rPr>
                <w:rFonts w:ascii="Segoe UI" w:hAnsi="Segoe UI" w:cs="Segoe UI"/>
                <w:sz w:val="18"/>
                <w:szCs w:val="18"/>
              </w:rPr>
            </w:pPr>
          </w:p>
        </w:tc>
      </w:tr>
      <w:tr w:rsidR="007C2B84" w:rsidRPr="00CB1E53" w14:paraId="3245B876" w14:textId="77777777" w:rsidTr="00D75D26">
        <w:tc>
          <w:tcPr>
            <w:tcW w:w="2425" w:type="dxa"/>
          </w:tcPr>
          <w:p w14:paraId="0C3D771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D0EF7D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1E0B2502" w14:textId="77777777" w:rsidTr="00D75D26">
        <w:trPr>
          <w:trHeight w:val="91"/>
        </w:trPr>
        <w:tc>
          <w:tcPr>
            <w:tcW w:w="2425" w:type="dxa"/>
            <w:vMerge w:val="restart"/>
          </w:tcPr>
          <w:p w14:paraId="37C24ECD"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455D05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B26401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576A6A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3E5044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3E1F1E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53CCE271" w14:textId="77777777" w:rsidTr="00B84EE2">
        <w:trPr>
          <w:trHeight w:val="91"/>
        </w:trPr>
        <w:tc>
          <w:tcPr>
            <w:tcW w:w="2425" w:type="dxa"/>
            <w:vMerge/>
          </w:tcPr>
          <w:p w14:paraId="2C9786A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4C14C493" w14:textId="67012F1E"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33.1</w:t>
            </w:r>
          </w:p>
        </w:tc>
        <w:tc>
          <w:tcPr>
            <w:tcW w:w="1385" w:type="dxa"/>
            <w:shd w:val="clear" w:color="auto" w:fill="D9D9D9" w:themeFill="background1" w:themeFillShade="D9"/>
          </w:tcPr>
          <w:p w14:paraId="53C61F6E" w14:textId="04B2F8A3"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33.1</w:t>
            </w:r>
          </w:p>
        </w:tc>
        <w:tc>
          <w:tcPr>
            <w:tcW w:w="1385" w:type="dxa"/>
            <w:gridSpan w:val="2"/>
            <w:shd w:val="clear" w:color="auto" w:fill="D9D9D9" w:themeFill="background1" w:themeFillShade="D9"/>
          </w:tcPr>
          <w:p w14:paraId="72B0AB9B" w14:textId="26111A31"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31.6</w:t>
            </w:r>
          </w:p>
        </w:tc>
        <w:tc>
          <w:tcPr>
            <w:tcW w:w="1385" w:type="dxa"/>
            <w:shd w:val="clear" w:color="auto" w:fill="D9D9D9" w:themeFill="background1" w:themeFillShade="D9"/>
          </w:tcPr>
          <w:p w14:paraId="7EB441AE" w14:textId="5EEDFC83"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36.5</w:t>
            </w:r>
          </w:p>
        </w:tc>
        <w:tc>
          <w:tcPr>
            <w:tcW w:w="1660" w:type="dxa"/>
            <w:shd w:val="clear" w:color="auto" w:fill="D9D9D9" w:themeFill="background1" w:themeFillShade="D9"/>
          </w:tcPr>
          <w:p w14:paraId="6448B176" w14:textId="3C42FE22"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40.7</w:t>
            </w:r>
          </w:p>
        </w:tc>
      </w:tr>
    </w:tbl>
    <w:p w14:paraId="7617FC70" w14:textId="77777777" w:rsidR="007C2B84" w:rsidRPr="00CB1E53" w:rsidRDefault="007C2B84" w:rsidP="00FD11D9">
      <w:pPr>
        <w:spacing w:before="20" w:after="20" w:line="240" w:lineRule="auto"/>
        <w:jc w:val="both"/>
        <w:rPr>
          <w:rFonts w:ascii="Segoe UI" w:hAnsi="Segoe UI" w:cs="Segoe UI"/>
          <w:sz w:val="18"/>
          <w:szCs w:val="18"/>
        </w:rPr>
      </w:pPr>
      <w:r w:rsidRPr="00CB1E53">
        <w:rPr>
          <w:rFonts w:ascii="Segoe UI" w:hAnsi="Segoe UI" w:cs="Segoe UI"/>
          <w:sz w:val="18"/>
          <w:szCs w:val="18"/>
        </w:rPr>
        <w:t>Note: The income tax exemption of public authorities and public institutions, as stipulated in Art 51 of the Tax Code (BIT), is an element of the BIT benchmark system.</w:t>
      </w:r>
    </w:p>
    <w:p w14:paraId="113C4A67" w14:textId="77777777" w:rsidR="007C2B84" w:rsidRPr="00CB1E53" w:rsidRDefault="007C2B84"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647C7F11" w14:textId="77777777" w:rsidTr="00D75D26">
        <w:tc>
          <w:tcPr>
            <w:tcW w:w="9625" w:type="dxa"/>
            <w:gridSpan w:val="7"/>
            <w:shd w:val="clear" w:color="auto" w:fill="D9D9D9" w:themeFill="background1" w:themeFillShade="D9"/>
          </w:tcPr>
          <w:p w14:paraId="50FF12A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 Tax exemption of the Administration of a Free Economic Zone (FEZ)</w:t>
            </w:r>
          </w:p>
        </w:tc>
      </w:tr>
      <w:tr w:rsidR="007C2B84" w:rsidRPr="00CB1E53" w14:paraId="263A3C8D" w14:textId="77777777" w:rsidTr="00D75D26">
        <w:tc>
          <w:tcPr>
            <w:tcW w:w="2425" w:type="dxa"/>
          </w:tcPr>
          <w:p w14:paraId="1723918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A93E162" w14:textId="44BE6D5A"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Financial sources of the administration of the FEZ as stipulated in Article 5 para. (4) of Law No. 440-XV dated July 27th, 2001</w:t>
            </w:r>
            <w:r w:rsidR="00411708">
              <w:rPr>
                <w:rFonts w:ascii="Segoe UI" w:hAnsi="Segoe UI" w:cs="Segoe UI"/>
                <w:sz w:val="18"/>
                <w:szCs w:val="18"/>
              </w:rPr>
              <w:t>,</w:t>
            </w:r>
            <w:r w:rsidRPr="00CB1E53">
              <w:rPr>
                <w:rFonts w:ascii="Segoe UI" w:hAnsi="Segoe UI" w:cs="Segoe UI"/>
                <w:sz w:val="18"/>
                <w:szCs w:val="18"/>
              </w:rPr>
              <w:t xml:space="preserve"> concerning FEZs shall be exempt from tax.</w:t>
            </w:r>
          </w:p>
        </w:tc>
      </w:tr>
      <w:tr w:rsidR="007C2B84" w:rsidRPr="00CB1E53" w14:paraId="4422890B" w14:textId="77777777" w:rsidTr="00D75D26">
        <w:tc>
          <w:tcPr>
            <w:tcW w:w="2425" w:type="dxa"/>
          </w:tcPr>
          <w:p w14:paraId="2331BFC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697AF0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6EC1A50A" w14:textId="77777777" w:rsidTr="00D75D26">
        <w:tc>
          <w:tcPr>
            <w:tcW w:w="2425" w:type="dxa"/>
          </w:tcPr>
          <w:p w14:paraId="7BF03B3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A1DA7F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administration of the free economic zone</w:t>
            </w:r>
          </w:p>
        </w:tc>
      </w:tr>
      <w:tr w:rsidR="007C2B84" w:rsidRPr="00CB1E53" w14:paraId="0049C340" w14:textId="77777777" w:rsidTr="00D75D26">
        <w:tc>
          <w:tcPr>
            <w:tcW w:w="2425" w:type="dxa"/>
          </w:tcPr>
          <w:p w14:paraId="15E5699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D0FC01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4798F652" w14:textId="77777777" w:rsidTr="00D75D26">
        <w:tc>
          <w:tcPr>
            <w:tcW w:w="2425" w:type="dxa"/>
          </w:tcPr>
          <w:p w14:paraId="28D40FE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A728D0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legislated tax exemption is a departure from the benchmark tax treatment whereby taxable income attracts the 12% statutory BIT rate. The exemption is therefore a tax expenditure.</w:t>
            </w:r>
          </w:p>
        </w:tc>
      </w:tr>
      <w:tr w:rsidR="007C2B84" w:rsidRPr="00CB1E53" w14:paraId="4319B966" w14:textId="77777777" w:rsidTr="00D75D26">
        <w:tc>
          <w:tcPr>
            <w:tcW w:w="2425" w:type="dxa"/>
          </w:tcPr>
          <w:p w14:paraId="522E8B2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E9CDEB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51</w:t>
            </w:r>
            <w:r w:rsidRPr="00CB1E53">
              <w:rPr>
                <w:rFonts w:ascii="Segoe UI" w:hAnsi="Segoe UI" w:cs="Segoe UI"/>
                <w:sz w:val="18"/>
                <w:szCs w:val="18"/>
                <w:vertAlign w:val="superscript"/>
              </w:rPr>
              <w:t>2</w:t>
            </w:r>
          </w:p>
        </w:tc>
      </w:tr>
      <w:tr w:rsidR="007C2B84" w:rsidRPr="00CB1E53" w14:paraId="2FA0D496" w14:textId="77777777" w:rsidTr="00D75D26">
        <w:trPr>
          <w:trHeight w:val="182"/>
        </w:trPr>
        <w:tc>
          <w:tcPr>
            <w:tcW w:w="2425" w:type="dxa"/>
            <w:vMerge w:val="restart"/>
          </w:tcPr>
          <w:p w14:paraId="4CEA557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54DEC200"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00C5642D"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70A7EEF" w14:textId="77777777" w:rsidTr="00D75D26">
        <w:trPr>
          <w:trHeight w:val="182"/>
        </w:trPr>
        <w:tc>
          <w:tcPr>
            <w:tcW w:w="2425" w:type="dxa"/>
            <w:vMerge/>
          </w:tcPr>
          <w:p w14:paraId="480847D9"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00B92E8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2012</w:t>
            </w:r>
          </w:p>
        </w:tc>
        <w:tc>
          <w:tcPr>
            <w:tcW w:w="3738" w:type="dxa"/>
            <w:gridSpan w:val="3"/>
          </w:tcPr>
          <w:p w14:paraId="5B39E4C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467703" w:rsidRPr="00CB1E53" w14:paraId="24D2924B" w14:textId="77777777" w:rsidTr="00D75D26">
        <w:tc>
          <w:tcPr>
            <w:tcW w:w="2425" w:type="dxa"/>
          </w:tcPr>
          <w:p w14:paraId="48B4778E" w14:textId="77777777" w:rsidR="00467703" w:rsidRPr="00CB1E53" w:rsidRDefault="00467703"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E5B6F88" w14:textId="74237518" w:rsidR="00467703" w:rsidRPr="00CB1E53" w:rsidRDefault="00467703"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467703" w:rsidRPr="00CB1E53" w14:paraId="717125C7" w14:textId="77777777" w:rsidTr="00D75D26">
        <w:tc>
          <w:tcPr>
            <w:tcW w:w="2425" w:type="dxa"/>
          </w:tcPr>
          <w:p w14:paraId="3D431193" w14:textId="77777777" w:rsidR="00467703" w:rsidRPr="00CB1E53" w:rsidRDefault="00467703"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106156F" w14:textId="0C44C3D6" w:rsidR="00467703" w:rsidRPr="00CB1E53" w:rsidRDefault="00467703"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6914849B" w14:textId="77777777" w:rsidTr="00D75D26">
        <w:tc>
          <w:tcPr>
            <w:tcW w:w="2425" w:type="dxa"/>
          </w:tcPr>
          <w:p w14:paraId="1CC3370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824065B"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7562A7B" w14:textId="77777777" w:rsidTr="00D75D26">
        <w:tc>
          <w:tcPr>
            <w:tcW w:w="2425" w:type="dxa"/>
          </w:tcPr>
          <w:p w14:paraId="53302D5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A472B54"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327BCB31" w14:textId="77777777" w:rsidTr="00D75D26">
        <w:trPr>
          <w:trHeight w:val="91"/>
        </w:trPr>
        <w:tc>
          <w:tcPr>
            <w:tcW w:w="2425" w:type="dxa"/>
            <w:vMerge w:val="restart"/>
          </w:tcPr>
          <w:p w14:paraId="5FA878FD"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5D36669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0B0B73A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516150C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D6473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1B972F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4992CE08" w14:textId="77777777" w:rsidTr="009130EE">
        <w:trPr>
          <w:trHeight w:val="91"/>
        </w:trPr>
        <w:tc>
          <w:tcPr>
            <w:tcW w:w="2425" w:type="dxa"/>
            <w:vMerge/>
          </w:tcPr>
          <w:p w14:paraId="522ED464"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6996E601" w14:textId="6F928723"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0.6</w:t>
            </w:r>
          </w:p>
        </w:tc>
        <w:tc>
          <w:tcPr>
            <w:tcW w:w="1385" w:type="dxa"/>
            <w:shd w:val="clear" w:color="auto" w:fill="D9D9D9" w:themeFill="background1" w:themeFillShade="D9"/>
          </w:tcPr>
          <w:p w14:paraId="5D02A0DC" w14:textId="29BE42C7"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0.6</w:t>
            </w:r>
          </w:p>
        </w:tc>
        <w:tc>
          <w:tcPr>
            <w:tcW w:w="1385" w:type="dxa"/>
            <w:gridSpan w:val="2"/>
            <w:shd w:val="clear" w:color="auto" w:fill="D9D9D9" w:themeFill="background1" w:themeFillShade="D9"/>
          </w:tcPr>
          <w:p w14:paraId="48E1F25C" w14:textId="13CBDD78"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0.6</w:t>
            </w:r>
          </w:p>
        </w:tc>
        <w:tc>
          <w:tcPr>
            <w:tcW w:w="1385" w:type="dxa"/>
            <w:shd w:val="clear" w:color="auto" w:fill="D9D9D9" w:themeFill="background1" w:themeFillShade="D9"/>
          </w:tcPr>
          <w:p w14:paraId="1F1B967B" w14:textId="0132B1EC"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0.7</w:t>
            </w:r>
          </w:p>
        </w:tc>
        <w:tc>
          <w:tcPr>
            <w:tcW w:w="1660" w:type="dxa"/>
            <w:shd w:val="clear" w:color="auto" w:fill="D9D9D9" w:themeFill="background1" w:themeFillShade="D9"/>
          </w:tcPr>
          <w:p w14:paraId="0068A51C" w14:textId="6A705C26" w:rsidR="007C2B84" w:rsidRPr="00467703" w:rsidRDefault="00B84EE2" w:rsidP="00FD11D9">
            <w:pPr>
              <w:spacing w:before="20" w:after="20"/>
              <w:jc w:val="both"/>
              <w:rPr>
                <w:rFonts w:ascii="Segoe UI" w:hAnsi="Segoe UI" w:cs="Segoe UI"/>
                <w:i/>
                <w:iCs/>
                <w:sz w:val="18"/>
                <w:szCs w:val="18"/>
              </w:rPr>
            </w:pPr>
            <w:r w:rsidRPr="00467703">
              <w:rPr>
                <w:rFonts w:ascii="Segoe UI" w:hAnsi="Segoe UI" w:cs="Segoe UI"/>
                <w:i/>
                <w:iCs/>
                <w:sz w:val="18"/>
                <w:szCs w:val="18"/>
              </w:rPr>
              <w:t>0.3</w:t>
            </w:r>
          </w:p>
        </w:tc>
      </w:tr>
    </w:tbl>
    <w:p w14:paraId="1FF6DEDA" w14:textId="77777777" w:rsidR="007C2B84" w:rsidRPr="00CB1E53" w:rsidRDefault="007C2B84" w:rsidP="00FD11D9">
      <w:pPr>
        <w:spacing w:before="20" w:after="20" w:line="240" w:lineRule="auto"/>
        <w:jc w:val="both"/>
        <w:rPr>
          <w:rFonts w:ascii="Segoe UI" w:hAnsi="Segoe UI" w:cs="Segoe UI"/>
          <w:b/>
          <w:bCs/>
          <w:sz w:val="18"/>
          <w:szCs w:val="18"/>
        </w:rPr>
      </w:pPr>
    </w:p>
    <w:p w14:paraId="5CD0202B" w14:textId="77777777" w:rsidR="007C2B84" w:rsidRPr="00CB1E53" w:rsidRDefault="007C2B84" w:rsidP="00FD11D9">
      <w:pPr>
        <w:spacing w:before="20" w:after="20" w:line="240" w:lineRule="auto"/>
        <w:jc w:val="both"/>
        <w:rPr>
          <w:rFonts w:ascii="Segoe UI" w:hAnsi="Segoe UI" w:cs="Segoe UI"/>
          <w:b/>
          <w:bCs/>
          <w:sz w:val="18"/>
          <w:szCs w:val="18"/>
        </w:rPr>
      </w:pPr>
    </w:p>
    <w:p w14:paraId="376EFCB2"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4E0EAD60" w14:textId="77777777" w:rsidTr="00D75D26">
        <w:tc>
          <w:tcPr>
            <w:tcW w:w="9625" w:type="dxa"/>
            <w:gridSpan w:val="7"/>
            <w:shd w:val="clear" w:color="auto" w:fill="D9D9D9" w:themeFill="background1" w:themeFillShade="D9"/>
          </w:tcPr>
          <w:p w14:paraId="37E101C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3. Tax of Administration of IT park</w:t>
            </w:r>
          </w:p>
        </w:tc>
      </w:tr>
      <w:tr w:rsidR="007C2B84" w:rsidRPr="00CB1E53" w14:paraId="300AB5BB" w14:textId="77777777" w:rsidTr="00D75D26">
        <w:tc>
          <w:tcPr>
            <w:tcW w:w="2425" w:type="dxa"/>
          </w:tcPr>
          <w:p w14:paraId="241E138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Description</w:t>
            </w:r>
          </w:p>
        </w:tc>
        <w:tc>
          <w:tcPr>
            <w:tcW w:w="7200" w:type="dxa"/>
            <w:gridSpan w:val="6"/>
          </w:tcPr>
          <w:p w14:paraId="30E082E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sources of income of the park administration for information technology provided in art. 6 paragraph (3) of Law no. 77/2016 on parks for information technology are exempt from income tax.</w:t>
            </w:r>
          </w:p>
        </w:tc>
      </w:tr>
      <w:tr w:rsidR="007C2B84" w:rsidRPr="00CB1E53" w14:paraId="6AF4DF22" w14:textId="77777777" w:rsidTr="00D75D26">
        <w:tc>
          <w:tcPr>
            <w:tcW w:w="2425" w:type="dxa"/>
          </w:tcPr>
          <w:p w14:paraId="25EA8A4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1C8446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7A61CC60" w14:textId="77777777" w:rsidTr="00D75D26">
        <w:tc>
          <w:tcPr>
            <w:tcW w:w="2425" w:type="dxa"/>
          </w:tcPr>
          <w:p w14:paraId="4F2112A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2D4D7A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Administration of an IT park.</w:t>
            </w:r>
          </w:p>
        </w:tc>
      </w:tr>
      <w:tr w:rsidR="007C2B84" w:rsidRPr="00CB1E53" w14:paraId="103C8579" w14:textId="77777777" w:rsidTr="00D75D26">
        <w:tc>
          <w:tcPr>
            <w:tcW w:w="2425" w:type="dxa"/>
          </w:tcPr>
          <w:p w14:paraId="14EA6D3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06DD2C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 legislated tax exemption.</w:t>
            </w:r>
          </w:p>
        </w:tc>
      </w:tr>
      <w:tr w:rsidR="007C2B84" w:rsidRPr="00CB1E53" w14:paraId="1CA62A58" w14:textId="77777777" w:rsidTr="00D75D26">
        <w:tc>
          <w:tcPr>
            <w:tcW w:w="2425" w:type="dxa"/>
          </w:tcPr>
          <w:p w14:paraId="7CD9309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32B3BE9" w14:textId="41BF49AA"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tax exemption is a departure from the benchmark tax treatment, providing that taxable income attracts the 12% statutory BIT rate. The exemption is therefore a tax expenditure.</w:t>
            </w:r>
          </w:p>
        </w:tc>
      </w:tr>
      <w:tr w:rsidR="007C2B84" w:rsidRPr="00CB1E53" w14:paraId="6A7AE448" w14:textId="77777777" w:rsidTr="00D75D26">
        <w:tc>
          <w:tcPr>
            <w:tcW w:w="2425" w:type="dxa"/>
          </w:tcPr>
          <w:p w14:paraId="2DB33D7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04B0E9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51</w:t>
            </w:r>
            <w:r w:rsidRPr="00CB1E53">
              <w:rPr>
                <w:rFonts w:ascii="Segoe UI" w:hAnsi="Segoe UI" w:cs="Segoe UI"/>
                <w:sz w:val="18"/>
                <w:szCs w:val="18"/>
                <w:vertAlign w:val="superscript"/>
              </w:rPr>
              <w:t>4</w:t>
            </w:r>
          </w:p>
        </w:tc>
      </w:tr>
      <w:tr w:rsidR="007C2B84" w:rsidRPr="00CB1E53" w14:paraId="51FD41F5" w14:textId="77777777" w:rsidTr="00D75D26">
        <w:trPr>
          <w:trHeight w:val="182"/>
        </w:trPr>
        <w:tc>
          <w:tcPr>
            <w:tcW w:w="2425" w:type="dxa"/>
            <w:vMerge w:val="restart"/>
          </w:tcPr>
          <w:p w14:paraId="079497E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6A94CC37"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696B3C82"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8BB7792" w14:textId="77777777" w:rsidTr="00D75D26">
        <w:trPr>
          <w:trHeight w:val="182"/>
        </w:trPr>
        <w:tc>
          <w:tcPr>
            <w:tcW w:w="2425" w:type="dxa"/>
            <w:vMerge/>
          </w:tcPr>
          <w:p w14:paraId="7BD84212"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326BA63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2022</w:t>
            </w:r>
          </w:p>
        </w:tc>
        <w:tc>
          <w:tcPr>
            <w:tcW w:w="3738" w:type="dxa"/>
            <w:gridSpan w:val="3"/>
          </w:tcPr>
          <w:p w14:paraId="66D4B1F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467703" w:rsidRPr="00CB1E53" w14:paraId="2A49AC0B" w14:textId="77777777" w:rsidTr="00D75D26">
        <w:tc>
          <w:tcPr>
            <w:tcW w:w="2425" w:type="dxa"/>
          </w:tcPr>
          <w:p w14:paraId="1AE6C9AC" w14:textId="77777777" w:rsidR="00467703" w:rsidRPr="00CB1E53" w:rsidRDefault="00467703"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2D396B7" w14:textId="590E0AC0" w:rsidR="00467703" w:rsidRPr="00CB1E53" w:rsidRDefault="00467703"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467703" w:rsidRPr="00CB1E53" w14:paraId="45FE9F81" w14:textId="77777777" w:rsidTr="00D75D26">
        <w:tc>
          <w:tcPr>
            <w:tcW w:w="2425" w:type="dxa"/>
          </w:tcPr>
          <w:p w14:paraId="6759F95C" w14:textId="77777777" w:rsidR="00467703" w:rsidRPr="00CB1E53" w:rsidRDefault="00467703"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1C036B0" w14:textId="686916D3" w:rsidR="00467703" w:rsidRPr="00CB1E53" w:rsidRDefault="00467703"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50531A81" w14:textId="77777777" w:rsidTr="00D75D26">
        <w:tc>
          <w:tcPr>
            <w:tcW w:w="2425" w:type="dxa"/>
          </w:tcPr>
          <w:p w14:paraId="543A001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022563C" w14:textId="77777777" w:rsidR="007C2B84" w:rsidRPr="00CB1E53" w:rsidRDefault="007C2B84" w:rsidP="00FD11D9">
            <w:pPr>
              <w:spacing w:before="20" w:after="20"/>
              <w:jc w:val="both"/>
              <w:rPr>
                <w:rFonts w:ascii="Segoe UI" w:hAnsi="Segoe UI" w:cs="Segoe UI"/>
                <w:sz w:val="18"/>
                <w:szCs w:val="18"/>
              </w:rPr>
            </w:pPr>
          </w:p>
        </w:tc>
      </w:tr>
      <w:tr w:rsidR="007C2B84" w:rsidRPr="00CB1E53" w14:paraId="206D5CF7" w14:textId="77777777" w:rsidTr="00D75D26">
        <w:tc>
          <w:tcPr>
            <w:tcW w:w="2425" w:type="dxa"/>
          </w:tcPr>
          <w:p w14:paraId="1F2CB77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187C3C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7E127D2A" w14:textId="77777777" w:rsidTr="00D75D26">
        <w:trPr>
          <w:trHeight w:val="91"/>
        </w:trPr>
        <w:tc>
          <w:tcPr>
            <w:tcW w:w="2425" w:type="dxa"/>
            <w:vMerge w:val="restart"/>
          </w:tcPr>
          <w:p w14:paraId="1E943CC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7EBADD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7785F3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FE928C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ECE40C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998982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78AE285B" w14:textId="77777777" w:rsidTr="0055651E">
        <w:trPr>
          <w:trHeight w:val="91"/>
        </w:trPr>
        <w:tc>
          <w:tcPr>
            <w:tcW w:w="2425" w:type="dxa"/>
            <w:vMerge/>
          </w:tcPr>
          <w:p w14:paraId="2658A268"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15B23DC" w14:textId="4C61DEFF" w:rsidR="007C2B84" w:rsidRPr="00CB1E53" w:rsidRDefault="0055651E" w:rsidP="00FD11D9">
            <w:pPr>
              <w:spacing w:before="20" w:after="20"/>
              <w:jc w:val="both"/>
              <w:rPr>
                <w:rFonts w:ascii="Segoe UI" w:hAnsi="Segoe UI" w:cs="Segoe UI"/>
                <w:sz w:val="18"/>
                <w:szCs w:val="18"/>
              </w:rPr>
            </w:pPr>
            <w:r>
              <w:rPr>
                <w:rFonts w:ascii="Segoe UI" w:hAnsi="Segoe UI" w:cs="Segoe UI"/>
                <w:sz w:val="18"/>
                <w:szCs w:val="18"/>
              </w:rPr>
              <w:t>0</w:t>
            </w:r>
          </w:p>
        </w:tc>
        <w:tc>
          <w:tcPr>
            <w:tcW w:w="1385" w:type="dxa"/>
            <w:shd w:val="clear" w:color="auto" w:fill="D9D9D9" w:themeFill="background1" w:themeFillShade="D9"/>
          </w:tcPr>
          <w:p w14:paraId="107B6B9E" w14:textId="6AE08DFA" w:rsidR="007C2B84" w:rsidRPr="0055651E" w:rsidRDefault="0055651E" w:rsidP="00FD11D9">
            <w:pPr>
              <w:spacing w:before="20" w:after="20"/>
              <w:jc w:val="both"/>
              <w:rPr>
                <w:rFonts w:ascii="Segoe UI" w:hAnsi="Segoe UI" w:cs="Segoe UI"/>
                <w:i/>
                <w:iCs/>
                <w:sz w:val="18"/>
                <w:szCs w:val="18"/>
              </w:rPr>
            </w:pPr>
            <w:r w:rsidRPr="0055651E">
              <w:rPr>
                <w:rFonts w:ascii="Segoe UI" w:hAnsi="Segoe UI" w:cs="Segoe UI"/>
                <w:i/>
                <w:iCs/>
                <w:sz w:val="18"/>
                <w:szCs w:val="18"/>
              </w:rPr>
              <w:t>0</w:t>
            </w:r>
          </w:p>
        </w:tc>
        <w:tc>
          <w:tcPr>
            <w:tcW w:w="1385" w:type="dxa"/>
            <w:gridSpan w:val="2"/>
            <w:shd w:val="clear" w:color="auto" w:fill="D9D9D9" w:themeFill="background1" w:themeFillShade="D9"/>
          </w:tcPr>
          <w:p w14:paraId="69DC44D1" w14:textId="5B24D996" w:rsidR="007C2B84" w:rsidRPr="0055651E" w:rsidRDefault="0055651E" w:rsidP="00FD11D9">
            <w:pPr>
              <w:spacing w:before="20" w:after="20"/>
              <w:jc w:val="both"/>
              <w:rPr>
                <w:rFonts w:ascii="Segoe UI" w:hAnsi="Segoe UI" w:cs="Segoe UI"/>
                <w:i/>
                <w:iCs/>
                <w:sz w:val="18"/>
                <w:szCs w:val="18"/>
              </w:rPr>
            </w:pPr>
            <w:r w:rsidRPr="0055651E">
              <w:rPr>
                <w:rFonts w:ascii="Segoe UI" w:hAnsi="Segoe UI" w:cs="Segoe UI"/>
                <w:i/>
                <w:iCs/>
                <w:sz w:val="18"/>
                <w:szCs w:val="18"/>
              </w:rPr>
              <w:t>0</w:t>
            </w:r>
          </w:p>
        </w:tc>
        <w:tc>
          <w:tcPr>
            <w:tcW w:w="1385" w:type="dxa"/>
            <w:shd w:val="clear" w:color="auto" w:fill="D9D9D9" w:themeFill="background1" w:themeFillShade="D9"/>
          </w:tcPr>
          <w:p w14:paraId="4248FD83" w14:textId="62F477BE" w:rsidR="007C2B84" w:rsidRPr="0055651E" w:rsidRDefault="0055651E" w:rsidP="00FD11D9">
            <w:pPr>
              <w:spacing w:before="20" w:after="20"/>
              <w:jc w:val="both"/>
              <w:rPr>
                <w:rFonts w:ascii="Segoe UI" w:hAnsi="Segoe UI" w:cs="Segoe UI"/>
                <w:i/>
                <w:iCs/>
                <w:sz w:val="18"/>
                <w:szCs w:val="18"/>
              </w:rPr>
            </w:pPr>
            <w:r w:rsidRPr="0055651E">
              <w:rPr>
                <w:rFonts w:ascii="Segoe UI" w:hAnsi="Segoe UI" w:cs="Segoe UI"/>
                <w:i/>
                <w:iCs/>
                <w:sz w:val="18"/>
                <w:szCs w:val="18"/>
              </w:rPr>
              <w:t>0</w:t>
            </w:r>
          </w:p>
        </w:tc>
        <w:tc>
          <w:tcPr>
            <w:tcW w:w="1660" w:type="dxa"/>
            <w:shd w:val="clear" w:color="auto" w:fill="D9D9D9" w:themeFill="background1" w:themeFillShade="D9"/>
          </w:tcPr>
          <w:p w14:paraId="05326089" w14:textId="174ACDDC" w:rsidR="007C2B84" w:rsidRPr="0055651E" w:rsidRDefault="0055651E" w:rsidP="00FD11D9">
            <w:pPr>
              <w:spacing w:before="20" w:after="20"/>
              <w:jc w:val="both"/>
              <w:rPr>
                <w:rFonts w:ascii="Segoe UI" w:hAnsi="Segoe UI" w:cs="Segoe UI"/>
                <w:i/>
                <w:iCs/>
                <w:sz w:val="18"/>
                <w:szCs w:val="18"/>
              </w:rPr>
            </w:pPr>
            <w:r w:rsidRPr="0055651E">
              <w:rPr>
                <w:rFonts w:ascii="Segoe UI" w:hAnsi="Segoe UI" w:cs="Segoe UI"/>
                <w:i/>
                <w:iCs/>
                <w:sz w:val="18"/>
                <w:szCs w:val="18"/>
              </w:rPr>
              <w:t>0</w:t>
            </w:r>
          </w:p>
        </w:tc>
      </w:tr>
    </w:tbl>
    <w:p w14:paraId="4C4F1AED"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Look w:val="04A0" w:firstRow="1" w:lastRow="0" w:firstColumn="1" w:lastColumn="0" w:noHBand="0" w:noVBand="1"/>
      </w:tblPr>
      <w:tblGrid>
        <w:gridCol w:w="2425"/>
        <w:gridCol w:w="1385"/>
        <w:gridCol w:w="1385"/>
        <w:gridCol w:w="692"/>
        <w:gridCol w:w="693"/>
        <w:gridCol w:w="1385"/>
        <w:gridCol w:w="1660"/>
      </w:tblGrid>
      <w:tr w:rsidR="007C2B84" w:rsidRPr="00CB1E53" w14:paraId="60F7AF2F" w14:textId="77777777" w:rsidTr="00D75D26">
        <w:tc>
          <w:tcPr>
            <w:tcW w:w="9625" w:type="dxa"/>
            <w:gridSpan w:val="7"/>
            <w:tcBorders>
              <w:left w:val="nil"/>
              <w:right w:val="nil"/>
            </w:tcBorders>
            <w:shd w:val="clear" w:color="auto" w:fill="D9D9D9" w:themeFill="background1" w:themeFillShade="D9"/>
          </w:tcPr>
          <w:p w14:paraId="11C8D748" w14:textId="09E77B0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4. Tax </w:t>
            </w:r>
            <w:r w:rsidR="00B84EE2">
              <w:rPr>
                <w:rFonts w:ascii="Segoe UI" w:hAnsi="Segoe UI" w:cs="Segoe UI"/>
                <w:b/>
                <w:bCs/>
                <w:sz w:val="18"/>
                <w:szCs w:val="18"/>
              </w:rPr>
              <w:t xml:space="preserve">exemption </w:t>
            </w:r>
            <w:r w:rsidRPr="00CB1E53">
              <w:rPr>
                <w:rFonts w:ascii="Segoe UI" w:hAnsi="Segoe UI" w:cs="Segoe UI"/>
                <w:b/>
                <w:bCs/>
                <w:sz w:val="18"/>
                <w:szCs w:val="18"/>
              </w:rPr>
              <w:t xml:space="preserve">for non-commercial organizations (NCOs) </w:t>
            </w:r>
          </w:p>
        </w:tc>
      </w:tr>
      <w:tr w:rsidR="007C2B84" w:rsidRPr="00CB1E53" w14:paraId="1C909127" w14:textId="77777777" w:rsidTr="00D75D26">
        <w:tc>
          <w:tcPr>
            <w:tcW w:w="2425" w:type="dxa"/>
            <w:tcBorders>
              <w:left w:val="nil"/>
            </w:tcBorders>
          </w:tcPr>
          <w:p w14:paraId="1908899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Borders>
              <w:right w:val="nil"/>
            </w:tcBorders>
          </w:tcPr>
          <w:p w14:paraId="77937F2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Non-commercial organizations (non-profit organizations) shall be exempt from the income tax if they meet the following requirements: </w:t>
            </w:r>
          </w:p>
          <w:p w14:paraId="708213C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a) are registered or established in accordance with the law and carry out activity in accordance with the purposes set out in the statute, regulation or other constituent document; </w:t>
            </w:r>
          </w:p>
          <w:p w14:paraId="493E531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a¹) the economic activity provided by the statute, regulation or other constituent document corresponds to the objectives and purposes provided for in the statute, regulation or other constituent document and results directly therefrom; </w:t>
            </w:r>
          </w:p>
          <w:p w14:paraId="7706C5C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 the statute, regulation or other constituent document indicates the prohibition on the distribution of special purpose funds, other means and income resulting from the statutory activity or property between the founders and members of the organization or among its employees, including in the reorganization process and liquidation of the non-profit organization;</w:t>
            </w:r>
          </w:p>
          <w:p w14:paraId="59DDC85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  c) special purpose funds, other funds and income derived from the statutory activity, property of the organization are used as provided by the statute, regulation or other constituent document; </w:t>
            </w:r>
          </w:p>
          <w:p w14:paraId="2C5ABCA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d) do not use the special-purpose funds, other funds and income derived from the statutory activity or the property in the interest of a founder or member of the organization or in the interest of an employee, except for the salary payments or other payments regulated by the Labor law, directed in its favor; </w:t>
            </w:r>
          </w:p>
          <w:p w14:paraId="3003CB0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 do not support the political parties, electoral blocks or candidates for public authorities and do not use the special-purpose means, other means and income derived from the statutory or property activity for their financing.</w:t>
            </w:r>
          </w:p>
        </w:tc>
      </w:tr>
      <w:tr w:rsidR="007C2B84" w:rsidRPr="00CB1E53" w14:paraId="537E6FD7" w14:textId="77777777" w:rsidTr="00D75D26">
        <w:tc>
          <w:tcPr>
            <w:tcW w:w="2425" w:type="dxa"/>
            <w:tcBorders>
              <w:left w:val="nil"/>
            </w:tcBorders>
          </w:tcPr>
          <w:p w14:paraId="711D553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Borders>
              <w:right w:val="nil"/>
            </w:tcBorders>
          </w:tcPr>
          <w:p w14:paraId="0D5A125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33A67551" w14:textId="77777777" w:rsidTr="00D75D26">
        <w:tc>
          <w:tcPr>
            <w:tcW w:w="2425" w:type="dxa"/>
            <w:tcBorders>
              <w:left w:val="nil"/>
            </w:tcBorders>
          </w:tcPr>
          <w:p w14:paraId="34957BF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Borders>
              <w:right w:val="nil"/>
            </w:tcBorders>
          </w:tcPr>
          <w:p w14:paraId="65C0E1E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Non-commercial organizations</w:t>
            </w:r>
          </w:p>
        </w:tc>
      </w:tr>
      <w:tr w:rsidR="007C2B84" w:rsidRPr="00CB1E53" w14:paraId="22EA5D53" w14:textId="77777777" w:rsidTr="00D75D26">
        <w:tc>
          <w:tcPr>
            <w:tcW w:w="2425" w:type="dxa"/>
            <w:tcBorders>
              <w:left w:val="nil"/>
            </w:tcBorders>
          </w:tcPr>
          <w:p w14:paraId="13EF729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Borders>
              <w:right w:val="nil"/>
            </w:tcBorders>
          </w:tcPr>
          <w:p w14:paraId="640B5C8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Legislated income tax exemption</w:t>
            </w:r>
          </w:p>
        </w:tc>
      </w:tr>
      <w:tr w:rsidR="007C2B84" w:rsidRPr="00CB1E53" w14:paraId="2AB5048E" w14:textId="77777777" w:rsidTr="00D75D26">
        <w:tc>
          <w:tcPr>
            <w:tcW w:w="2425" w:type="dxa"/>
            <w:tcBorders>
              <w:left w:val="nil"/>
            </w:tcBorders>
          </w:tcPr>
          <w:p w14:paraId="140AF34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Borders>
              <w:right w:val="nil"/>
            </w:tcBorders>
          </w:tcPr>
          <w:p w14:paraId="032482A7" w14:textId="6279E269"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tax exemption is a departure from the benchmark tax treatment, providing that taxable income attracts the 12% statutory BIT rate. The exemption is therefore a tax expenditure.</w:t>
            </w:r>
          </w:p>
        </w:tc>
      </w:tr>
      <w:tr w:rsidR="007C2B84" w:rsidRPr="00CB1E53" w14:paraId="56ACFD19" w14:textId="77777777" w:rsidTr="00D75D26">
        <w:tc>
          <w:tcPr>
            <w:tcW w:w="2425" w:type="dxa"/>
            <w:tcBorders>
              <w:left w:val="nil"/>
            </w:tcBorders>
          </w:tcPr>
          <w:p w14:paraId="7D7C84C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Borders>
              <w:right w:val="nil"/>
            </w:tcBorders>
          </w:tcPr>
          <w:p w14:paraId="2CFF3BF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52</w:t>
            </w:r>
          </w:p>
        </w:tc>
      </w:tr>
      <w:tr w:rsidR="007C2B84" w:rsidRPr="00CB1E53" w14:paraId="414BA13F" w14:textId="77777777" w:rsidTr="00D75D26">
        <w:trPr>
          <w:trHeight w:val="182"/>
        </w:trPr>
        <w:tc>
          <w:tcPr>
            <w:tcW w:w="2425" w:type="dxa"/>
            <w:vMerge w:val="restart"/>
            <w:tcBorders>
              <w:left w:val="nil"/>
            </w:tcBorders>
          </w:tcPr>
          <w:p w14:paraId="45769E0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Implementation, Objectives, and History</w:t>
            </w:r>
          </w:p>
        </w:tc>
        <w:tc>
          <w:tcPr>
            <w:tcW w:w="3462" w:type="dxa"/>
            <w:gridSpan w:val="3"/>
          </w:tcPr>
          <w:p w14:paraId="7298FBE8"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Borders>
              <w:right w:val="nil"/>
            </w:tcBorders>
          </w:tcPr>
          <w:p w14:paraId="7204E82B"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8034835" w14:textId="77777777" w:rsidTr="00D75D26">
        <w:trPr>
          <w:trHeight w:val="182"/>
        </w:trPr>
        <w:tc>
          <w:tcPr>
            <w:tcW w:w="2425" w:type="dxa"/>
            <w:vMerge/>
            <w:tcBorders>
              <w:left w:val="nil"/>
            </w:tcBorders>
          </w:tcPr>
          <w:p w14:paraId="0D75CFD2"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7BB26E4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Borders>
              <w:right w:val="nil"/>
            </w:tcBorders>
          </w:tcPr>
          <w:p w14:paraId="073D5C1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B83C12" w:rsidRPr="00CB1E53" w14:paraId="1A4A0A4C" w14:textId="77777777" w:rsidTr="00D75D26">
        <w:tc>
          <w:tcPr>
            <w:tcW w:w="2425" w:type="dxa"/>
            <w:tcBorders>
              <w:left w:val="nil"/>
            </w:tcBorders>
          </w:tcPr>
          <w:p w14:paraId="10F5EF46"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Borders>
              <w:right w:val="nil"/>
            </w:tcBorders>
          </w:tcPr>
          <w:p w14:paraId="45E917FC" w14:textId="24BA1385"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ONG17 tax data (2018)</w:t>
            </w:r>
          </w:p>
        </w:tc>
      </w:tr>
      <w:tr w:rsidR="00B83C12" w:rsidRPr="00CB1E53" w14:paraId="15844DFF" w14:textId="77777777" w:rsidTr="00D75D26">
        <w:tc>
          <w:tcPr>
            <w:tcW w:w="2425" w:type="dxa"/>
            <w:tcBorders>
              <w:left w:val="nil"/>
            </w:tcBorders>
          </w:tcPr>
          <w:p w14:paraId="2579C0BB"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Borders>
              <w:right w:val="nil"/>
            </w:tcBorders>
          </w:tcPr>
          <w:p w14:paraId="4AE38579" w14:textId="0C4875CB"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2EAB1ED5" w14:textId="77777777" w:rsidTr="00D75D26">
        <w:tc>
          <w:tcPr>
            <w:tcW w:w="2425" w:type="dxa"/>
            <w:tcBorders>
              <w:left w:val="nil"/>
              <w:bottom w:val="single" w:sz="4" w:space="0" w:color="auto"/>
            </w:tcBorders>
          </w:tcPr>
          <w:p w14:paraId="0FB0FDB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Borders>
              <w:bottom w:val="single" w:sz="4" w:space="0" w:color="auto"/>
              <w:right w:val="nil"/>
            </w:tcBorders>
          </w:tcPr>
          <w:p w14:paraId="1402134D"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B6C4AC9" w14:textId="77777777" w:rsidTr="00D75D26">
        <w:tc>
          <w:tcPr>
            <w:tcW w:w="2425" w:type="dxa"/>
            <w:tcBorders>
              <w:left w:val="nil"/>
            </w:tcBorders>
          </w:tcPr>
          <w:p w14:paraId="75CA8B2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Borders>
              <w:right w:val="nil"/>
            </w:tcBorders>
          </w:tcPr>
          <w:p w14:paraId="76490C5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2B45B074" w14:textId="77777777" w:rsidTr="00D75D26">
        <w:trPr>
          <w:trHeight w:val="91"/>
        </w:trPr>
        <w:tc>
          <w:tcPr>
            <w:tcW w:w="2425" w:type="dxa"/>
            <w:vMerge w:val="restart"/>
            <w:tcBorders>
              <w:left w:val="nil"/>
            </w:tcBorders>
          </w:tcPr>
          <w:p w14:paraId="347DFCBA"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6055413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1B3A60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3F6677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EEB134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Borders>
              <w:right w:val="nil"/>
            </w:tcBorders>
          </w:tcPr>
          <w:p w14:paraId="5B501B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65A54BDA" w14:textId="77777777" w:rsidTr="009130EE">
        <w:trPr>
          <w:trHeight w:val="91"/>
        </w:trPr>
        <w:tc>
          <w:tcPr>
            <w:tcW w:w="2425" w:type="dxa"/>
            <w:vMerge/>
            <w:tcBorders>
              <w:left w:val="nil"/>
            </w:tcBorders>
          </w:tcPr>
          <w:p w14:paraId="2B8F16DA"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2B6C7254" w14:textId="60110389"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0.6</w:t>
            </w:r>
          </w:p>
        </w:tc>
        <w:tc>
          <w:tcPr>
            <w:tcW w:w="1385" w:type="dxa"/>
            <w:shd w:val="clear" w:color="auto" w:fill="D9D9D9" w:themeFill="background1" w:themeFillShade="D9"/>
          </w:tcPr>
          <w:p w14:paraId="7A6ABEC7" w14:textId="5E3053FF"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0.6</w:t>
            </w:r>
          </w:p>
        </w:tc>
        <w:tc>
          <w:tcPr>
            <w:tcW w:w="1385" w:type="dxa"/>
            <w:gridSpan w:val="2"/>
            <w:shd w:val="clear" w:color="auto" w:fill="D9D9D9" w:themeFill="background1" w:themeFillShade="D9"/>
          </w:tcPr>
          <w:p w14:paraId="6C25D652" w14:textId="05E143D3"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0.6</w:t>
            </w:r>
          </w:p>
        </w:tc>
        <w:tc>
          <w:tcPr>
            <w:tcW w:w="1385" w:type="dxa"/>
            <w:shd w:val="clear" w:color="auto" w:fill="D9D9D9" w:themeFill="background1" w:themeFillShade="D9"/>
          </w:tcPr>
          <w:p w14:paraId="029BF5B7" w14:textId="24A6B5F5"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0.7</w:t>
            </w:r>
          </w:p>
        </w:tc>
        <w:tc>
          <w:tcPr>
            <w:tcW w:w="1660" w:type="dxa"/>
            <w:tcBorders>
              <w:right w:val="nil"/>
            </w:tcBorders>
            <w:shd w:val="clear" w:color="auto" w:fill="D9D9D9" w:themeFill="background1" w:themeFillShade="D9"/>
          </w:tcPr>
          <w:p w14:paraId="342E0C94" w14:textId="79FC3044"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0.8</w:t>
            </w:r>
          </w:p>
        </w:tc>
      </w:tr>
    </w:tbl>
    <w:p w14:paraId="115BE2FC"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1"/>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0DEBF1CA" w14:textId="77777777" w:rsidTr="00D75D26">
        <w:tc>
          <w:tcPr>
            <w:tcW w:w="9625" w:type="dxa"/>
            <w:gridSpan w:val="7"/>
            <w:shd w:val="clear" w:color="auto" w:fill="D9D9D9" w:themeFill="background1" w:themeFillShade="D9"/>
          </w:tcPr>
          <w:p w14:paraId="0D1F898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5. Tax exemption of income from non-commercial organizations and religious cults </w:t>
            </w:r>
          </w:p>
        </w:tc>
      </w:tr>
      <w:tr w:rsidR="007C2B84" w:rsidRPr="00CB1E53" w14:paraId="275EFDB3" w14:textId="77777777" w:rsidTr="00D75D26">
        <w:tc>
          <w:tcPr>
            <w:tcW w:w="2425" w:type="dxa"/>
          </w:tcPr>
          <w:p w14:paraId="2FA77B8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73A6C7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incomes received by non-commercial organizations, religious cults, and their constituent parts according to the law as a result of percentage designation.</w:t>
            </w:r>
          </w:p>
        </w:tc>
      </w:tr>
      <w:tr w:rsidR="007C2B84" w:rsidRPr="00CB1E53" w14:paraId="52286097" w14:textId="77777777" w:rsidTr="00D75D26">
        <w:tc>
          <w:tcPr>
            <w:tcW w:w="2425" w:type="dxa"/>
          </w:tcPr>
          <w:p w14:paraId="02377CE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25C0026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0930B032" w14:textId="77777777" w:rsidTr="00D75D26">
        <w:tc>
          <w:tcPr>
            <w:tcW w:w="2425" w:type="dxa"/>
          </w:tcPr>
          <w:p w14:paraId="720E5C6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BFC4D5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Non-commercial and belief organizations.</w:t>
            </w:r>
          </w:p>
        </w:tc>
      </w:tr>
      <w:tr w:rsidR="007C2B84" w:rsidRPr="00CB1E53" w14:paraId="5AB8F6D8" w14:textId="77777777" w:rsidTr="00D75D26">
        <w:tc>
          <w:tcPr>
            <w:tcW w:w="2425" w:type="dxa"/>
          </w:tcPr>
          <w:p w14:paraId="2BE4259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A83BB6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7C2B84" w:rsidRPr="00CB1E53" w14:paraId="06E763E1" w14:textId="77777777" w:rsidTr="00D75D26">
        <w:tc>
          <w:tcPr>
            <w:tcW w:w="2425" w:type="dxa"/>
          </w:tcPr>
          <w:p w14:paraId="04E29E8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4E95826" w14:textId="3663E7DC"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accretion of income from whatever source should attract BIT at the rate of 12%. The non-taxation of these income accretions constitutes a tax expenditure.</w:t>
            </w:r>
          </w:p>
        </w:tc>
      </w:tr>
      <w:tr w:rsidR="007C2B84" w:rsidRPr="00CB1E53" w14:paraId="1E25DFED" w14:textId="77777777" w:rsidTr="00D75D26">
        <w:tc>
          <w:tcPr>
            <w:tcW w:w="2425" w:type="dxa"/>
          </w:tcPr>
          <w:p w14:paraId="75EF597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A4758C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Art. 20(z</w:t>
            </w:r>
            <w:r w:rsidRPr="00CB1E53">
              <w:rPr>
                <w:rFonts w:ascii="Segoe UI" w:hAnsi="Segoe UI" w:cs="Segoe UI"/>
                <w:sz w:val="18"/>
                <w:szCs w:val="18"/>
                <w:vertAlign w:val="superscript"/>
              </w:rPr>
              <w:t>13</w:t>
            </w:r>
            <w:r w:rsidRPr="00CB1E53">
              <w:rPr>
                <w:rFonts w:ascii="Segoe UI" w:hAnsi="Segoe UI" w:cs="Segoe UI"/>
                <w:sz w:val="18"/>
                <w:szCs w:val="18"/>
              </w:rPr>
              <w:t>) of the TC</w:t>
            </w:r>
          </w:p>
        </w:tc>
      </w:tr>
      <w:tr w:rsidR="007C2B84" w:rsidRPr="00CB1E53" w14:paraId="6B526BF6" w14:textId="77777777" w:rsidTr="00D75D26">
        <w:trPr>
          <w:trHeight w:val="182"/>
        </w:trPr>
        <w:tc>
          <w:tcPr>
            <w:tcW w:w="2425" w:type="dxa"/>
            <w:vMerge w:val="restart"/>
          </w:tcPr>
          <w:p w14:paraId="2E0C56E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A6E7A31"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62BBEC4" w14:textId="77777777" w:rsidTr="00D75D26">
        <w:trPr>
          <w:trHeight w:val="182"/>
        </w:trPr>
        <w:tc>
          <w:tcPr>
            <w:tcW w:w="2425" w:type="dxa"/>
            <w:vMerge/>
          </w:tcPr>
          <w:p w14:paraId="5404A51E"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513F475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03A0AD7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B83C12" w:rsidRPr="00CB1E53" w14:paraId="1DC7A7F9" w14:textId="77777777" w:rsidTr="00D75D26">
        <w:tc>
          <w:tcPr>
            <w:tcW w:w="2425" w:type="dxa"/>
          </w:tcPr>
          <w:p w14:paraId="17424DCE"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5AFA130" w14:textId="6FA9C14D"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ONG17 tax data (2018)</w:t>
            </w:r>
          </w:p>
        </w:tc>
      </w:tr>
      <w:tr w:rsidR="00B83C12" w:rsidRPr="00CB1E53" w14:paraId="6727E2C1" w14:textId="77777777" w:rsidTr="00D75D26">
        <w:tc>
          <w:tcPr>
            <w:tcW w:w="2425" w:type="dxa"/>
          </w:tcPr>
          <w:p w14:paraId="0F83C6C3"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D6CEF5F" w14:textId="77C03A3C"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73358883" w14:textId="77777777" w:rsidTr="00D75D26">
        <w:tc>
          <w:tcPr>
            <w:tcW w:w="2425" w:type="dxa"/>
          </w:tcPr>
          <w:p w14:paraId="0032FE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F63D029"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5C42F53" w14:textId="77777777" w:rsidTr="00D75D26">
        <w:tc>
          <w:tcPr>
            <w:tcW w:w="2425" w:type="dxa"/>
          </w:tcPr>
          <w:p w14:paraId="67C30D1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0D9FCC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5F47AF83" w14:textId="77777777" w:rsidTr="00D75D26">
        <w:trPr>
          <w:trHeight w:val="91"/>
        </w:trPr>
        <w:tc>
          <w:tcPr>
            <w:tcW w:w="2425" w:type="dxa"/>
            <w:vMerge w:val="restart"/>
          </w:tcPr>
          <w:p w14:paraId="52583760"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D514ED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34B713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04236C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73C18D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791611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429AE633" w14:textId="77777777" w:rsidTr="009130EE">
        <w:trPr>
          <w:trHeight w:val="91"/>
        </w:trPr>
        <w:tc>
          <w:tcPr>
            <w:tcW w:w="2425" w:type="dxa"/>
            <w:vMerge/>
          </w:tcPr>
          <w:p w14:paraId="5C2518D8"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636F1A9" w14:textId="73EEF20A"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0.3</w:t>
            </w:r>
          </w:p>
        </w:tc>
        <w:tc>
          <w:tcPr>
            <w:tcW w:w="1385" w:type="dxa"/>
            <w:shd w:val="clear" w:color="auto" w:fill="D9D9D9" w:themeFill="background1" w:themeFillShade="D9"/>
          </w:tcPr>
          <w:p w14:paraId="54E1960B" w14:textId="388911CA"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0.3</w:t>
            </w:r>
          </w:p>
        </w:tc>
        <w:tc>
          <w:tcPr>
            <w:tcW w:w="1385" w:type="dxa"/>
            <w:gridSpan w:val="2"/>
            <w:shd w:val="clear" w:color="auto" w:fill="D9D9D9" w:themeFill="background1" w:themeFillShade="D9"/>
          </w:tcPr>
          <w:p w14:paraId="6D45FFEE" w14:textId="7318B632"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0.3</w:t>
            </w:r>
          </w:p>
        </w:tc>
        <w:tc>
          <w:tcPr>
            <w:tcW w:w="1385" w:type="dxa"/>
            <w:shd w:val="clear" w:color="auto" w:fill="D9D9D9" w:themeFill="background1" w:themeFillShade="D9"/>
          </w:tcPr>
          <w:p w14:paraId="317848CB" w14:textId="2F486870"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0.3</w:t>
            </w:r>
          </w:p>
        </w:tc>
        <w:tc>
          <w:tcPr>
            <w:tcW w:w="1660" w:type="dxa"/>
            <w:shd w:val="clear" w:color="auto" w:fill="D9D9D9" w:themeFill="background1" w:themeFillShade="D9"/>
          </w:tcPr>
          <w:p w14:paraId="6E8D6CFC" w14:textId="55D1BDA5"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0.3</w:t>
            </w:r>
          </w:p>
        </w:tc>
      </w:tr>
    </w:tbl>
    <w:p w14:paraId="4B7E06AC"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7E2838FC" w14:textId="77777777" w:rsidTr="00D75D26">
        <w:tc>
          <w:tcPr>
            <w:tcW w:w="9625" w:type="dxa"/>
            <w:gridSpan w:val="7"/>
            <w:shd w:val="clear" w:color="auto" w:fill="D9D9D9" w:themeFill="background1" w:themeFillShade="D9"/>
          </w:tcPr>
          <w:p w14:paraId="3CD2CDA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6. Tax exemption of income generated by societies of blind, deaf and disabled persons</w:t>
            </w:r>
          </w:p>
        </w:tc>
      </w:tr>
      <w:tr w:rsidR="007C2B84" w:rsidRPr="00CB1E53" w14:paraId="19AA9324" w14:textId="77777777" w:rsidTr="00D75D26">
        <w:tc>
          <w:tcPr>
            <w:tcW w:w="2425" w:type="dxa"/>
          </w:tcPr>
          <w:p w14:paraId="681F1A0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C364966" w14:textId="60B7FB11"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The enterprises created with a view to the achievement of the statutory goals of the societies of blind, deaf and disabled persons shall be exempt from </w:t>
            </w:r>
            <w:r w:rsidR="00411708">
              <w:rPr>
                <w:rFonts w:ascii="Segoe UI" w:hAnsi="Segoe UI" w:cs="Segoe UI"/>
                <w:sz w:val="18"/>
                <w:szCs w:val="18"/>
              </w:rPr>
              <w:t>income</w:t>
            </w:r>
            <w:r w:rsidR="00411708" w:rsidRPr="00CB1E53">
              <w:rPr>
                <w:rFonts w:ascii="Segoe UI" w:hAnsi="Segoe UI" w:cs="Segoe UI"/>
                <w:sz w:val="18"/>
                <w:szCs w:val="18"/>
              </w:rPr>
              <w:t xml:space="preserve"> </w:t>
            </w:r>
            <w:r w:rsidRPr="00CB1E53">
              <w:rPr>
                <w:rFonts w:ascii="Segoe UI" w:hAnsi="Segoe UI" w:cs="Segoe UI"/>
                <w:sz w:val="18"/>
                <w:szCs w:val="18"/>
              </w:rPr>
              <w:t>tax.</w:t>
            </w:r>
          </w:p>
        </w:tc>
      </w:tr>
      <w:tr w:rsidR="007C2B84" w:rsidRPr="00CB1E53" w14:paraId="35D9A2E8" w14:textId="77777777" w:rsidTr="00D75D26">
        <w:tc>
          <w:tcPr>
            <w:tcW w:w="2425" w:type="dxa"/>
          </w:tcPr>
          <w:p w14:paraId="3FDB91B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570DCF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5E6C92E6" w14:textId="77777777" w:rsidTr="00D75D26">
        <w:tc>
          <w:tcPr>
            <w:tcW w:w="2425" w:type="dxa"/>
          </w:tcPr>
          <w:p w14:paraId="794B7A7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FA52AE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Enterprises created by the societies of blind, deaf and disabled persons</w:t>
            </w:r>
          </w:p>
        </w:tc>
      </w:tr>
      <w:tr w:rsidR="007C2B84" w:rsidRPr="00CB1E53" w14:paraId="60315801" w14:textId="77777777" w:rsidTr="00D75D26">
        <w:tc>
          <w:tcPr>
            <w:tcW w:w="2425" w:type="dxa"/>
          </w:tcPr>
          <w:p w14:paraId="064C625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B66575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55F70BCE" w14:textId="77777777" w:rsidTr="00D75D26">
        <w:tc>
          <w:tcPr>
            <w:tcW w:w="2425" w:type="dxa"/>
          </w:tcPr>
          <w:p w14:paraId="600A0F6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CFECC7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legislated tax exemption is a departure from the benchmark tax treatment, providing that taxable income attracts the 12% statutory BIT rate. The exemption is therefore a tax expenditure.</w:t>
            </w:r>
          </w:p>
        </w:tc>
      </w:tr>
      <w:tr w:rsidR="007C2B84" w:rsidRPr="00CB1E53" w14:paraId="1A505C09" w14:textId="77777777" w:rsidTr="00D75D26">
        <w:tc>
          <w:tcPr>
            <w:tcW w:w="2425" w:type="dxa"/>
          </w:tcPr>
          <w:p w14:paraId="018CD38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29C896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53</w:t>
            </w:r>
            <w:r w:rsidRPr="00CB1E53">
              <w:rPr>
                <w:rFonts w:ascii="Segoe UI" w:hAnsi="Segoe UI" w:cs="Segoe UI"/>
                <w:sz w:val="18"/>
                <w:szCs w:val="18"/>
                <w:vertAlign w:val="superscript"/>
              </w:rPr>
              <w:t>1</w:t>
            </w:r>
          </w:p>
        </w:tc>
      </w:tr>
      <w:tr w:rsidR="007C2B84" w:rsidRPr="00CB1E53" w14:paraId="0517D8BA" w14:textId="77777777" w:rsidTr="00D75D26">
        <w:trPr>
          <w:trHeight w:val="182"/>
        </w:trPr>
        <w:tc>
          <w:tcPr>
            <w:tcW w:w="2425" w:type="dxa"/>
            <w:vMerge w:val="restart"/>
          </w:tcPr>
          <w:p w14:paraId="17E790E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29AF0F5A"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3BECC394"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59865BF" w14:textId="77777777" w:rsidTr="00D75D26">
        <w:trPr>
          <w:trHeight w:val="182"/>
        </w:trPr>
        <w:tc>
          <w:tcPr>
            <w:tcW w:w="2425" w:type="dxa"/>
            <w:vMerge/>
          </w:tcPr>
          <w:p w14:paraId="7EE20C2B"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40F9BB1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2004</w:t>
            </w:r>
          </w:p>
        </w:tc>
        <w:tc>
          <w:tcPr>
            <w:tcW w:w="3738" w:type="dxa"/>
            <w:gridSpan w:val="3"/>
          </w:tcPr>
          <w:p w14:paraId="478B49B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B83C12" w:rsidRPr="00CB1E53" w14:paraId="42F3F61B" w14:textId="77777777" w:rsidTr="00D75D26">
        <w:tc>
          <w:tcPr>
            <w:tcW w:w="2425" w:type="dxa"/>
          </w:tcPr>
          <w:p w14:paraId="02842FED"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42F3AEA" w14:textId="688320C1"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B83C12" w:rsidRPr="00CB1E53" w14:paraId="6AF27E05" w14:textId="77777777" w:rsidTr="00D75D26">
        <w:tc>
          <w:tcPr>
            <w:tcW w:w="2425" w:type="dxa"/>
          </w:tcPr>
          <w:p w14:paraId="24354526" w14:textId="77777777" w:rsidR="00B83C12" w:rsidRPr="00CB1E53" w:rsidRDefault="00B83C12"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2AAA8664" w14:textId="098C76AA" w:rsidR="00B83C12" w:rsidRPr="00CB1E53" w:rsidRDefault="00B83C12"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492AB7E3" w14:textId="77777777" w:rsidTr="00D75D26">
        <w:tc>
          <w:tcPr>
            <w:tcW w:w="2425" w:type="dxa"/>
          </w:tcPr>
          <w:p w14:paraId="73D981E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A592699"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C290DE0" w14:textId="77777777" w:rsidTr="00D75D26">
        <w:tc>
          <w:tcPr>
            <w:tcW w:w="2425" w:type="dxa"/>
          </w:tcPr>
          <w:p w14:paraId="06DD667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6B1C03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37D74DD5" w14:textId="77777777" w:rsidTr="00D75D26">
        <w:trPr>
          <w:trHeight w:val="91"/>
        </w:trPr>
        <w:tc>
          <w:tcPr>
            <w:tcW w:w="2425" w:type="dxa"/>
            <w:vMerge w:val="restart"/>
          </w:tcPr>
          <w:p w14:paraId="6E060DE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794F8A3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B7553A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5F168C5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F122C9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745479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13B615B0" w14:textId="77777777" w:rsidTr="009130EE">
        <w:trPr>
          <w:trHeight w:val="91"/>
        </w:trPr>
        <w:tc>
          <w:tcPr>
            <w:tcW w:w="2425" w:type="dxa"/>
            <w:vMerge/>
          </w:tcPr>
          <w:p w14:paraId="59D1BB38"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5E084130" w14:textId="5225C9C6"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0.1</w:t>
            </w:r>
          </w:p>
        </w:tc>
        <w:tc>
          <w:tcPr>
            <w:tcW w:w="1385" w:type="dxa"/>
            <w:shd w:val="clear" w:color="auto" w:fill="D9D9D9" w:themeFill="background1" w:themeFillShade="D9"/>
          </w:tcPr>
          <w:p w14:paraId="7DB9B336" w14:textId="652090CC"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0.1</w:t>
            </w:r>
          </w:p>
        </w:tc>
        <w:tc>
          <w:tcPr>
            <w:tcW w:w="1385" w:type="dxa"/>
            <w:gridSpan w:val="2"/>
            <w:shd w:val="clear" w:color="auto" w:fill="D9D9D9" w:themeFill="background1" w:themeFillShade="D9"/>
          </w:tcPr>
          <w:p w14:paraId="581D2A95" w14:textId="408B2956"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0.1</w:t>
            </w:r>
          </w:p>
        </w:tc>
        <w:tc>
          <w:tcPr>
            <w:tcW w:w="1385" w:type="dxa"/>
            <w:shd w:val="clear" w:color="auto" w:fill="D9D9D9" w:themeFill="background1" w:themeFillShade="D9"/>
          </w:tcPr>
          <w:p w14:paraId="71F77BA7" w14:textId="240CC4BD"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0.1</w:t>
            </w:r>
          </w:p>
        </w:tc>
        <w:tc>
          <w:tcPr>
            <w:tcW w:w="1660" w:type="dxa"/>
            <w:shd w:val="clear" w:color="auto" w:fill="D9D9D9" w:themeFill="background1" w:themeFillShade="D9"/>
          </w:tcPr>
          <w:p w14:paraId="3E4FBA97" w14:textId="103DFA31" w:rsidR="007C2B84" w:rsidRPr="00B83C12" w:rsidRDefault="00B84EE2" w:rsidP="00FD11D9">
            <w:pPr>
              <w:spacing w:before="20" w:after="20"/>
              <w:jc w:val="both"/>
              <w:rPr>
                <w:rFonts w:ascii="Segoe UI" w:hAnsi="Segoe UI" w:cs="Segoe UI"/>
                <w:i/>
                <w:iCs/>
                <w:sz w:val="18"/>
                <w:szCs w:val="18"/>
              </w:rPr>
            </w:pPr>
            <w:r w:rsidRPr="00B83C12">
              <w:rPr>
                <w:rFonts w:ascii="Segoe UI" w:hAnsi="Segoe UI" w:cs="Segoe UI"/>
                <w:i/>
                <w:iCs/>
                <w:sz w:val="18"/>
                <w:szCs w:val="18"/>
              </w:rPr>
              <w:t>0.1</w:t>
            </w:r>
          </w:p>
        </w:tc>
      </w:tr>
    </w:tbl>
    <w:p w14:paraId="4B6ACAD1"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4D222368" w14:textId="77777777" w:rsidTr="00D75D26">
        <w:tc>
          <w:tcPr>
            <w:tcW w:w="9625" w:type="dxa"/>
            <w:gridSpan w:val="7"/>
            <w:shd w:val="clear" w:color="auto" w:fill="D9D9D9" w:themeFill="background1" w:themeFillShade="D9"/>
          </w:tcPr>
          <w:p w14:paraId="5AF3918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7. Tax relief for savings and loan associations</w:t>
            </w:r>
          </w:p>
        </w:tc>
      </w:tr>
      <w:tr w:rsidR="007C2B84" w:rsidRPr="00CB1E53" w14:paraId="251EF82A" w14:textId="77777777" w:rsidTr="00D75D26">
        <w:tc>
          <w:tcPr>
            <w:tcW w:w="2425" w:type="dxa"/>
          </w:tcPr>
          <w:p w14:paraId="31B53E4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123CA9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Savings and Loan Associations shall be exempt from income tax.</w:t>
            </w:r>
          </w:p>
        </w:tc>
      </w:tr>
      <w:tr w:rsidR="007C2B84" w:rsidRPr="00CB1E53" w14:paraId="67BA10A3" w14:textId="77777777" w:rsidTr="00D75D26">
        <w:tc>
          <w:tcPr>
            <w:tcW w:w="2425" w:type="dxa"/>
          </w:tcPr>
          <w:p w14:paraId="302334C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1ACA81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4A80DE89" w14:textId="77777777" w:rsidTr="00D75D26">
        <w:tc>
          <w:tcPr>
            <w:tcW w:w="2425" w:type="dxa"/>
          </w:tcPr>
          <w:p w14:paraId="681D2E9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290DD2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Savings and Loan Associations</w:t>
            </w:r>
          </w:p>
        </w:tc>
      </w:tr>
      <w:tr w:rsidR="007C2B84" w:rsidRPr="00CB1E53" w14:paraId="242AA597" w14:textId="77777777" w:rsidTr="00D75D26">
        <w:tc>
          <w:tcPr>
            <w:tcW w:w="2425" w:type="dxa"/>
          </w:tcPr>
          <w:p w14:paraId="4CE5FE8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E62ECF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0B99F0C0" w14:textId="77777777" w:rsidTr="00D75D26">
        <w:tc>
          <w:tcPr>
            <w:tcW w:w="2425" w:type="dxa"/>
          </w:tcPr>
          <w:p w14:paraId="131F591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4AA7D6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The legislated tax exemption is a departure from the benchmark tax treatment, providing that taxable income attracts the 12% statutory BIT rate. </w:t>
            </w:r>
          </w:p>
        </w:tc>
      </w:tr>
      <w:tr w:rsidR="007C2B84" w:rsidRPr="00CB1E53" w14:paraId="66748FFF" w14:textId="77777777" w:rsidTr="00D75D26">
        <w:tc>
          <w:tcPr>
            <w:tcW w:w="2425" w:type="dxa"/>
          </w:tcPr>
          <w:p w14:paraId="2BB5B3C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4BF358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53</w:t>
            </w:r>
            <w:r w:rsidRPr="00CB1E53">
              <w:rPr>
                <w:rFonts w:ascii="Segoe UI" w:hAnsi="Segoe UI" w:cs="Segoe UI"/>
                <w:sz w:val="18"/>
                <w:szCs w:val="18"/>
                <w:vertAlign w:val="superscript"/>
              </w:rPr>
              <w:t>2</w:t>
            </w:r>
          </w:p>
        </w:tc>
      </w:tr>
      <w:tr w:rsidR="007C2B84" w:rsidRPr="00CB1E53" w14:paraId="7E382517" w14:textId="77777777" w:rsidTr="00D75D26">
        <w:trPr>
          <w:trHeight w:val="182"/>
        </w:trPr>
        <w:tc>
          <w:tcPr>
            <w:tcW w:w="2425" w:type="dxa"/>
            <w:vMerge w:val="restart"/>
          </w:tcPr>
          <w:p w14:paraId="20C5067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41962BD2"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391BE54A"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5E58B3A" w14:textId="77777777" w:rsidTr="00D75D26">
        <w:trPr>
          <w:trHeight w:val="182"/>
        </w:trPr>
        <w:tc>
          <w:tcPr>
            <w:tcW w:w="2425" w:type="dxa"/>
            <w:vMerge/>
          </w:tcPr>
          <w:p w14:paraId="4AF3E20F"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0934394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and in effect since: 2005</w:t>
            </w:r>
          </w:p>
        </w:tc>
        <w:tc>
          <w:tcPr>
            <w:tcW w:w="3738" w:type="dxa"/>
            <w:gridSpan w:val="3"/>
          </w:tcPr>
          <w:p w14:paraId="3386653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B087B" w:rsidRPr="00CB1E53" w14:paraId="7E9AB106" w14:textId="77777777" w:rsidTr="00D75D26">
        <w:tc>
          <w:tcPr>
            <w:tcW w:w="2425" w:type="dxa"/>
          </w:tcPr>
          <w:p w14:paraId="121B1C45"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51841A2" w14:textId="7A80D33C"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FB087B" w:rsidRPr="00CB1E53" w14:paraId="2AEA25A9" w14:textId="77777777" w:rsidTr="00D75D26">
        <w:tc>
          <w:tcPr>
            <w:tcW w:w="2425" w:type="dxa"/>
          </w:tcPr>
          <w:p w14:paraId="0F8636D5"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2AF24267" w14:textId="3B349CD5"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21F25BF3" w14:textId="77777777" w:rsidTr="00D75D26">
        <w:tc>
          <w:tcPr>
            <w:tcW w:w="2425" w:type="dxa"/>
          </w:tcPr>
          <w:p w14:paraId="73B39FB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D03B2E2"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A375D16" w14:textId="77777777" w:rsidTr="00D75D26">
        <w:tc>
          <w:tcPr>
            <w:tcW w:w="2425" w:type="dxa"/>
          </w:tcPr>
          <w:p w14:paraId="69BE369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14048D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0D5DB966" w14:textId="77777777" w:rsidTr="00D75D26">
        <w:trPr>
          <w:trHeight w:val="91"/>
        </w:trPr>
        <w:tc>
          <w:tcPr>
            <w:tcW w:w="2425" w:type="dxa"/>
            <w:vMerge w:val="restart"/>
          </w:tcPr>
          <w:p w14:paraId="18FAEDEF"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6D86B49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3CB5C6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BA58B6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8E1C50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850C33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483BC83E" w14:textId="77777777" w:rsidTr="009130EE">
        <w:trPr>
          <w:trHeight w:val="91"/>
        </w:trPr>
        <w:tc>
          <w:tcPr>
            <w:tcW w:w="2425" w:type="dxa"/>
            <w:vMerge/>
          </w:tcPr>
          <w:p w14:paraId="5F9E3C2B"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54772DB7" w14:textId="07B9AC14" w:rsidR="007C2B84" w:rsidRPr="00CB1E53" w:rsidRDefault="00B84EE2" w:rsidP="00FD11D9">
            <w:pPr>
              <w:spacing w:before="20" w:after="20"/>
              <w:jc w:val="both"/>
              <w:rPr>
                <w:rFonts w:ascii="Segoe UI" w:hAnsi="Segoe UI" w:cs="Segoe UI"/>
                <w:sz w:val="18"/>
                <w:szCs w:val="18"/>
              </w:rPr>
            </w:pPr>
            <w:r>
              <w:rPr>
                <w:rFonts w:ascii="Segoe UI" w:hAnsi="Segoe UI" w:cs="Segoe UI"/>
                <w:sz w:val="18"/>
                <w:szCs w:val="18"/>
              </w:rPr>
              <w:t>8.7</w:t>
            </w:r>
          </w:p>
        </w:tc>
        <w:tc>
          <w:tcPr>
            <w:tcW w:w="1385" w:type="dxa"/>
            <w:shd w:val="clear" w:color="auto" w:fill="D9D9D9" w:themeFill="background1" w:themeFillShade="D9"/>
          </w:tcPr>
          <w:p w14:paraId="7B219520" w14:textId="5054C986" w:rsidR="007C2B84" w:rsidRPr="00FB087B" w:rsidRDefault="00B84EE2" w:rsidP="00FD11D9">
            <w:pPr>
              <w:spacing w:before="20" w:after="20"/>
              <w:jc w:val="both"/>
              <w:rPr>
                <w:rFonts w:ascii="Segoe UI" w:hAnsi="Segoe UI" w:cs="Segoe UI"/>
                <w:i/>
                <w:iCs/>
                <w:sz w:val="18"/>
                <w:szCs w:val="18"/>
              </w:rPr>
            </w:pPr>
            <w:r w:rsidRPr="00FB087B">
              <w:rPr>
                <w:rFonts w:ascii="Segoe UI" w:hAnsi="Segoe UI" w:cs="Segoe UI"/>
                <w:i/>
                <w:iCs/>
                <w:sz w:val="18"/>
                <w:szCs w:val="18"/>
              </w:rPr>
              <w:t>8.8</w:t>
            </w:r>
          </w:p>
        </w:tc>
        <w:tc>
          <w:tcPr>
            <w:tcW w:w="1385" w:type="dxa"/>
            <w:gridSpan w:val="2"/>
            <w:shd w:val="clear" w:color="auto" w:fill="D9D9D9" w:themeFill="background1" w:themeFillShade="D9"/>
          </w:tcPr>
          <w:p w14:paraId="5262F00C" w14:textId="3556259B" w:rsidR="007C2B84" w:rsidRPr="00FB087B" w:rsidRDefault="00B84EE2" w:rsidP="00FD11D9">
            <w:pPr>
              <w:spacing w:before="20" w:after="20"/>
              <w:jc w:val="both"/>
              <w:rPr>
                <w:rFonts w:ascii="Segoe UI" w:hAnsi="Segoe UI" w:cs="Segoe UI"/>
                <w:i/>
                <w:iCs/>
                <w:sz w:val="18"/>
                <w:szCs w:val="18"/>
              </w:rPr>
            </w:pPr>
            <w:r w:rsidRPr="00FB087B">
              <w:rPr>
                <w:rFonts w:ascii="Segoe UI" w:hAnsi="Segoe UI" w:cs="Segoe UI"/>
                <w:i/>
                <w:iCs/>
                <w:sz w:val="18"/>
                <w:szCs w:val="18"/>
              </w:rPr>
              <w:t>8.4</w:t>
            </w:r>
          </w:p>
        </w:tc>
        <w:tc>
          <w:tcPr>
            <w:tcW w:w="1385" w:type="dxa"/>
            <w:shd w:val="clear" w:color="auto" w:fill="D9D9D9" w:themeFill="background1" w:themeFillShade="D9"/>
          </w:tcPr>
          <w:p w14:paraId="389FED47" w14:textId="2BDF7E26" w:rsidR="007C2B84" w:rsidRPr="00FB087B" w:rsidRDefault="00B84EE2" w:rsidP="00FD11D9">
            <w:pPr>
              <w:spacing w:before="20" w:after="20"/>
              <w:jc w:val="both"/>
              <w:rPr>
                <w:rFonts w:ascii="Segoe UI" w:hAnsi="Segoe UI" w:cs="Segoe UI"/>
                <w:i/>
                <w:iCs/>
                <w:sz w:val="18"/>
                <w:szCs w:val="18"/>
              </w:rPr>
            </w:pPr>
            <w:r w:rsidRPr="00FB087B">
              <w:rPr>
                <w:rFonts w:ascii="Segoe UI" w:hAnsi="Segoe UI" w:cs="Segoe UI"/>
                <w:i/>
                <w:iCs/>
                <w:sz w:val="18"/>
                <w:szCs w:val="18"/>
              </w:rPr>
              <w:t>9.7</w:t>
            </w:r>
          </w:p>
        </w:tc>
        <w:tc>
          <w:tcPr>
            <w:tcW w:w="1660" w:type="dxa"/>
            <w:shd w:val="clear" w:color="auto" w:fill="D9D9D9" w:themeFill="background1" w:themeFillShade="D9"/>
          </w:tcPr>
          <w:p w14:paraId="6A5E8C5D" w14:textId="6B9EE856" w:rsidR="007C2B84" w:rsidRPr="00FB087B" w:rsidRDefault="00B84EE2" w:rsidP="00FD11D9">
            <w:pPr>
              <w:spacing w:before="20" w:after="20"/>
              <w:jc w:val="both"/>
              <w:rPr>
                <w:rFonts w:ascii="Segoe UI" w:hAnsi="Segoe UI" w:cs="Segoe UI"/>
                <w:i/>
                <w:iCs/>
                <w:sz w:val="18"/>
                <w:szCs w:val="18"/>
              </w:rPr>
            </w:pPr>
            <w:r w:rsidRPr="00FB087B">
              <w:rPr>
                <w:rFonts w:ascii="Segoe UI" w:hAnsi="Segoe UI" w:cs="Segoe UI"/>
                <w:i/>
                <w:iCs/>
                <w:sz w:val="18"/>
                <w:szCs w:val="18"/>
              </w:rPr>
              <w:t>10.8</w:t>
            </w:r>
          </w:p>
        </w:tc>
      </w:tr>
    </w:tbl>
    <w:p w14:paraId="387DC10D"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4F553567" w14:textId="77777777" w:rsidTr="00D75D26">
        <w:tc>
          <w:tcPr>
            <w:tcW w:w="9625" w:type="dxa"/>
            <w:gridSpan w:val="7"/>
            <w:shd w:val="clear" w:color="auto" w:fill="D9D9D9" w:themeFill="background1" w:themeFillShade="D9"/>
          </w:tcPr>
          <w:p w14:paraId="4B63D0F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8. Tax incentive to encourage participation in non-state pension funds</w:t>
            </w:r>
          </w:p>
        </w:tc>
      </w:tr>
      <w:tr w:rsidR="007C2B84" w:rsidRPr="00CB1E53" w14:paraId="5BCAFC3A" w14:textId="77777777" w:rsidTr="00D75D26">
        <w:tc>
          <w:tcPr>
            <w:tcW w:w="2425" w:type="dxa"/>
          </w:tcPr>
          <w:p w14:paraId="12EE92C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58288E7" w14:textId="77777777" w:rsidR="007C2B84" w:rsidRPr="00CB1E53" w:rsidRDefault="007C2B84" w:rsidP="00FD11D9">
            <w:pPr>
              <w:pStyle w:val="Default"/>
              <w:spacing w:before="20" w:after="20"/>
              <w:jc w:val="both"/>
              <w:rPr>
                <w:rFonts w:ascii="Segoe UI" w:hAnsi="Segoe UI" w:cs="Segoe UI"/>
                <w:color w:val="auto"/>
                <w:sz w:val="18"/>
                <w:szCs w:val="18"/>
              </w:rPr>
            </w:pPr>
            <w:r w:rsidRPr="00CB1E53">
              <w:rPr>
                <w:rFonts w:ascii="Segoe UI" w:hAnsi="Segoe UI" w:cs="Segoe UI"/>
                <w:color w:val="auto"/>
                <w:sz w:val="18"/>
                <w:szCs w:val="18"/>
              </w:rPr>
              <w:t>The income of the non-state pension fund shall not be taxed, but any payments (i.e., early withdrawals or annuities) made from this fund shall be included in the gross income of the beneficiary.</w:t>
            </w:r>
          </w:p>
        </w:tc>
      </w:tr>
      <w:tr w:rsidR="007C2B84" w:rsidRPr="00CB1E53" w14:paraId="0A203772" w14:textId="77777777" w:rsidTr="00D75D26">
        <w:tc>
          <w:tcPr>
            <w:tcW w:w="2425" w:type="dxa"/>
          </w:tcPr>
          <w:p w14:paraId="153B360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B93A4A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0307BCE3" w14:textId="77777777" w:rsidTr="00D75D26">
        <w:tc>
          <w:tcPr>
            <w:tcW w:w="2425" w:type="dxa"/>
          </w:tcPr>
          <w:p w14:paraId="10FBBA4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426E40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Non-state pension fund</w:t>
            </w:r>
          </w:p>
        </w:tc>
      </w:tr>
      <w:tr w:rsidR="007C2B84" w:rsidRPr="00CB1E53" w14:paraId="50226210" w14:textId="77777777" w:rsidTr="00D75D26">
        <w:tc>
          <w:tcPr>
            <w:tcW w:w="2425" w:type="dxa"/>
          </w:tcPr>
          <w:p w14:paraId="5AE6151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7C4489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05FE9EF2" w14:textId="77777777" w:rsidTr="00D75D26">
        <w:tc>
          <w:tcPr>
            <w:tcW w:w="2425" w:type="dxa"/>
          </w:tcPr>
          <w:p w14:paraId="5218CE0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CA5216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Contributions to a qualified non-governmental pension fund are not taxed, but deferred tax will be collected in the future when the contributions and investment income earned on them are withdrawn.  So, the tax expenditure is equal to the applicable tax rate multiplied by the net present value of the payments by way of an annuity that an individual will receive based on the value of the contributions they made.</w:t>
            </w:r>
          </w:p>
        </w:tc>
      </w:tr>
      <w:tr w:rsidR="007C2B84" w:rsidRPr="00CB1E53" w14:paraId="1ECB961D" w14:textId="77777777" w:rsidTr="00D75D26">
        <w:tc>
          <w:tcPr>
            <w:tcW w:w="2425" w:type="dxa"/>
          </w:tcPr>
          <w:p w14:paraId="1424647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32DCAD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Art. 68 of the TC</w:t>
            </w:r>
          </w:p>
        </w:tc>
      </w:tr>
      <w:tr w:rsidR="007C2B84" w:rsidRPr="00CB1E53" w14:paraId="15D40C89" w14:textId="77777777" w:rsidTr="00D75D26">
        <w:trPr>
          <w:trHeight w:val="182"/>
        </w:trPr>
        <w:tc>
          <w:tcPr>
            <w:tcW w:w="2425" w:type="dxa"/>
            <w:vMerge w:val="restart"/>
          </w:tcPr>
          <w:p w14:paraId="034AA19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6126DE06"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2B206BCB"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B5090B4" w14:textId="77777777" w:rsidTr="00D75D26">
        <w:trPr>
          <w:trHeight w:val="182"/>
        </w:trPr>
        <w:tc>
          <w:tcPr>
            <w:tcW w:w="2425" w:type="dxa"/>
            <w:vMerge/>
          </w:tcPr>
          <w:p w14:paraId="02F1A9AF"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0C073DBF"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and effective since: 1998</w:t>
            </w:r>
          </w:p>
        </w:tc>
        <w:tc>
          <w:tcPr>
            <w:tcW w:w="3738" w:type="dxa"/>
            <w:gridSpan w:val="3"/>
          </w:tcPr>
          <w:p w14:paraId="0CD8917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B087B" w:rsidRPr="00CB1E53" w14:paraId="72178378" w14:textId="77777777" w:rsidTr="00D75D26">
        <w:tc>
          <w:tcPr>
            <w:tcW w:w="2425" w:type="dxa"/>
          </w:tcPr>
          <w:p w14:paraId="0CCC3339"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0D5B899" w14:textId="22967AB5"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FB087B" w:rsidRPr="00CB1E53" w14:paraId="2D05BCF3" w14:textId="77777777" w:rsidTr="00D75D26">
        <w:tc>
          <w:tcPr>
            <w:tcW w:w="2425" w:type="dxa"/>
          </w:tcPr>
          <w:p w14:paraId="0B1B9426"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C0F2B87" w14:textId="2802FB03"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162A378D" w14:textId="77777777" w:rsidTr="00D75D26">
        <w:tc>
          <w:tcPr>
            <w:tcW w:w="2425" w:type="dxa"/>
          </w:tcPr>
          <w:p w14:paraId="502E872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402B017"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CC20C14" w14:textId="77777777" w:rsidTr="00D75D26">
        <w:tc>
          <w:tcPr>
            <w:tcW w:w="2425" w:type="dxa"/>
          </w:tcPr>
          <w:p w14:paraId="6CA1E3D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9AF14E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4763C0DA" w14:textId="77777777" w:rsidTr="00D75D26">
        <w:trPr>
          <w:trHeight w:val="91"/>
        </w:trPr>
        <w:tc>
          <w:tcPr>
            <w:tcW w:w="2425" w:type="dxa"/>
            <w:vMerge w:val="restart"/>
          </w:tcPr>
          <w:p w14:paraId="6B56488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68289D2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9210F9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45F354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38C75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E8E627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0564B3AF" w14:textId="77777777" w:rsidTr="009130EE">
        <w:trPr>
          <w:trHeight w:val="91"/>
        </w:trPr>
        <w:tc>
          <w:tcPr>
            <w:tcW w:w="2425" w:type="dxa"/>
            <w:vMerge/>
          </w:tcPr>
          <w:p w14:paraId="58EA3453"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2BE638C8" w14:textId="61D6BAEE" w:rsidR="007C2B84" w:rsidRPr="00CB1E53" w:rsidRDefault="00725366" w:rsidP="00FD11D9">
            <w:pPr>
              <w:spacing w:before="20" w:after="20"/>
              <w:jc w:val="both"/>
              <w:rPr>
                <w:rFonts w:ascii="Segoe UI" w:hAnsi="Segoe UI" w:cs="Segoe UI"/>
                <w:sz w:val="18"/>
                <w:szCs w:val="18"/>
              </w:rPr>
            </w:pPr>
            <w:r>
              <w:rPr>
                <w:rFonts w:ascii="Segoe UI" w:hAnsi="Segoe UI" w:cs="Segoe UI"/>
                <w:sz w:val="18"/>
                <w:szCs w:val="18"/>
              </w:rPr>
              <w:t>2.0</w:t>
            </w:r>
          </w:p>
        </w:tc>
        <w:tc>
          <w:tcPr>
            <w:tcW w:w="1385" w:type="dxa"/>
            <w:shd w:val="clear" w:color="auto" w:fill="D9D9D9" w:themeFill="background1" w:themeFillShade="D9"/>
          </w:tcPr>
          <w:p w14:paraId="3A1D2853" w14:textId="5E2C32B8"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2.0</w:t>
            </w:r>
          </w:p>
        </w:tc>
        <w:tc>
          <w:tcPr>
            <w:tcW w:w="1385" w:type="dxa"/>
            <w:gridSpan w:val="2"/>
            <w:shd w:val="clear" w:color="auto" w:fill="D9D9D9" w:themeFill="background1" w:themeFillShade="D9"/>
          </w:tcPr>
          <w:p w14:paraId="0BA0BF90" w14:textId="14470E1C"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1.9</w:t>
            </w:r>
          </w:p>
        </w:tc>
        <w:tc>
          <w:tcPr>
            <w:tcW w:w="1385" w:type="dxa"/>
            <w:shd w:val="clear" w:color="auto" w:fill="D9D9D9" w:themeFill="background1" w:themeFillShade="D9"/>
          </w:tcPr>
          <w:p w14:paraId="30E1AEC3" w14:textId="48118D4E"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2.2</w:t>
            </w:r>
          </w:p>
        </w:tc>
        <w:tc>
          <w:tcPr>
            <w:tcW w:w="1660" w:type="dxa"/>
            <w:shd w:val="clear" w:color="auto" w:fill="D9D9D9" w:themeFill="background1" w:themeFillShade="D9"/>
          </w:tcPr>
          <w:p w14:paraId="5CFA3233" w14:textId="03543E94" w:rsidR="007C2B84" w:rsidRPr="00FB087B" w:rsidRDefault="00B84EE2" w:rsidP="00FD11D9">
            <w:pPr>
              <w:spacing w:before="20" w:after="20"/>
              <w:jc w:val="both"/>
              <w:rPr>
                <w:rFonts w:ascii="Segoe UI" w:hAnsi="Segoe UI" w:cs="Segoe UI"/>
                <w:i/>
                <w:iCs/>
                <w:sz w:val="18"/>
                <w:szCs w:val="18"/>
              </w:rPr>
            </w:pPr>
            <w:r w:rsidRPr="00FB087B">
              <w:rPr>
                <w:rFonts w:ascii="Segoe UI" w:hAnsi="Segoe UI" w:cs="Segoe UI"/>
                <w:i/>
                <w:iCs/>
                <w:sz w:val="18"/>
                <w:szCs w:val="18"/>
              </w:rPr>
              <w:t>2.4</w:t>
            </w:r>
          </w:p>
        </w:tc>
      </w:tr>
    </w:tbl>
    <w:p w14:paraId="034DFC4C"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342B440F" w14:textId="77777777" w:rsidTr="00D75D26">
        <w:tc>
          <w:tcPr>
            <w:tcW w:w="9625" w:type="dxa"/>
            <w:gridSpan w:val="7"/>
            <w:shd w:val="clear" w:color="auto" w:fill="D9D9D9" w:themeFill="background1" w:themeFillShade="D9"/>
          </w:tcPr>
          <w:p w14:paraId="61D49A2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9. Trade Unions and Employers’ Associations</w:t>
            </w:r>
          </w:p>
        </w:tc>
      </w:tr>
      <w:tr w:rsidR="007C2B84" w:rsidRPr="00CB1E53" w14:paraId="33F82D2F" w14:textId="77777777" w:rsidTr="00D75D26">
        <w:tc>
          <w:tcPr>
            <w:tcW w:w="2425" w:type="dxa"/>
          </w:tcPr>
          <w:p w14:paraId="7ADEB52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CD8CB32" w14:textId="156471F8"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Trade </w:t>
            </w:r>
            <w:r w:rsidR="00411708">
              <w:rPr>
                <w:rFonts w:ascii="Segoe UI" w:hAnsi="Segoe UI" w:cs="Segoe UI"/>
                <w:sz w:val="18"/>
                <w:szCs w:val="18"/>
              </w:rPr>
              <w:t>U</w:t>
            </w:r>
            <w:r w:rsidR="00411708" w:rsidRPr="00CB1E53">
              <w:rPr>
                <w:rFonts w:ascii="Segoe UI" w:hAnsi="Segoe UI" w:cs="Segoe UI"/>
                <w:sz w:val="18"/>
                <w:szCs w:val="18"/>
              </w:rPr>
              <w:t xml:space="preserve">nions </w:t>
            </w:r>
            <w:r w:rsidRPr="00CB1E53">
              <w:rPr>
                <w:rFonts w:ascii="Segoe UI" w:hAnsi="Segoe UI" w:cs="Segoe UI"/>
                <w:sz w:val="18"/>
                <w:szCs w:val="18"/>
              </w:rPr>
              <w:t>and Employers’ Associations shall be exempt from the income tax.</w:t>
            </w:r>
          </w:p>
        </w:tc>
      </w:tr>
      <w:tr w:rsidR="007C2B84" w:rsidRPr="00CB1E53" w14:paraId="7E0E32A3" w14:textId="77777777" w:rsidTr="00D75D26">
        <w:tc>
          <w:tcPr>
            <w:tcW w:w="2425" w:type="dxa"/>
          </w:tcPr>
          <w:p w14:paraId="52EA2C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CC3C94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614424EF" w14:textId="77777777" w:rsidTr="00D75D26">
        <w:tc>
          <w:tcPr>
            <w:tcW w:w="2425" w:type="dxa"/>
          </w:tcPr>
          <w:p w14:paraId="01B982B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4D95950" w14:textId="4974F356"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Trade </w:t>
            </w:r>
            <w:r w:rsidR="00411708">
              <w:rPr>
                <w:rFonts w:ascii="Segoe UI" w:hAnsi="Segoe UI" w:cs="Segoe UI"/>
                <w:sz w:val="18"/>
                <w:szCs w:val="18"/>
              </w:rPr>
              <w:t>U</w:t>
            </w:r>
            <w:r w:rsidR="00411708" w:rsidRPr="00CB1E53">
              <w:rPr>
                <w:rFonts w:ascii="Segoe UI" w:hAnsi="Segoe UI" w:cs="Segoe UI"/>
                <w:sz w:val="18"/>
                <w:szCs w:val="18"/>
              </w:rPr>
              <w:t xml:space="preserve">nions </w:t>
            </w:r>
            <w:r w:rsidRPr="00CB1E53">
              <w:rPr>
                <w:rFonts w:ascii="Segoe UI" w:hAnsi="Segoe UI" w:cs="Segoe UI"/>
                <w:sz w:val="18"/>
                <w:szCs w:val="18"/>
              </w:rPr>
              <w:t>and Employers’ Associations</w:t>
            </w:r>
          </w:p>
        </w:tc>
      </w:tr>
      <w:tr w:rsidR="007C2B84" w:rsidRPr="00CB1E53" w14:paraId="0DEB68B1" w14:textId="77777777" w:rsidTr="00D75D26">
        <w:tc>
          <w:tcPr>
            <w:tcW w:w="2425" w:type="dxa"/>
          </w:tcPr>
          <w:p w14:paraId="0E49D1A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0FB90B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Income tax exemption</w:t>
            </w:r>
          </w:p>
        </w:tc>
      </w:tr>
      <w:tr w:rsidR="007C2B84" w:rsidRPr="00CB1E53" w14:paraId="0E426FB8" w14:textId="77777777" w:rsidTr="00D75D26">
        <w:tc>
          <w:tcPr>
            <w:tcW w:w="2425" w:type="dxa"/>
          </w:tcPr>
          <w:p w14:paraId="1B1C083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Reason why this Measure is not part of the Benchmark Tax System</w:t>
            </w:r>
          </w:p>
        </w:tc>
        <w:tc>
          <w:tcPr>
            <w:tcW w:w="7200" w:type="dxa"/>
            <w:gridSpan w:val="6"/>
          </w:tcPr>
          <w:p w14:paraId="1D7435D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Since individual employees and employers can deduct 0.15% of their wage or remuneration fund / payroll for income tax purposes, the symmetry principle indicates that the party receiving the contribution should be taxed on that income. However, the non-taxation of these membership contributions in the hands of trade unions and employer associations makes this a tax expenditure.</w:t>
            </w:r>
          </w:p>
        </w:tc>
      </w:tr>
      <w:tr w:rsidR="007C2B84" w:rsidRPr="00CB1E53" w14:paraId="16343831" w14:textId="77777777" w:rsidTr="00D75D26">
        <w:tc>
          <w:tcPr>
            <w:tcW w:w="2425" w:type="dxa"/>
          </w:tcPr>
          <w:p w14:paraId="25C4ADE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5512CE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Art. 53</w:t>
            </w:r>
            <w:r w:rsidRPr="00CB1E53">
              <w:rPr>
                <w:rFonts w:ascii="Segoe UI" w:hAnsi="Segoe UI" w:cs="Segoe UI"/>
                <w:sz w:val="18"/>
                <w:szCs w:val="18"/>
                <w:vertAlign w:val="superscript"/>
              </w:rPr>
              <w:t>3</w:t>
            </w:r>
            <w:r w:rsidRPr="00CB1E53">
              <w:rPr>
                <w:rFonts w:ascii="Segoe UI" w:hAnsi="Segoe UI" w:cs="Segoe UI"/>
                <w:sz w:val="18"/>
                <w:szCs w:val="18"/>
              </w:rPr>
              <w:t xml:space="preserve"> TC</w:t>
            </w:r>
          </w:p>
        </w:tc>
      </w:tr>
      <w:tr w:rsidR="007C2B84" w:rsidRPr="00CB1E53" w14:paraId="4F82CB78" w14:textId="77777777" w:rsidTr="00D75D26">
        <w:trPr>
          <w:trHeight w:val="182"/>
        </w:trPr>
        <w:tc>
          <w:tcPr>
            <w:tcW w:w="2425" w:type="dxa"/>
            <w:vMerge w:val="restart"/>
          </w:tcPr>
          <w:p w14:paraId="6C5C71F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318CD31E"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028BFD58"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9E5228F" w14:textId="77777777" w:rsidTr="00D75D26">
        <w:trPr>
          <w:trHeight w:val="182"/>
        </w:trPr>
        <w:tc>
          <w:tcPr>
            <w:tcW w:w="2425" w:type="dxa"/>
            <w:vMerge/>
          </w:tcPr>
          <w:p w14:paraId="67C4A4C4"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7DF1F2C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and in effect since: 2007</w:t>
            </w:r>
          </w:p>
        </w:tc>
        <w:tc>
          <w:tcPr>
            <w:tcW w:w="3738" w:type="dxa"/>
            <w:gridSpan w:val="3"/>
          </w:tcPr>
          <w:p w14:paraId="45FCAF7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B087B" w:rsidRPr="00CB1E53" w14:paraId="41313571" w14:textId="77777777" w:rsidTr="00D75D26">
        <w:tc>
          <w:tcPr>
            <w:tcW w:w="2425" w:type="dxa"/>
          </w:tcPr>
          <w:p w14:paraId="366B7AC0"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450F76F" w14:textId="4D2A62A6"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FB087B" w:rsidRPr="00CB1E53" w14:paraId="32FEEAC2" w14:textId="77777777" w:rsidTr="00D75D26">
        <w:tc>
          <w:tcPr>
            <w:tcW w:w="2425" w:type="dxa"/>
          </w:tcPr>
          <w:p w14:paraId="17DBFAE8" w14:textId="77777777" w:rsidR="00FB087B" w:rsidRPr="00CB1E53" w:rsidRDefault="00FB087B"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D355B5D" w14:textId="6E176141" w:rsidR="00FB087B" w:rsidRPr="00CB1E53" w:rsidRDefault="00FB087B"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06AEB1B0" w14:textId="77777777" w:rsidTr="00D75D26">
        <w:tc>
          <w:tcPr>
            <w:tcW w:w="2425" w:type="dxa"/>
          </w:tcPr>
          <w:p w14:paraId="7880E49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3CDBBEA"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3DC183B" w14:textId="77777777" w:rsidTr="00D75D26">
        <w:tc>
          <w:tcPr>
            <w:tcW w:w="2425" w:type="dxa"/>
          </w:tcPr>
          <w:p w14:paraId="76E370D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E6C17D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492191F4" w14:textId="77777777" w:rsidTr="00D75D26">
        <w:trPr>
          <w:trHeight w:val="91"/>
        </w:trPr>
        <w:tc>
          <w:tcPr>
            <w:tcW w:w="2425" w:type="dxa"/>
            <w:vMerge w:val="restart"/>
          </w:tcPr>
          <w:p w14:paraId="0D9A69F3"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77DF52E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D7D9BD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6D0CBF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32CBCE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65800C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574CEDC9" w14:textId="77777777" w:rsidTr="00FB087B">
        <w:trPr>
          <w:trHeight w:val="91"/>
        </w:trPr>
        <w:tc>
          <w:tcPr>
            <w:tcW w:w="2425" w:type="dxa"/>
            <w:vMerge/>
          </w:tcPr>
          <w:p w14:paraId="27E90D11"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2A70D55" w14:textId="39CC389F" w:rsidR="007C2B84" w:rsidRPr="00CB1E53" w:rsidRDefault="00725366" w:rsidP="00FD11D9">
            <w:pPr>
              <w:spacing w:before="20" w:after="20"/>
              <w:jc w:val="both"/>
              <w:rPr>
                <w:rFonts w:ascii="Segoe UI" w:hAnsi="Segoe UI" w:cs="Segoe UI"/>
                <w:sz w:val="18"/>
                <w:szCs w:val="18"/>
              </w:rPr>
            </w:pPr>
            <w:r>
              <w:rPr>
                <w:rFonts w:ascii="Segoe UI" w:hAnsi="Segoe UI" w:cs="Segoe UI"/>
                <w:sz w:val="18"/>
                <w:szCs w:val="18"/>
              </w:rPr>
              <w:t>1.0</w:t>
            </w:r>
          </w:p>
        </w:tc>
        <w:tc>
          <w:tcPr>
            <w:tcW w:w="1385" w:type="dxa"/>
            <w:shd w:val="clear" w:color="auto" w:fill="D9D9D9" w:themeFill="background1" w:themeFillShade="D9"/>
          </w:tcPr>
          <w:p w14:paraId="4DB74CA5" w14:textId="63861DD8"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1.0</w:t>
            </w:r>
          </w:p>
        </w:tc>
        <w:tc>
          <w:tcPr>
            <w:tcW w:w="1385" w:type="dxa"/>
            <w:gridSpan w:val="2"/>
            <w:shd w:val="clear" w:color="auto" w:fill="D9D9D9" w:themeFill="background1" w:themeFillShade="D9"/>
          </w:tcPr>
          <w:p w14:paraId="0C043CD2" w14:textId="129A772C"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0.9</w:t>
            </w:r>
          </w:p>
        </w:tc>
        <w:tc>
          <w:tcPr>
            <w:tcW w:w="1385" w:type="dxa"/>
            <w:shd w:val="clear" w:color="auto" w:fill="D9D9D9" w:themeFill="background1" w:themeFillShade="D9"/>
          </w:tcPr>
          <w:p w14:paraId="199E06D4" w14:textId="59080598"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1.1</w:t>
            </w:r>
          </w:p>
        </w:tc>
        <w:tc>
          <w:tcPr>
            <w:tcW w:w="1660" w:type="dxa"/>
            <w:shd w:val="clear" w:color="auto" w:fill="D9D9D9" w:themeFill="background1" w:themeFillShade="D9"/>
          </w:tcPr>
          <w:p w14:paraId="5E78B1E1" w14:textId="134168EE"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1.2</w:t>
            </w:r>
          </w:p>
        </w:tc>
      </w:tr>
    </w:tbl>
    <w:p w14:paraId="3D4B2B2F"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1A10CDA8" w14:textId="77777777" w:rsidTr="00D75D26">
        <w:tc>
          <w:tcPr>
            <w:tcW w:w="9625" w:type="dxa"/>
            <w:gridSpan w:val="7"/>
            <w:shd w:val="clear" w:color="auto" w:fill="D9D9D9" w:themeFill="background1" w:themeFillShade="D9"/>
          </w:tcPr>
          <w:p w14:paraId="07C48AE3" w14:textId="0266BCF3"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10. Allowance for encouraging businesses to grow their payroll</w:t>
            </w:r>
          </w:p>
        </w:tc>
      </w:tr>
      <w:tr w:rsidR="007C2B84" w:rsidRPr="00CB1E53" w14:paraId="5385640D" w14:textId="77777777" w:rsidTr="00D75D26">
        <w:tc>
          <w:tcPr>
            <w:tcW w:w="2425" w:type="dxa"/>
          </w:tcPr>
          <w:p w14:paraId="11AE596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8A9C207"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Deduction of amount calculated by multiplying the average annual salary at country level from the tax period by the increase in the average number of employees in the tax year compared to the previous year. The amount of the deduction cannot exceed the taxable income; non-structural</w:t>
            </w:r>
          </w:p>
        </w:tc>
      </w:tr>
      <w:tr w:rsidR="007C2B84" w:rsidRPr="00CB1E53" w14:paraId="55760773" w14:textId="77777777" w:rsidTr="00D75D26">
        <w:tc>
          <w:tcPr>
            <w:tcW w:w="2425" w:type="dxa"/>
          </w:tcPr>
          <w:p w14:paraId="3F5C3AF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04DD876" w14:textId="11924F2A"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6C0BD962" w14:textId="77777777" w:rsidTr="00D75D26">
        <w:tc>
          <w:tcPr>
            <w:tcW w:w="2425" w:type="dxa"/>
          </w:tcPr>
          <w:p w14:paraId="2C08A5C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62CCF625" w14:textId="2D50FB08" w:rsidR="007C2B84" w:rsidRPr="00CB1E53" w:rsidRDefault="008D5022" w:rsidP="00FD11D9">
            <w:pPr>
              <w:spacing w:before="20" w:after="20"/>
              <w:jc w:val="both"/>
              <w:rPr>
                <w:rFonts w:ascii="Segoe UI" w:hAnsi="Segoe UI" w:cs="Segoe UI"/>
                <w:sz w:val="18"/>
                <w:szCs w:val="18"/>
              </w:rPr>
            </w:pPr>
            <w:r>
              <w:rPr>
                <w:rFonts w:ascii="Segoe UI" w:hAnsi="Segoe UI" w:cs="Segoe UI"/>
                <w:sz w:val="18"/>
                <w:szCs w:val="18"/>
              </w:rPr>
              <w:t>Legal entities</w:t>
            </w:r>
          </w:p>
        </w:tc>
      </w:tr>
      <w:tr w:rsidR="007C2B84" w:rsidRPr="00CB1E53" w14:paraId="444397B1" w14:textId="77777777" w:rsidTr="00D75D26">
        <w:tc>
          <w:tcPr>
            <w:tcW w:w="2425" w:type="dxa"/>
          </w:tcPr>
          <w:p w14:paraId="1D9F6CA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8190E3B" w14:textId="3BB61642" w:rsidR="007C2B84" w:rsidRPr="00CB1E53" w:rsidRDefault="008D5022" w:rsidP="00FD11D9">
            <w:pPr>
              <w:spacing w:before="20" w:after="20"/>
              <w:jc w:val="both"/>
              <w:rPr>
                <w:rFonts w:ascii="Segoe UI" w:hAnsi="Segoe UI" w:cs="Segoe UI"/>
                <w:sz w:val="18"/>
                <w:szCs w:val="18"/>
              </w:rPr>
            </w:pPr>
            <w:r>
              <w:rPr>
                <w:rFonts w:ascii="Segoe UI" w:hAnsi="Segoe UI" w:cs="Segoe UI"/>
                <w:sz w:val="18"/>
                <w:szCs w:val="18"/>
              </w:rPr>
              <w:t>R</w:t>
            </w:r>
            <w:r w:rsidRPr="008D5022">
              <w:rPr>
                <w:rFonts w:ascii="Segoe UI" w:hAnsi="Segoe UI" w:cs="Segoe UI"/>
                <w:sz w:val="18"/>
                <w:szCs w:val="18"/>
              </w:rPr>
              <w:t>eduction of taxable income</w:t>
            </w:r>
          </w:p>
        </w:tc>
      </w:tr>
      <w:tr w:rsidR="007C2B84" w:rsidRPr="00CB1E53" w14:paraId="7795DF5C" w14:textId="77777777" w:rsidTr="00D75D26">
        <w:tc>
          <w:tcPr>
            <w:tcW w:w="2425" w:type="dxa"/>
          </w:tcPr>
          <w:p w14:paraId="701F4C3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BBC0843"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021A62B" w14:textId="77777777" w:rsidTr="00D75D26">
        <w:tc>
          <w:tcPr>
            <w:tcW w:w="2425" w:type="dxa"/>
          </w:tcPr>
          <w:p w14:paraId="4BA6B15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4EE96F2" w14:textId="4C1FE8DA" w:rsidR="007C2B84" w:rsidRPr="00CB1E53" w:rsidRDefault="008D5022" w:rsidP="00FD11D9">
            <w:pPr>
              <w:autoSpaceDE w:val="0"/>
              <w:autoSpaceDN w:val="0"/>
              <w:adjustRightInd w:val="0"/>
              <w:spacing w:before="20" w:after="20"/>
              <w:jc w:val="both"/>
              <w:rPr>
                <w:rFonts w:ascii="Segoe UI" w:hAnsi="Segoe UI" w:cs="Segoe UI"/>
                <w:sz w:val="18"/>
                <w:szCs w:val="18"/>
              </w:rPr>
            </w:pPr>
            <w:r>
              <w:rPr>
                <w:rFonts w:ascii="Segoe UI" w:hAnsi="Segoe UI" w:cs="Segoe UI"/>
                <w:sz w:val="18"/>
                <w:szCs w:val="18"/>
              </w:rPr>
              <w:t>Law no.1164/1997, art.24 para (16)</w:t>
            </w:r>
          </w:p>
        </w:tc>
      </w:tr>
      <w:tr w:rsidR="007C2B84" w:rsidRPr="00CB1E53" w14:paraId="2B640EA2" w14:textId="77777777" w:rsidTr="00D75D26">
        <w:trPr>
          <w:trHeight w:val="182"/>
        </w:trPr>
        <w:tc>
          <w:tcPr>
            <w:tcW w:w="2425" w:type="dxa"/>
            <w:vMerge w:val="restart"/>
          </w:tcPr>
          <w:p w14:paraId="05F09AD0" w14:textId="77777777" w:rsidR="007C2B84" w:rsidRPr="00FB087B" w:rsidRDefault="007C2B84" w:rsidP="00FD11D9">
            <w:pPr>
              <w:spacing w:before="20" w:after="20"/>
              <w:jc w:val="both"/>
              <w:rPr>
                <w:rFonts w:ascii="Segoe UI" w:hAnsi="Segoe UI" w:cs="Segoe UI"/>
                <w:b/>
                <w:bCs/>
                <w:sz w:val="18"/>
                <w:szCs w:val="18"/>
              </w:rPr>
            </w:pPr>
            <w:r w:rsidRPr="00FB087B">
              <w:rPr>
                <w:rFonts w:ascii="Segoe UI" w:hAnsi="Segoe UI" w:cs="Segoe UI"/>
                <w:b/>
                <w:bCs/>
                <w:sz w:val="18"/>
                <w:szCs w:val="18"/>
              </w:rPr>
              <w:t>Implementation, Objectives, and History</w:t>
            </w:r>
          </w:p>
        </w:tc>
        <w:tc>
          <w:tcPr>
            <w:tcW w:w="3462" w:type="dxa"/>
            <w:gridSpan w:val="3"/>
          </w:tcPr>
          <w:p w14:paraId="7A6FD335" w14:textId="77777777" w:rsidR="007C2B84" w:rsidRPr="00FB087B" w:rsidRDefault="007C2B84" w:rsidP="00FD11D9">
            <w:pPr>
              <w:spacing w:before="20" w:after="20"/>
              <w:jc w:val="both"/>
              <w:rPr>
                <w:rFonts w:ascii="Segoe UI" w:hAnsi="Segoe UI" w:cs="Segoe UI"/>
                <w:sz w:val="18"/>
                <w:szCs w:val="18"/>
              </w:rPr>
            </w:pPr>
          </w:p>
        </w:tc>
        <w:tc>
          <w:tcPr>
            <w:tcW w:w="3738" w:type="dxa"/>
            <w:gridSpan w:val="3"/>
          </w:tcPr>
          <w:p w14:paraId="2F069A8E" w14:textId="77777777" w:rsidR="007C2B84" w:rsidRPr="00FB087B" w:rsidRDefault="007C2B84" w:rsidP="00FD11D9">
            <w:pPr>
              <w:spacing w:before="20" w:after="20"/>
              <w:jc w:val="both"/>
              <w:rPr>
                <w:rFonts w:ascii="Segoe UI" w:hAnsi="Segoe UI" w:cs="Segoe UI"/>
                <w:sz w:val="18"/>
                <w:szCs w:val="18"/>
              </w:rPr>
            </w:pPr>
          </w:p>
        </w:tc>
      </w:tr>
      <w:tr w:rsidR="007C2B84" w:rsidRPr="00CB1E53" w14:paraId="04C32E13" w14:textId="77777777" w:rsidTr="00D75D26">
        <w:trPr>
          <w:trHeight w:val="182"/>
        </w:trPr>
        <w:tc>
          <w:tcPr>
            <w:tcW w:w="2425" w:type="dxa"/>
            <w:vMerge/>
          </w:tcPr>
          <w:p w14:paraId="3892168C" w14:textId="77777777" w:rsidR="007C2B84" w:rsidRPr="00FB087B" w:rsidRDefault="007C2B84" w:rsidP="00FD11D9">
            <w:pPr>
              <w:spacing w:before="20" w:after="20"/>
              <w:jc w:val="both"/>
              <w:rPr>
                <w:rFonts w:ascii="Segoe UI" w:hAnsi="Segoe UI" w:cs="Segoe UI"/>
                <w:b/>
                <w:bCs/>
                <w:sz w:val="18"/>
                <w:szCs w:val="18"/>
              </w:rPr>
            </w:pPr>
          </w:p>
        </w:tc>
        <w:tc>
          <w:tcPr>
            <w:tcW w:w="3462" w:type="dxa"/>
            <w:gridSpan w:val="3"/>
          </w:tcPr>
          <w:p w14:paraId="5777CD74" w14:textId="3A6B66AF" w:rsidR="007C2B84" w:rsidRPr="00FB087B" w:rsidRDefault="007C2B84" w:rsidP="00FD11D9">
            <w:pPr>
              <w:spacing w:before="20" w:after="20"/>
              <w:jc w:val="both"/>
              <w:rPr>
                <w:rFonts w:ascii="Segoe UI" w:hAnsi="Segoe UI" w:cs="Segoe UI"/>
                <w:sz w:val="18"/>
                <w:szCs w:val="18"/>
              </w:rPr>
            </w:pPr>
            <w:r w:rsidRPr="00FB087B">
              <w:rPr>
                <w:rFonts w:ascii="Segoe UI" w:hAnsi="Segoe UI" w:cs="Segoe UI"/>
                <w:sz w:val="18"/>
                <w:szCs w:val="18"/>
              </w:rPr>
              <w:t xml:space="preserve">Introduced in year: </w:t>
            </w:r>
            <w:r w:rsidR="00097E71" w:rsidRPr="00FB087B">
              <w:rPr>
                <w:rFonts w:ascii="Segoe UI" w:hAnsi="Segoe UI" w:cs="Segoe UI"/>
                <w:sz w:val="18"/>
                <w:szCs w:val="18"/>
              </w:rPr>
              <w:t>2005</w:t>
            </w:r>
          </w:p>
        </w:tc>
        <w:tc>
          <w:tcPr>
            <w:tcW w:w="3738" w:type="dxa"/>
            <w:gridSpan w:val="3"/>
          </w:tcPr>
          <w:p w14:paraId="2A11B7C1" w14:textId="77777777" w:rsidR="007C2B84" w:rsidRPr="00FB087B" w:rsidRDefault="007C2B84" w:rsidP="00FD11D9">
            <w:pPr>
              <w:spacing w:before="20" w:after="20"/>
              <w:jc w:val="both"/>
              <w:rPr>
                <w:rFonts w:ascii="Segoe UI" w:hAnsi="Segoe UI" w:cs="Segoe UI"/>
                <w:sz w:val="18"/>
                <w:szCs w:val="18"/>
              </w:rPr>
            </w:pPr>
            <w:r w:rsidRPr="00FB087B">
              <w:rPr>
                <w:rFonts w:ascii="Segoe UI" w:hAnsi="Segoe UI" w:cs="Segoe UI"/>
                <w:sz w:val="18"/>
                <w:szCs w:val="18"/>
              </w:rPr>
              <w:t>Expiry date:</w:t>
            </w:r>
          </w:p>
        </w:tc>
      </w:tr>
      <w:tr w:rsidR="00FB087B" w:rsidRPr="00CB1E53" w14:paraId="32B92D45" w14:textId="77777777" w:rsidTr="00D75D26">
        <w:tc>
          <w:tcPr>
            <w:tcW w:w="2425" w:type="dxa"/>
          </w:tcPr>
          <w:p w14:paraId="4ECB42E7" w14:textId="77777777" w:rsidR="00FB087B" w:rsidRPr="00FB087B" w:rsidRDefault="00FB087B" w:rsidP="00FD11D9">
            <w:pPr>
              <w:spacing w:before="20" w:after="20"/>
              <w:jc w:val="both"/>
              <w:rPr>
                <w:rFonts w:ascii="Segoe UI" w:hAnsi="Segoe UI" w:cs="Segoe UI"/>
                <w:b/>
                <w:bCs/>
                <w:sz w:val="18"/>
                <w:szCs w:val="18"/>
              </w:rPr>
            </w:pPr>
            <w:r w:rsidRPr="00FB087B">
              <w:rPr>
                <w:rFonts w:ascii="Segoe UI" w:hAnsi="Segoe UI" w:cs="Segoe UI"/>
                <w:b/>
                <w:bCs/>
                <w:sz w:val="18"/>
                <w:szCs w:val="18"/>
              </w:rPr>
              <w:t>Source of Data</w:t>
            </w:r>
          </w:p>
        </w:tc>
        <w:tc>
          <w:tcPr>
            <w:tcW w:w="7200" w:type="dxa"/>
            <w:gridSpan w:val="6"/>
          </w:tcPr>
          <w:p w14:paraId="66D27401" w14:textId="2011AC0B" w:rsidR="00FB087B" w:rsidRPr="00FB087B" w:rsidRDefault="00FB087B" w:rsidP="00FD11D9">
            <w:pPr>
              <w:spacing w:before="20" w:after="20"/>
              <w:jc w:val="both"/>
              <w:rPr>
                <w:rFonts w:ascii="Segoe UI" w:hAnsi="Segoe UI" w:cs="Segoe UI"/>
                <w:sz w:val="18"/>
                <w:szCs w:val="18"/>
              </w:rPr>
            </w:pPr>
            <w:r w:rsidRPr="00FB087B">
              <w:rPr>
                <w:rFonts w:ascii="Segoe UI" w:hAnsi="Segoe UI" w:cs="Segoe UI"/>
                <w:sz w:val="18"/>
                <w:szCs w:val="18"/>
              </w:rPr>
              <w:t>VEN12 tax data (2018)</w:t>
            </w:r>
          </w:p>
        </w:tc>
      </w:tr>
      <w:tr w:rsidR="00FB087B" w:rsidRPr="00CB1E53" w14:paraId="4E017926" w14:textId="77777777" w:rsidTr="00D75D26">
        <w:tc>
          <w:tcPr>
            <w:tcW w:w="2425" w:type="dxa"/>
          </w:tcPr>
          <w:p w14:paraId="050A80EB" w14:textId="77777777" w:rsidR="00FB087B" w:rsidRPr="00FB087B" w:rsidRDefault="00FB087B" w:rsidP="00FD11D9">
            <w:pPr>
              <w:spacing w:before="20" w:after="20"/>
              <w:jc w:val="both"/>
              <w:rPr>
                <w:rFonts w:ascii="Segoe UI" w:hAnsi="Segoe UI" w:cs="Segoe UI"/>
                <w:b/>
                <w:bCs/>
                <w:sz w:val="18"/>
                <w:szCs w:val="18"/>
              </w:rPr>
            </w:pPr>
            <w:r w:rsidRPr="00FB087B">
              <w:rPr>
                <w:rFonts w:ascii="Segoe UI" w:hAnsi="Segoe UI" w:cs="Segoe UI"/>
                <w:b/>
                <w:bCs/>
                <w:sz w:val="18"/>
                <w:szCs w:val="18"/>
              </w:rPr>
              <w:t>Estimation Method</w:t>
            </w:r>
          </w:p>
        </w:tc>
        <w:tc>
          <w:tcPr>
            <w:tcW w:w="7200" w:type="dxa"/>
            <w:gridSpan w:val="6"/>
          </w:tcPr>
          <w:p w14:paraId="7F006A78" w14:textId="22EDC083" w:rsidR="00FB087B" w:rsidRPr="00FB087B" w:rsidRDefault="00FB087B" w:rsidP="00FD11D9">
            <w:pPr>
              <w:spacing w:before="20" w:after="20"/>
              <w:jc w:val="both"/>
              <w:rPr>
                <w:rFonts w:ascii="Segoe UI" w:hAnsi="Segoe UI" w:cs="Segoe UI"/>
                <w:sz w:val="18"/>
                <w:szCs w:val="18"/>
              </w:rPr>
            </w:pPr>
            <w:r w:rsidRPr="00FB087B">
              <w:rPr>
                <w:rFonts w:ascii="Segoe UI" w:hAnsi="Segoe UI" w:cs="Segoe UI"/>
                <w:sz w:val="18"/>
                <w:szCs w:val="18"/>
              </w:rPr>
              <w:t>Microsimulation model</w:t>
            </w:r>
          </w:p>
        </w:tc>
      </w:tr>
      <w:tr w:rsidR="007C2B84" w:rsidRPr="00CB1E53" w14:paraId="676B0DE7" w14:textId="77777777" w:rsidTr="00D75D26">
        <w:tc>
          <w:tcPr>
            <w:tcW w:w="2425" w:type="dxa"/>
          </w:tcPr>
          <w:p w14:paraId="299194E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10928B2" w14:textId="77777777" w:rsidR="007C2B84" w:rsidRPr="00CB1E53" w:rsidRDefault="007C2B84" w:rsidP="00FD11D9">
            <w:pPr>
              <w:spacing w:before="20" w:after="20"/>
              <w:jc w:val="both"/>
              <w:rPr>
                <w:rFonts w:ascii="Segoe UI" w:hAnsi="Segoe UI" w:cs="Segoe UI"/>
                <w:sz w:val="18"/>
                <w:szCs w:val="18"/>
              </w:rPr>
            </w:pPr>
          </w:p>
        </w:tc>
      </w:tr>
      <w:tr w:rsidR="007C2B84" w:rsidRPr="00CB1E53" w14:paraId="6489CA7F" w14:textId="77777777" w:rsidTr="00D75D26">
        <w:tc>
          <w:tcPr>
            <w:tcW w:w="2425" w:type="dxa"/>
          </w:tcPr>
          <w:p w14:paraId="11013D9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7A3DE0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0050C893" w14:textId="77777777" w:rsidTr="00D75D26">
        <w:trPr>
          <w:trHeight w:val="91"/>
        </w:trPr>
        <w:tc>
          <w:tcPr>
            <w:tcW w:w="2425" w:type="dxa"/>
            <w:vMerge w:val="restart"/>
          </w:tcPr>
          <w:p w14:paraId="152A5211"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39B072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D6F419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034C59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38D8D2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86D9DE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1DB75CBF" w14:textId="77777777" w:rsidTr="00FB087B">
        <w:trPr>
          <w:trHeight w:val="91"/>
        </w:trPr>
        <w:tc>
          <w:tcPr>
            <w:tcW w:w="2425" w:type="dxa"/>
            <w:vMerge/>
          </w:tcPr>
          <w:p w14:paraId="362B4E59"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66986D9" w14:textId="35E9019A" w:rsidR="007C2B84" w:rsidRPr="00CB1E53" w:rsidRDefault="00725366" w:rsidP="00FD11D9">
            <w:pPr>
              <w:spacing w:before="20" w:after="20"/>
              <w:jc w:val="both"/>
              <w:rPr>
                <w:rFonts w:ascii="Segoe UI" w:hAnsi="Segoe UI" w:cs="Segoe UI"/>
                <w:sz w:val="18"/>
                <w:szCs w:val="18"/>
              </w:rPr>
            </w:pPr>
            <w:r>
              <w:rPr>
                <w:rFonts w:ascii="Segoe UI" w:hAnsi="Segoe UI" w:cs="Segoe UI"/>
                <w:sz w:val="18"/>
                <w:szCs w:val="18"/>
              </w:rPr>
              <w:t>2.1</w:t>
            </w:r>
          </w:p>
        </w:tc>
        <w:tc>
          <w:tcPr>
            <w:tcW w:w="1385" w:type="dxa"/>
            <w:shd w:val="clear" w:color="auto" w:fill="D9D9D9" w:themeFill="background1" w:themeFillShade="D9"/>
          </w:tcPr>
          <w:p w14:paraId="096704E2" w14:textId="4F69650C"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2.1</w:t>
            </w:r>
          </w:p>
        </w:tc>
        <w:tc>
          <w:tcPr>
            <w:tcW w:w="1385" w:type="dxa"/>
            <w:gridSpan w:val="2"/>
            <w:shd w:val="clear" w:color="auto" w:fill="D9D9D9" w:themeFill="background1" w:themeFillShade="D9"/>
          </w:tcPr>
          <w:p w14:paraId="5033019B" w14:textId="45DAFEAC"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2.0</w:t>
            </w:r>
          </w:p>
        </w:tc>
        <w:tc>
          <w:tcPr>
            <w:tcW w:w="1385" w:type="dxa"/>
            <w:shd w:val="clear" w:color="auto" w:fill="D9D9D9" w:themeFill="background1" w:themeFillShade="D9"/>
          </w:tcPr>
          <w:p w14:paraId="4FD1774B" w14:textId="1EBB68D1"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2.3</w:t>
            </w:r>
          </w:p>
        </w:tc>
        <w:tc>
          <w:tcPr>
            <w:tcW w:w="1660" w:type="dxa"/>
            <w:shd w:val="clear" w:color="auto" w:fill="D9D9D9" w:themeFill="background1" w:themeFillShade="D9"/>
          </w:tcPr>
          <w:p w14:paraId="31DA45DF" w14:textId="60967D0E" w:rsidR="007C2B84" w:rsidRPr="00FB087B" w:rsidRDefault="00725366" w:rsidP="00FD11D9">
            <w:pPr>
              <w:spacing w:before="20" w:after="20"/>
              <w:jc w:val="both"/>
              <w:rPr>
                <w:rFonts w:ascii="Segoe UI" w:hAnsi="Segoe UI" w:cs="Segoe UI"/>
                <w:i/>
                <w:iCs/>
                <w:sz w:val="18"/>
                <w:szCs w:val="18"/>
              </w:rPr>
            </w:pPr>
            <w:r w:rsidRPr="00FB087B">
              <w:rPr>
                <w:rFonts w:ascii="Segoe UI" w:hAnsi="Segoe UI" w:cs="Segoe UI"/>
                <w:i/>
                <w:iCs/>
                <w:sz w:val="18"/>
                <w:szCs w:val="18"/>
              </w:rPr>
              <w:t>2.6</w:t>
            </w:r>
          </w:p>
        </w:tc>
      </w:tr>
    </w:tbl>
    <w:p w14:paraId="1E6DD1F9"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46628FF9" w14:textId="77777777" w:rsidTr="00D75D26">
        <w:tc>
          <w:tcPr>
            <w:tcW w:w="9625" w:type="dxa"/>
            <w:gridSpan w:val="7"/>
            <w:shd w:val="clear" w:color="auto" w:fill="D9D9D9" w:themeFill="background1" w:themeFillShade="D9"/>
          </w:tcPr>
          <w:p w14:paraId="35A99915" w14:textId="7616E7E4"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11. </w:t>
            </w:r>
            <w:r w:rsidR="004C5BB2">
              <w:rPr>
                <w:rFonts w:ascii="Segoe UI" w:hAnsi="Segoe UI" w:cs="Segoe UI"/>
                <w:b/>
                <w:bCs/>
                <w:sz w:val="18"/>
                <w:szCs w:val="18"/>
              </w:rPr>
              <w:t>Allowance for</w:t>
            </w:r>
            <w:r w:rsidRPr="00CB1E53">
              <w:rPr>
                <w:rFonts w:ascii="Segoe UI" w:hAnsi="Segoe UI" w:cs="Segoe UI"/>
                <w:b/>
                <w:bCs/>
                <w:sz w:val="18"/>
                <w:szCs w:val="18"/>
              </w:rPr>
              <w:t xml:space="preserve"> charitable and sponsorship donations</w:t>
            </w:r>
          </w:p>
        </w:tc>
      </w:tr>
      <w:tr w:rsidR="007C2B84" w:rsidRPr="00CB1E53" w14:paraId="731D15C6" w14:textId="77777777" w:rsidTr="00D75D26">
        <w:tc>
          <w:tcPr>
            <w:tcW w:w="2425" w:type="dxa"/>
          </w:tcPr>
          <w:p w14:paraId="4E3A190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5DEE5A8" w14:textId="0E719312"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color w:val="000000"/>
                <w:sz w:val="18"/>
                <w:szCs w:val="18"/>
              </w:rPr>
              <w:t xml:space="preserve">Any resident business is entitled to deduct any donations made during the tax period for philanthropic or sponsorship purposes, but not more than 5% of the taxable income.  Only donations made for philanthropic or sponsorship purposes in favor of public authorities and public institutions specified in Article 51, of non-commercial organizations specified in Article 52 (1), may be deducted, in accordance with paragraph (1) of this article, as well as in favor of family-type orphanages.  Donations for philanthropic or sponsorship purposes will be deducted only if confirmed in the manner established by the Government. </w:t>
            </w:r>
            <w:r w:rsidRPr="00CB1E53">
              <w:rPr>
                <w:rFonts w:ascii="Segoe UI" w:hAnsi="Segoe UI" w:cs="Segoe UI"/>
                <w:sz w:val="18"/>
                <w:szCs w:val="18"/>
              </w:rPr>
              <w:t>Donations to non-profits organizations are deductible up to 5 percent of the taxable income. The granted allowance is non-structural</w:t>
            </w:r>
          </w:p>
        </w:tc>
      </w:tr>
      <w:tr w:rsidR="007C2B84" w:rsidRPr="00CB1E53" w14:paraId="0D92DE92" w14:textId="77777777" w:rsidTr="00D75D26">
        <w:tc>
          <w:tcPr>
            <w:tcW w:w="2425" w:type="dxa"/>
          </w:tcPr>
          <w:p w14:paraId="3DD9528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53FD9C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26ACFE1E" w14:textId="77777777" w:rsidTr="00D75D26">
        <w:tc>
          <w:tcPr>
            <w:tcW w:w="2425" w:type="dxa"/>
          </w:tcPr>
          <w:p w14:paraId="567145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28DD83A" w14:textId="3B755A69" w:rsidR="007C2B84" w:rsidRPr="00CB1E53" w:rsidRDefault="00580D5C" w:rsidP="00FD11D9">
            <w:pPr>
              <w:spacing w:before="20" w:after="20"/>
              <w:jc w:val="both"/>
              <w:rPr>
                <w:rFonts w:ascii="Segoe UI" w:hAnsi="Segoe UI" w:cs="Segoe UI"/>
                <w:sz w:val="18"/>
                <w:szCs w:val="18"/>
              </w:rPr>
            </w:pPr>
            <w:r>
              <w:rPr>
                <w:rFonts w:ascii="Segoe UI" w:hAnsi="Segoe UI" w:cs="Segoe UI"/>
                <w:sz w:val="18"/>
                <w:szCs w:val="18"/>
              </w:rPr>
              <w:t xml:space="preserve">Doners to charitable causes, </w:t>
            </w:r>
            <w:r w:rsidR="00725366">
              <w:rPr>
                <w:rFonts w:ascii="Segoe UI" w:hAnsi="Segoe UI" w:cs="Segoe UI"/>
                <w:sz w:val="18"/>
                <w:szCs w:val="18"/>
              </w:rPr>
              <w:t>sponsorships,</w:t>
            </w:r>
            <w:r>
              <w:rPr>
                <w:rFonts w:ascii="Segoe UI" w:hAnsi="Segoe UI" w:cs="Segoe UI"/>
                <w:sz w:val="18"/>
                <w:szCs w:val="18"/>
              </w:rPr>
              <w:t xml:space="preserve"> and charitable </w:t>
            </w:r>
            <w:proofErr w:type="spellStart"/>
            <w:r>
              <w:rPr>
                <w:rFonts w:ascii="Segoe UI" w:hAnsi="Segoe UI" w:cs="Segoe UI"/>
                <w:sz w:val="18"/>
                <w:szCs w:val="18"/>
              </w:rPr>
              <w:t>donees</w:t>
            </w:r>
            <w:proofErr w:type="spellEnd"/>
            <w:r>
              <w:rPr>
                <w:rFonts w:ascii="Segoe UI" w:hAnsi="Segoe UI" w:cs="Segoe UI"/>
                <w:sz w:val="18"/>
                <w:szCs w:val="18"/>
              </w:rPr>
              <w:t>.</w:t>
            </w:r>
          </w:p>
        </w:tc>
      </w:tr>
      <w:tr w:rsidR="007C2B84" w:rsidRPr="00CB1E53" w14:paraId="40CB452D" w14:textId="77777777" w:rsidTr="00D75D26">
        <w:tc>
          <w:tcPr>
            <w:tcW w:w="2425" w:type="dxa"/>
          </w:tcPr>
          <w:p w14:paraId="559D7E9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Measure</w:t>
            </w:r>
          </w:p>
        </w:tc>
        <w:tc>
          <w:tcPr>
            <w:tcW w:w="7200" w:type="dxa"/>
            <w:gridSpan w:val="6"/>
          </w:tcPr>
          <w:p w14:paraId="160E61D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An allowance</w:t>
            </w:r>
          </w:p>
        </w:tc>
      </w:tr>
      <w:tr w:rsidR="007C2B84" w:rsidRPr="00CB1E53" w14:paraId="6EF2971D" w14:textId="77777777" w:rsidTr="00D75D26">
        <w:tc>
          <w:tcPr>
            <w:tcW w:w="2425" w:type="dxa"/>
          </w:tcPr>
          <w:p w14:paraId="5129964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37808B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 order to support public benefit outreach by non-governmental organizations governments allow their funding through tax-preferential treatment of contributions and/or donations. The donor (a business) can deduct these transfers up to a capped amount even though they are not legitimate business expenses incurred in the production of taxable income.</w:t>
            </w:r>
          </w:p>
        </w:tc>
      </w:tr>
      <w:tr w:rsidR="007C2B84" w:rsidRPr="00CB1E53" w14:paraId="0322FA19" w14:textId="77777777" w:rsidTr="00D75D26">
        <w:tc>
          <w:tcPr>
            <w:tcW w:w="2425" w:type="dxa"/>
          </w:tcPr>
          <w:p w14:paraId="6B9C167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E15BDE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36</w:t>
            </w:r>
          </w:p>
        </w:tc>
      </w:tr>
      <w:tr w:rsidR="007C2B84" w:rsidRPr="00CB1E53" w14:paraId="22B078FA" w14:textId="77777777" w:rsidTr="00D75D26">
        <w:trPr>
          <w:trHeight w:val="182"/>
        </w:trPr>
        <w:tc>
          <w:tcPr>
            <w:tcW w:w="2425" w:type="dxa"/>
            <w:vMerge w:val="restart"/>
          </w:tcPr>
          <w:p w14:paraId="6FE146E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30690F9E"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4988DDC4" w14:textId="77777777" w:rsidR="007C2B84" w:rsidRPr="00CB1E53" w:rsidRDefault="007C2B84" w:rsidP="00FD11D9">
            <w:pPr>
              <w:spacing w:before="20" w:after="20"/>
              <w:jc w:val="both"/>
              <w:rPr>
                <w:rFonts w:ascii="Segoe UI" w:hAnsi="Segoe UI" w:cs="Segoe UI"/>
                <w:sz w:val="18"/>
                <w:szCs w:val="18"/>
              </w:rPr>
            </w:pPr>
          </w:p>
        </w:tc>
      </w:tr>
      <w:tr w:rsidR="007C2B84" w:rsidRPr="00CB1E53" w14:paraId="239B1B09" w14:textId="77777777" w:rsidTr="00D75D26">
        <w:trPr>
          <w:trHeight w:val="182"/>
        </w:trPr>
        <w:tc>
          <w:tcPr>
            <w:tcW w:w="2425" w:type="dxa"/>
            <w:vMerge/>
          </w:tcPr>
          <w:p w14:paraId="671DE150"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0059B9BF" w14:textId="18E40874"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2012</w:t>
            </w:r>
          </w:p>
        </w:tc>
        <w:tc>
          <w:tcPr>
            <w:tcW w:w="3738" w:type="dxa"/>
            <w:gridSpan w:val="3"/>
          </w:tcPr>
          <w:p w14:paraId="0D37754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655B30" w:rsidRPr="00CB1E53" w14:paraId="1FAA7B5F" w14:textId="77777777" w:rsidTr="00D75D26">
        <w:tc>
          <w:tcPr>
            <w:tcW w:w="2425" w:type="dxa"/>
          </w:tcPr>
          <w:p w14:paraId="1068DBE4" w14:textId="77777777" w:rsidR="00655B30" w:rsidRPr="00CB1E53" w:rsidRDefault="00655B3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1C863D4" w14:textId="42D768AF" w:rsidR="00655B30" w:rsidRPr="00CB1E53" w:rsidRDefault="00655B30"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655B30" w:rsidRPr="00CB1E53" w14:paraId="3335812A" w14:textId="77777777" w:rsidTr="00D75D26">
        <w:tc>
          <w:tcPr>
            <w:tcW w:w="2425" w:type="dxa"/>
          </w:tcPr>
          <w:p w14:paraId="6A4BA1F2" w14:textId="77777777" w:rsidR="00655B30" w:rsidRPr="00CB1E53" w:rsidRDefault="00655B3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290AC79" w14:textId="6009432E" w:rsidR="00655B30" w:rsidRPr="00CB1E53" w:rsidRDefault="00655B30"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05371BEF" w14:textId="77777777" w:rsidTr="00D75D26">
        <w:tc>
          <w:tcPr>
            <w:tcW w:w="2425" w:type="dxa"/>
          </w:tcPr>
          <w:p w14:paraId="26A8EE9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9D6EC61"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37F4E7B" w14:textId="77777777" w:rsidTr="00D75D26">
        <w:tc>
          <w:tcPr>
            <w:tcW w:w="2425" w:type="dxa"/>
          </w:tcPr>
          <w:p w14:paraId="2E37595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C6C582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277EBC10" w14:textId="77777777" w:rsidTr="00D75D26">
        <w:trPr>
          <w:trHeight w:val="91"/>
        </w:trPr>
        <w:tc>
          <w:tcPr>
            <w:tcW w:w="2425" w:type="dxa"/>
            <w:vMerge w:val="restart"/>
          </w:tcPr>
          <w:p w14:paraId="45F26487"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7F07707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B71CAB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77A875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2A75C5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98F3F5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08A954FE" w14:textId="77777777" w:rsidTr="00655B30">
        <w:trPr>
          <w:trHeight w:val="91"/>
        </w:trPr>
        <w:tc>
          <w:tcPr>
            <w:tcW w:w="2425" w:type="dxa"/>
            <w:vMerge/>
          </w:tcPr>
          <w:p w14:paraId="44016D28"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05C56BFB" w14:textId="15F204D7" w:rsidR="007C2B84" w:rsidRPr="00CB1E53" w:rsidRDefault="009716AF" w:rsidP="00FD11D9">
            <w:pPr>
              <w:spacing w:before="20" w:after="20"/>
              <w:jc w:val="both"/>
              <w:rPr>
                <w:rFonts w:ascii="Segoe UI" w:hAnsi="Segoe UI" w:cs="Segoe UI"/>
                <w:sz w:val="18"/>
                <w:szCs w:val="18"/>
              </w:rPr>
            </w:pPr>
            <w:r>
              <w:rPr>
                <w:rFonts w:ascii="Segoe UI" w:hAnsi="Segoe UI" w:cs="Segoe UI"/>
                <w:sz w:val="18"/>
                <w:szCs w:val="18"/>
              </w:rPr>
              <w:t>11.2</w:t>
            </w:r>
          </w:p>
        </w:tc>
        <w:tc>
          <w:tcPr>
            <w:tcW w:w="1385" w:type="dxa"/>
            <w:shd w:val="clear" w:color="auto" w:fill="D9D9D9" w:themeFill="background1" w:themeFillShade="D9"/>
          </w:tcPr>
          <w:p w14:paraId="01CC2480" w14:textId="19680765" w:rsidR="007C2B84" w:rsidRPr="00655B30" w:rsidRDefault="009716AF" w:rsidP="00FD11D9">
            <w:pPr>
              <w:spacing w:before="20" w:after="20"/>
              <w:jc w:val="both"/>
              <w:rPr>
                <w:rFonts w:ascii="Segoe UI" w:hAnsi="Segoe UI" w:cs="Segoe UI"/>
                <w:i/>
                <w:iCs/>
                <w:sz w:val="18"/>
                <w:szCs w:val="18"/>
              </w:rPr>
            </w:pPr>
            <w:r w:rsidRPr="00655B30">
              <w:rPr>
                <w:rFonts w:ascii="Segoe UI" w:hAnsi="Segoe UI" w:cs="Segoe UI"/>
                <w:i/>
                <w:iCs/>
                <w:sz w:val="18"/>
                <w:szCs w:val="18"/>
              </w:rPr>
              <w:t>11.2</w:t>
            </w:r>
          </w:p>
        </w:tc>
        <w:tc>
          <w:tcPr>
            <w:tcW w:w="1385" w:type="dxa"/>
            <w:gridSpan w:val="2"/>
            <w:shd w:val="clear" w:color="auto" w:fill="D9D9D9" w:themeFill="background1" w:themeFillShade="D9"/>
          </w:tcPr>
          <w:p w14:paraId="0FA0EB57" w14:textId="004A77CE" w:rsidR="007C2B84" w:rsidRPr="00655B30" w:rsidRDefault="009716AF" w:rsidP="00FD11D9">
            <w:pPr>
              <w:spacing w:before="20" w:after="20"/>
              <w:jc w:val="both"/>
              <w:rPr>
                <w:rFonts w:ascii="Segoe UI" w:hAnsi="Segoe UI" w:cs="Segoe UI"/>
                <w:i/>
                <w:iCs/>
                <w:sz w:val="18"/>
                <w:szCs w:val="18"/>
              </w:rPr>
            </w:pPr>
            <w:r w:rsidRPr="00655B30">
              <w:rPr>
                <w:rFonts w:ascii="Segoe UI" w:hAnsi="Segoe UI" w:cs="Segoe UI"/>
                <w:i/>
                <w:iCs/>
                <w:sz w:val="18"/>
                <w:szCs w:val="18"/>
              </w:rPr>
              <w:t>10.7</w:t>
            </w:r>
          </w:p>
        </w:tc>
        <w:tc>
          <w:tcPr>
            <w:tcW w:w="1385" w:type="dxa"/>
            <w:shd w:val="clear" w:color="auto" w:fill="D9D9D9" w:themeFill="background1" w:themeFillShade="D9"/>
          </w:tcPr>
          <w:p w14:paraId="2B711BDC" w14:textId="51F88DF1" w:rsidR="007C2B84" w:rsidRPr="00655B30" w:rsidRDefault="009716AF" w:rsidP="00FD11D9">
            <w:pPr>
              <w:spacing w:before="20" w:after="20"/>
              <w:jc w:val="both"/>
              <w:rPr>
                <w:rFonts w:ascii="Segoe UI" w:hAnsi="Segoe UI" w:cs="Segoe UI"/>
                <w:i/>
                <w:iCs/>
                <w:sz w:val="18"/>
                <w:szCs w:val="18"/>
              </w:rPr>
            </w:pPr>
            <w:r w:rsidRPr="00655B30">
              <w:rPr>
                <w:rFonts w:ascii="Segoe UI" w:hAnsi="Segoe UI" w:cs="Segoe UI"/>
                <w:i/>
                <w:iCs/>
                <w:sz w:val="18"/>
                <w:szCs w:val="18"/>
              </w:rPr>
              <w:t>12.4</w:t>
            </w:r>
          </w:p>
        </w:tc>
        <w:tc>
          <w:tcPr>
            <w:tcW w:w="1660" w:type="dxa"/>
            <w:shd w:val="clear" w:color="auto" w:fill="D9D9D9" w:themeFill="background1" w:themeFillShade="D9"/>
          </w:tcPr>
          <w:p w14:paraId="2D469AB1" w14:textId="0DE9D9BE" w:rsidR="007C2B84" w:rsidRPr="00655B30" w:rsidRDefault="009716AF" w:rsidP="00FD11D9">
            <w:pPr>
              <w:spacing w:before="20" w:after="20"/>
              <w:jc w:val="both"/>
              <w:rPr>
                <w:rFonts w:ascii="Segoe UI" w:hAnsi="Segoe UI" w:cs="Segoe UI"/>
                <w:i/>
                <w:iCs/>
                <w:sz w:val="18"/>
                <w:szCs w:val="18"/>
              </w:rPr>
            </w:pPr>
            <w:r w:rsidRPr="00655B30">
              <w:rPr>
                <w:rFonts w:ascii="Segoe UI" w:hAnsi="Segoe UI" w:cs="Segoe UI"/>
                <w:i/>
                <w:iCs/>
                <w:sz w:val="18"/>
                <w:szCs w:val="18"/>
              </w:rPr>
              <w:t>13.8</w:t>
            </w:r>
          </w:p>
        </w:tc>
      </w:tr>
    </w:tbl>
    <w:p w14:paraId="632E3BD5"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2AA7DE03" w14:textId="77777777" w:rsidTr="00D75D26">
        <w:trPr>
          <w:trHeight w:val="260"/>
        </w:trPr>
        <w:tc>
          <w:tcPr>
            <w:tcW w:w="9625" w:type="dxa"/>
            <w:gridSpan w:val="7"/>
            <w:shd w:val="clear" w:color="auto" w:fill="D9D9D9" w:themeFill="background1" w:themeFillShade="D9"/>
          </w:tcPr>
          <w:p w14:paraId="7FBA56FB" w14:textId="1A2D54AC"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12. </w:t>
            </w:r>
            <w:r w:rsidR="004C5BB2">
              <w:rPr>
                <w:rFonts w:ascii="Segoe UI" w:hAnsi="Segoe UI" w:cs="Segoe UI"/>
                <w:b/>
                <w:bCs/>
                <w:sz w:val="18"/>
                <w:szCs w:val="18"/>
              </w:rPr>
              <w:t>Reduced BIT rate of 7% for farmers</w:t>
            </w:r>
          </w:p>
        </w:tc>
      </w:tr>
      <w:tr w:rsidR="007C2B84" w:rsidRPr="00CB1E53" w14:paraId="156EA76A" w14:textId="77777777" w:rsidTr="00D75D26">
        <w:tc>
          <w:tcPr>
            <w:tcW w:w="2425" w:type="dxa"/>
          </w:tcPr>
          <w:p w14:paraId="04FCD24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21B1E84"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Reduced tax burden on agriculture – non-structural relief measure – as other businesses such as individual entrepreneurs, family doctors and all legal persons pay BIT at 12% on taxable income</w:t>
            </w:r>
          </w:p>
        </w:tc>
      </w:tr>
      <w:tr w:rsidR="007C2B84" w:rsidRPr="00CB1E53" w14:paraId="69D01A05" w14:textId="77777777" w:rsidTr="00D75D26">
        <w:tc>
          <w:tcPr>
            <w:tcW w:w="2425" w:type="dxa"/>
          </w:tcPr>
          <w:p w14:paraId="511951E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36877F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0F053F3C" w14:textId="77777777" w:rsidTr="00D75D26">
        <w:tc>
          <w:tcPr>
            <w:tcW w:w="2425" w:type="dxa"/>
          </w:tcPr>
          <w:p w14:paraId="6F832E5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695E1D4" w14:textId="2E8BE6D4" w:rsidR="007C2B84" w:rsidRPr="00CB1E53" w:rsidRDefault="00D27420" w:rsidP="00FD11D9">
            <w:pPr>
              <w:spacing w:before="20" w:after="20"/>
              <w:jc w:val="both"/>
              <w:rPr>
                <w:rFonts w:ascii="Segoe UI" w:hAnsi="Segoe UI" w:cs="Segoe UI"/>
                <w:sz w:val="18"/>
                <w:szCs w:val="18"/>
              </w:rPr>
            </w:pPr>
            <w:r>
              <w:rPr>
                <w:rFonts w:ascii="Segoe UI" w:hAnsi="Segoe UI" w:cs="Segoe UI"/>
                <w:sz w:val="18"/>
                <w:szCs w:val="18"/>
              </w:rPr>
              <w:t>Farming households</w:t>
            </w:r>
          </w:p>
        </w:tc>
      </w:tr>
      <w:tr w:rsidR="007C2B84" w:rsidRPr="00CB1E53" w14:paraId="5EAC716B" w14:textId="77777777" w:rsidTr="00D75D26">
        <w:tc>
          <w:tcPr>
            <w:tcW w:w="2425" w:type="dxa"/>
          </w:tcPr>
          <w:p w14:paraId="5757A3A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82D589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Tax rate relief—reduced rate of 7% vs standard BIT rate of 12%.</w:t>
            </w:r>
          </w:p>
        </w:tc>
      </w:tr>
      <w:tr w:rsidR="007C2B84" w:rsidRPr="00CB1E53" w14:paraId="11CB35A2" w14:textId="77777777" w:rsidTr="00D75D26">
        <w:tc>
          <w:tcPr>
            <w:tcW w:w="2425" w:type="dxa"/>
          </w:tcPr>
          <w:p w14:paraId="18880A8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608FC7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Reduced tax burden on agriculture of 7% is a tax relief measure not available to other businesses such as individual entrepreneurs, family doctors, and all legal persons that pay BIT at 12% on taxable income. </w:t>
            </w:r>
          </w:p>
        </w:tc>
      </w:tr>
      <w:tr w:rsidR="007C2B84" w:rsidRPr="00CB1E53" w14:paraId="49F41901" w14:textId="77777777" w:rsidTr="00D75D26">
        <w:tc>
          <w:tcPr>
            <w:tcW w:w="2425" w:type="dxa"/>
          </w:tcPr>
          <w:p w14:paraId="3BD542B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F6E6A6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15</w:t>
            </w:r>
          </w:p>
        </w:tc>
      </w:tr>
      <w:tr w:rsidR="007C2B84" w:rsidRPr="00CB1E53" w14:paraId="1F8462BE" w14:textId="77777777" w:rsidTr="00D75D26">
        <w:trPr>
          <w:trHeight w:val="182"/>
        </w:trPr>
        <w:tc>
          <w:tcPr>
            <w:tcW w:w="2425" w:type="dxa"/>
            <w:vMerge w:val="restart"/>
          </w:tcPr>
          <w:p w14:paraId="3470085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48FBD3CE"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7FF97181" w14:textId="77777777" w:rsidR="007C2B84" w:rsidRPr="00CB1E53" w:rsidRDefault="007C2B84" w:rsidP="00FD11D9">
            <w:pPr>
              <w:spacing w:before="20" w:after="20"/>
              <w:jc w:val="both"/>
              <w:rPr>
                <w:rFonts w:ascii="Segoe UI" w:hAnsi="Segoe UI" w:cs="Segoe UI"/>
                <w:sz w:val="18"/>
                <w:szCs w:val="18"/>
              </w:rPr>
            </w:pPr>
          </w:p>
        </w:tc>
      </w:tr>
      <w:tr w:rsidR="007C2B84" w:rsidRPr="00CB1E53" w14:paraId="3D24C7E6" w14:textId="77777777" w:rsidTr="00D75D26">
        <w:trPr>
          <w:trHeight w:val="182"/>
        </w:trPr>
        <w:tc>
          <w:tcPr>
            <w:tcW w:w="2425" w:type="dxa"/>
            <w:vMerge/>
          </w:tcPr>
          <w:p w14:paraId="34CCD6AF"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3154D23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738" w:type="dxa"/>
            <w:gridSpan w:val="3"/>
          </w:tcPr>
          <w:p w14:paraId="1E123FC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655B30" w:rsidRPr="00CB1E53" w14:paraId="2F1C8C1C" w14:textId="77777777" w:rsidTr="00D75D26">
        <w:tc>
          <w:tcPr>
            <w:tcW w:w="2425" w:type="dxa"/>
          </w:tcPr>
          <w:p w14:paraId="471594E7" w14:textId="77777777" w:rsidR="00655B30" w:rsidRPr="00CB1E53" w:rsidRDefault="00655B30"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1FE2D4C" w14:textId="277FF2E9" w:rsidR="00655B30" w:rsidRPr="00CB1E53" w:rsidRDefault="00655B30" w:rsidP="00FD11D9">
            <w:pPr>
              <w:spacing w:before="20" w:after="20"/>
              <w:jc w:val="both"/>
              <w:rPr>
                <w:rFonts w:ascii="Segoe UI" w:hAnsi="Segoe UI" w:cs="Segoe UI"/>
                <w:sz w:val="18"/>
                <w:szCs w:val="18"/>
              </w:rPr>
            </w:pPr>
            <w:r>
              <w:rPr>
                <w:rFonts w:ascii="Segoe UI" w:hAnsi="Segoe UI" w:cs="Segoe UI"/>
                <w:sz w:val="18"/>
                <w:szCs w:val="18"/>
              </w:rPr>
              <w:t>VEN12 and UNIF18 tax data (2018)</w:t>
            </w:r>
          </w:p>
        </w:tc>
      </w:tr>
      <w:tr w:rsidR="00655B30" w:rsidRPr="00CB1E53" w14:paraId="34EBC7F1" w14:textId="77777777" w:rsidTr="00D75D26">
        <w:tc>
          <w:tcPr>
            <w:tcW w:w="2425" w:type="dxa"/>
          </w:tcPr>
          <w:p w14:paraId="7537DD4B" w14:textId="77777777" w:rsidR="00655B30" w:rsidRPr="00CB1E53" w:rsidRDefault="00655B30"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B317F41" w14:textId="3DF3C7AC" w:rsidR="00655B30" w:rsidRPr="00CB1E53" w:rsidRDefault="00655B30"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65FD4E41" w14:textId="77777777" w:rsidTr="00D75D26">
        <w:tc>
          <w:tcPr>
            <w:tcW w:w="2425" w:type="dxa"/>
          </w:tcPr>
          <w:p w14:paraId="54622E9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5A2EA24" w14:textId="77777777" w:rsidR="007C2B84" w:rsidRPr="00CB1E53" w:rsidRDefault="007C2B84" w:rsidP="00FD11D9">
            <w:pPr>
              <w:spacing w:before="20" w:after="20"/>
              <w:jc w:val="both"/>
              <w:rPr>
                <w:rFonts w:ascii="Segoe UI" w:hAnsi="Segoe UI" w:cs="Segoe UI"/>
                <w:sz w:val="18"/>
                <w:szCs w:val="18"/>
              </w:rPr>
            </w:pPr>
          </w:p>
        </w:tc>
      </w:tr>
      <w:tr w:rsidR="007C2B84" w:rsidRPr="00CB1E53" w14:paraId="7F97DC47" w14:textId="77777777" w:rsidTr="00D75D26">
        <w:tc>
          <w:tcPr>
            <w:tcW w:w="2425" w:type="dxa"/>
          </w:tcPr>
          <w:p w14:paraId="41AFF206"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5E4A4ED" w14:textId="77777777" w:rsidR="007C2B84" w:rsidRPr="00CB1E53" w:rsidRDefault="007C2B84" w:rsidP="00FD11D9">
            <w:pPr>
              <w:keepNext/>
              <w:keepLines/>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2F64F998" w14:textId="77777777" w:rsidTr="00D75D26">
        <w:trPr>
          <w:trHeight w:val="91"/>
        </w:trPr>
        <w:tc>
          <w:tcPr>
            <w:tcW w:w="2425" w:type="dxa"/>
            <w:vMerge w:val="restart"/>
          </w:tcPr>
          <w:p w14:paraId="7FEA9B3B" w14:textId="77777777" w:rsidR="007C2B84" w:rsidRPr="00CB1E53" w:rsidRDefault="007C2B84" w:rsidP="00FD11D9">
            <w:pPr>
              <w:keepNext/>
              <w:keepLines/>
              <w:spacing w:before="20" w:after="20"/>
              <w:jc w:val="both"/>
              <w:rPr>
                <w:rFonts w:ascii="Segoe UI" w:hAnsi="Segoe UI" w:cs="Segoe UI"/>
                <w:b/>
                <w:bCs/>
                <w:sz w:val="18"/>
                <w:szCs w:val="18"/>
              </w:rPr>
            </w:pPr>
          </w:p>
        </w:tc>
        <w:tc>
          <w:tcPr>
            <w:tcW w:w="1385" w:type="dxa"/>
          </w:tcPr>
          <w:p w14:paraId="665227FC"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8D4CAA1"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66E8BC3"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9F46253"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F6CE39E" w14:textId="77777777"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1D61FA2E" w14:textId="77777777" w:rsidTr="00655B30">
        <w:trPr>
          <w:trHeight w:val="91"/>
        </w:trPr>
        <w:tc>
          <w:tcPr>
            <w:tcW w:w="2425" w:type="dxa"/>
            <w:vMerge/>
          </w:tcPr>
          <w:p w14:paraId="4FC803D9" w14:textId="77777777" w:rsidR="007C2B84" w:rsidRPr="00CB1E53" w:rsidRDefault="007C2B84" w:rsidP="00FD11D9">
            <w:pPr>
              <w:keepNext/>
              <w:keepLines/>
              <w:spacing w:before="20" w:after="20"/>
              <w:jc w:val="both"/>
              <w:rPr>
                <w:rFonts w:ascii="Segoe UI" w:hAnsi="Segoe UI" w:cs="Segoe UI"/>
                <w:b/>
                <w:bCs/>
                <w:sz w:val="18"/>
                <w:szCs w:val="18"/>
              </w:rPr>
            </w:pPr>
          </w:p>
        </w:tc>
        <w:tc>
          <w:tcPr>
            <w:tcW w:w="1385" w:type="dxa"/>
          </w:tcPr>
          <w:p w14:paraId="47488E8C" w14:textId="791B4AE5" w:rsidR="007C2B84" w:rsidRPr="00CB1E53" w:rsidRDefault="004C5BB2" w:rsidP="00FD11D9">
            <w:pPr>
              <w:keepNext/>
              <w:keepLines/>
              <w:spacing w:before="20" w:after="20"/>
              <w:jc w:val="both"/>
              <w:rPr>
                <w:rFonts w:ascii="Segoe UI" w:hAnsi="Segoe UI" w:cs="Segoe UI"/>
                <w:sz w:val="18"/>
                <w:szCs w:val="18"/>
              </w:rPr>
            </w:pPr>
            <w:r>
              <w:rPr>
                <w:rFonts w:ascii="Segoe UI" w:hAnsi="Segoe UI" w:cs="Segoe UI"/>
                <w:sz w:val="18"/>
                <w:szCs w:val="18"/>
              </w:rPr>
              <w:t>19.2</w:t>
            </w:r>
          </w:p>
        </w:tc>
        <w:tc>
          <w:tcPr>
            <w:tcW w:w="1385" w:type="dxa"/>
            <w:shd w:val="clear" w:color="auto" w:fill="D9D9D9" w:themeFill="background1" w:themeFillShade="D9"/>
          </w:tcPr>
          <w:p w14:paraId="45916E38" w14:textId="21FD16A7" w:rsidR="007C2B84" w:rsidRPr="00655B30" w:rsidRDefault="004C5BB2" w:rsidP="00FD11D9">
            <w:pPr>
              <w:keepNext/>
              <w:keepLines/>
              <w:spacing w:before="20" w:after="20"/>
              <w:jc w:val="both"/>
              <w:rPr>
                <w:rFonts w:ascii="Segoe UI" w:hAnsi="Segoe UI" w:cs="Segoe UI"/>
                <w:i/>
                <w:iCs/>
                <w:sz w:val="18"/>
                <w:szCs w:val="18"/>
              </w:rPr>
            </w:pPr>
            <w:r w:rsidRPr="00655B30">
              <w:rPr>
                <w:rFonts w:ascii="Segoe UI" w:hAnsi="Segoe UI" w:cs="Segoe UI"/>
                <w:i/>
                <w:iCs/>
                <w:sz w:val="18"/>
                <w:szCs w:val="18"/>
              </w:rPr>
              <w:t>19.2</w:t>
            </w:r>
          </w:p>
        </w:tc>
        <w:tc>
          <w:tcPr>
            <w:tcW w:w="1385" w:type="dxa"/>
            <w:gridSpan w:val="2"/>
            <w:shd w:val="clear" w:color="auto" w:fill="D9D9D9" w:themeFill="background1" w:themeFillShade="D9"/>
          </w:tcPr>
          <w:p w14:paraId="773E409E" w14:textId="14798FCF" w:rsidR="007C2B84" w:rsidRPr="00655B30" w:rsidRDefault="004C5BB2" w:rsidP="00FD11D9">
            <w:pPr>
              <w:keepNext/>
              <w:keepLines/>
              <w:spacing w:before="20" w:after="20"/>
              <w:jc w:val="both"/>
              <w:rPr>
                <w:rFonts w:ascii="Segoe UI" w:hAnsi="Segoe UI" w:cs="Segoe UI"/>
                <w:i/>
                <w:iCs/>
                <w:sz w:val="18"/>
                <w:szCs w:val="18"/>
              </w:rPr>
            </w:pPr>
            <w:r w:rsidRPr="00655B30">
              <w:rPr>
                <w:rFonts w:ascii="Segoe UI" w:hAnsi="Segoe UI" w:cs="Segoe UI"/>
                <w:i/>
                <w:iCs/>
                <w:sz w:val="18"/>
                <w:szCs w:val="18"/>
              </w:rPr>
              <w:t>18.5</w:t>
            </w:r>
          </w:p>
        </w:tc>
        <w:tc>
          <w:tcPr>
            <w:tcW w:w="1385" w:type="dxa"/>
            <w:shd w:val="clear" w:color="auto" w:fill="D9D9D9" w:themeFill="background1" w:themeFillShade="D9"/>
          </w:tcPr>
          <w:p w14:paraId="2A41EB48" w14:textId="0787F2CA" w:rsidR="007C2B84" w:rsidRPr="00655B30" w:rsidRDefault="004C5BB2" w:rsidP="00FD11D9">
            <w:pPr>
              <w:keepNext/>
              <w:keepLines/>
              <w:spacing w:before="20" w:after="20"/>
              <w:jc w:val="both"/>
              <w:rPr>
                <w:rFonts w:ascii="Segoe UI" w:hAnsi="Segoe UI" w:cs="Segoe UI"/>
                <w:i/>
                <w:iCs/>
                <w:sz w:val="18"/>
                <w:szCs w:val="18"/>
              </w:rPr>
            </w:pPr>
            <w:r w:rsidRPr="00655B30">
              <w:rPr>
                <w:rFonts w:ascii="Segoe UI" w:hAnsi="Segoe UI" w:cs="Segoe UI"/>
                <w:i/>
                <w:iCs/>
                <w:sz w:val="18"/>
                <w:szCs w:val="18"/>
              </w:rPr>
              <w:t>21.4</w:t>
            </w:r>
          </w:p>
        </w:tc>
        <w:tc>
          <w:tcPr>
            <w:tcW w:w="1660" w:type="dxa"/>
            <w:shd w:val="clear" w:color="auto" w:fill="D9D9D9" w:themeFill="background1" w:themeFillShade="D9"/>
          </w:tcPr>
          <w:p w14:paraId="3DEBE2A0" w14:textId="79DE5C70" w:rsidR="007C2B84" w:rsidRPr="00655B30" w:rsidRDefault="004A3453" w:rsidP="00FD11D9">
            <w:pPr>
              <w:keepNext/>
              <w:keepLines/>
              <w:spacing w:before="20" w:after="20"/>
              <w:jc w:val="both"/>
              <w:rPr>
                <w:rFonts w:ascii="Segoe UI" w:hAnsi="Segoe UI" w:cs="Segoe UI"/>
                <w:i/>
                <w:iCs/>
                <w:sz w:val="18"/>
                <w:szCs w:val="18"/>
              </w:rPr>
            </w:pPr>
            <w:r w:rsidRPr="00655B30">
              <w:rPr>
                <w:rFonts w:ascii="Segoe UI" w:hAnsi="Segoe UI" w:cs="Segoe UI"/>
                <w:i/>
                <w:iCs/>
                <w:sz w:val="18"/>
                <w:szCs w:val="18"/>
              </w:rPr>
              <w:t>23</w:t>
            </w:r>
            <w:r w:rsidR="004C5BB2" w:rsidRPr="00655B30">
              <w:rPr>
                <w:rFonts w:ascii="Segoe UI" w:hAnsi="Segoe UI" w:cs="Segoe UI"/>
                <w:i/>
                <w:iCs/>
                <w:sz w:val="18"/>
                <w:szCs w:val="18"/>
              </w:rPr>
              <w:t>.7</w:t>
            </w:r>
          </w:p>
        </w:tc>
      </w:tr>
    </w:tbl>
    <w:p w14:paraId="52C77952" w14:textId="4A551DAB" w:rsidR="007C2B84"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3B2BEA7A" w14:textId="77777777" w:rsidTr="00D75D26">
        <w:tc>
          <w:tcPr>
            <w:tcW w:w="9625" w:type="dxa"/>
            <w:gridSpan w:val="7"/>
            <w:shd w:val="clear" w:color="auto" w:fill="D9D9D9" w:themeFill="background1" w:themeFillShade="D9"/>
          </w:tcPr>
          <w:p w14:paraId="49862AFC" w14:textId="72968ABD" w:rsidR="007C2B84" w:rsidRPr="00CB1E53" w:rsidRDefault="007C2B84"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 xml:space="preserve">13. </w:t>
            </w:r>
            <w:r w:rsidR="004A3453">
              <w:rPr>
                <w:rFonts w:ascii="Segoe UI" w:hAnsi="Segoe UI" w:cs="Segoe UI"/>
                <w:b/>
                <w:bCs/>
                <w:sz w:val="18"/>
                <w:szCs w:val="18"/>
              </w:rPr>
              <w:t>Reduced BIT rate of 7% for IT parks</w:t>
            </w:r>
            <w:r w:rsidRPr="00CB1E53">
              <w:rPr>
                <w:rFonts w:ascii="Segoe UI" w:hAnsi="Segoe UI" w:cs="Segoe UI"/>
                <w:b/>
                <w:bCs/>
                <w:sz w:val="18"/>
                <w:szCs w:val="18"/>
              </w:rPr>
              <w:t xml:space="preserve"> </w:t>
            </w:r>
          </w:p>
        </w:tc>
      </w:tr>
      <w:tr w:rsidR="007C2B84" w:rsidRPr="00CB1E53" w14:paraId="50E30622" w14:textId="77777777" w:rsidTr="00D75D26">
        <w:tc>
          <w:tcPr>
            <w:tcW w:w="2425" w:type="dxa"/>
          </w:tcPr>
          <w:p w14:paraId="1ECF178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F454E8A" w14:textId="2E45CA77" w:rsidR="007C2B84" w:rsidRPr="00CB1E53" w:rsidRDefault="007C2B84" w:rsidP="00FD11D9">
            <w:pPr>
              <w:keepNext/>
              <w:keepLines/>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Entities of different legal forms are eligible after fulfilling certain requirements. Subject to tax is</w:t>
            </w:r>
            <w:r w:rsidR="000762A3">
              <w:rPr>
                <w:rFonts w:ascii="Segoe UI" w:hAnsi="Segoe UI" w:cs="Segoe UI"/>
                <w:sz w:val="18"/>
                <w:szCs w:val="18"/>
              </w:rPr>
              <w:t xml:space="preserve"> </w:t>
            </w:r>
            <w:r w:rsidRPr="00CB1E53">
              <w:rPr>
                <w:rFonts w:ascii="Segoe UI" w:hAnsi="Segoe UI" w:cs="Segoe UI"/>
                <w:sz w:val="18"/>
                <w:szCs w:val="18"/>
              </w:rPr>
              <w:t>revenue from sales</w:t>
            </w:r>
            <w:r w:rsidR="000762A3">
              <w:rPr>
                <w:rFonts w:ascii="Segoe UI" w:hAnsi="Segoe UI" w:cs="Segoe UI"/>
                <w:sz w:val="18"/>
                <w:szCs w:val="18"/>
              </w:rPr>
              <w:t xml:space="preserve"> (</w:t>
            </w:r>
            <w:r w:rsidRPr="00CB1E53">
              <w:rPr>
                <w:rFonts w:ascii="Segoe UI" w:hAnsi="Segoe UI" w:cs="Segoe UI"/>
                <w:sz w:val="18"/>
                <w:szCs w:val="18"/>
              </w:rPr>
              <w:t>Tax return IU17</w:t>
            </w:r>
            <w:r w:rsidR="000762A3">
              <w:rPr>
                <w:rFonts w:ascii="Segoe UI" w:hAnsi="Segoe UI" w:cs="Segoe UI"/>
                <w:sz w:val="18"/>
                <w:szCs w:val="18"/>
              </w:rPr>
              <w:t>)</w:t>
            </w:r>
            <w:r w:rsidRPr="00CB1E53">
              <w:rPr>
                <w:rFonts w:ascii="Segoe UI" w:hAnsi="Segoe UI" w:cs="Segoe UI"/>
                <w:sz w:val="18"/>
                <w:szCs w:val="18"/>
              </w:rPr>
              <w:t>.  Tax liability is calculated with the tax rate of 7 percent, but not less than a minimum tax calculated as: 30 percent*average monthly salary in the economy * number of employees. The single unified tax substitutes: income tax on entrepreneurial activity, income tax on salary, SSC from employers and employees, medical assistance contributions from employers and employees, local taxes, real estate tax, road tax for the use of motor vehicles registered in the Republic of Moldova. It is a non-structural tax measure.</w:t>
            </w:r>
          </w:p>
        </w:tc>
      </w:tr>
      <w:tr w:rsidR="007C2B84" w:rsidRPr="00CB1E53" w14:paraId="1E4F700A" w14:textId="77777777" w:rsidTr="00D75D26">
        <w:tc>
          <w:tcPr>
            <w:tcW w:w="2425" w:type="dxa"/>
          </w:tcPr>
          <w:p w14:paraId="306F25E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30D3FA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unified tax</w:t>
            </w:r>
          </w:p>
        </w:tc>
      </w:tr>
      <w:tr w:rsidR="007C2B84" w:rsidRPr="00CB1E53" w14:paraId="208A9B42" w14:textId="77777777" w:rsidTr="00D75D26">
        <w:tc>
          <w:tcPr>
            <w:tcW w:w="2425" w:type="dxa"/>
          </w:tcPr>
          <w:p w14:paraId="6889F3F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F613DC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Residents of IT Parks</w:t>
            </w:r>
          </w:p>
        </w:tc>
      </w:tr>
      <w:tr w:rsidR="007C2B84" w:rsidRPr="00CB1E53" w14:paraId="02B493E2" w14:textId="77777777" w:rsidTr="00D75D26">
        <w:tc>
          <w:tcPr>
            <w:tcW w:w="2425" w:type="dxa"/>
          </w:tcPr>
          <w:p w14:paraId="007308C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Measure</w:t>
            </w:r>
          </w:p>
        </w:tc>
        <w:tc>
          <w:tcPr>
            <w:tcW w:w="7200" w:type="dxa"/>
            <w:gridSpan w:val="6"/>
          </w:tcPr>
          <w:p w14:paraId="58244694" w14:textId="1525A3A6"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Ta</w:t>
            </w:r>
            <w:r w:rsidR="000762A3">
              <w:rPr>
                <w:rFonts w:ascii="Segoe UI" w:hAnsi="Segoe UI" w:cs="Segoe UI"/>
                <w:sz w:val="18"/>
                <w:szCs w:val="18"/>
              </w:rPr>
              <w:t>x</w:t>
            </w:r>
            <w:r w:rsidRPr="00CB1E53">
              <w:rPr>
                <w:rFonts w:ascii="Segoe UI" w:hAnsi="Segoe UI" w:cs="Segoe UI"/>
                <w:sz w:val="18"/>
                <w:szCs w:val="18"/>
              </w:rPr>
              <w:t xml:space="preserve"> rate reduction is the tax relief measure as it departs from the statutory 12% standard CIT rate.</w:t>
            </w:r>
          </w:p>
        </w:tc>
      </w:tr>
      <w:tr w:rsidR="007C2B84" w:rsidRPr="00CB1E53" w14:paraId="2ED991D2" w14:textId="77777777" w:rsidTr="00D75D26">
        <w:tc>
          <w:tcPr>
            <w:tcW w:w="2425" w:type="dxa"/>
          </w:tcPr>
          <w:p w14:paraId="6499E43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ED43A9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unified tax regime replaces most other taxes levied by national and subnational level government in Moldova on the IT sector, translating into a sizable tax burden reduction across affected taxes. This is a tax expenditure.</w:t>
            </w:r>
          </w:p>
        </w:tc>
      </w:tr>
      <w:tr w:rsidR="007C2B84" w:rsidRPr="00CB1E53" w14:paraId="22E8DDDF" w14:textId="77777777" w:rsidTr="00D75D26">
        <w:tc>
          <w:tcPr>
            <w:tcW w:w="2425" w:type="dxa"/>
          </w:tcPr>
          <w:p w14:paraId="6BBBF7A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517F398"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Law no. 77 of 21.04.2016, Articles 367‐372</w:t>
            </w:r>
          </w:p>
        </w:tc>
      </w:tr>
      <w:tr w:rsidR="007C2B84" w:rsidRPr="00CB1E53" w14:paraId="41C561C3" w14:textId="77777777" w:rsidTr="00D75D26">
        <w:trPr>
          <w:trHeight w:val="182"/>
        </w:trPr>
        <w:tc>
          <w:tcPr>
            <w:tcW w:w="2425" w:type="dxa"/>
            <w:vMerge w:val="restart"/>
          </w:tcPr>
          <w:p w14:paraId="5A946AB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0ACE9286"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31D7E051" w14:textId="77777777" w:rsidR="007C2B84" w:rsidRPr="00CB1E53" w:rsidRDefault="007C2B84" w:rsidP="00FD11D9">
            <w:pPr>
              <w:spacing w:before="20" w:after="20"/>
              <w:jc w:val="both"/>
              <w:rPr>
                <w:rFonts w:ascii="Segoe UI" w:hAnsi="Segoe UI" w:cs="Segoe UI"/>
                <w:sz w:val="18"/>
                <w:szCs w:val="18"/>
              </w:rPr>
            </w:pPr>
          </w:p>
        </w:tc>
      </w:tr>
      <w:tr w:rsidR="007C2B84" w:rsidRPr="00CB1E53" w14:paraId="732E495A" w14:textId="77777777" w:rsidTr="00D75D26">
        <w:trPr>
          <w:trHeight w:val="182"/>
        </w:trPr>
        <w:tc>
          <w:tcPr>
            <w:tcW w:w="2425" w:type="dxa"/>
            <w:vMerge/>
          </w:tcPr>
          <w:p w14:paraId="4C44439D"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71E2CCB4"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2017</w:t>
            </w:r>
          </w:p>
        </w:tc>
        <w:tc>
          <w:tcPr>
            <w:tcW w:w="3738" w:type="dxa"/>
            <w:gridSpan w:val="3"/>
          </w:tcPr>
          <w:p w14:paraId="24D3FA1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55651E" w:rsidRPr="00CB1E53" w14:paraId="449B171D" w14:textId="77777777" w:rsidTr="00D75D26">
        <w:tc>
          <w:tcPr>
            <w:tcW w:w="2425" w:type="dxa"/>
          </w:tcPr>
          <w:p w14:paraId="51C0EB58"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1116D4D" w14:textId="53CDA12A"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IU17 tax data (2018)</w:t>
            </w:r>
          </w:p>
        </w:tc>
      </w:tr>
      <w:tr w:rsidR="0055651E" w:rsidRPr="00CB1E53" w14:paraId="4455769D" w14:textId="77777777" w:rsidTr="00D75D26">
        <w:tc>
          <w:tcPr>
            <w:tcW w:w="2425" w:type="dxa"/>
          </w:tcPr>
          <w:p w14:paraId="0CD27BFF"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1EB8B8E" w14:textId="1A509ECF"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3A212CE2" w14:textId="77777777" w:rsidTr="00D75D26">
        <w:tc>
          <w:tcPr>
            <w:tcW w:w="2425" w:type="dxa"/>
          </w:tcPr>
          <w:p w14:paraId="1DB44F7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9584378"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AD0B2FC" w14:textId="77777777" w:rsidTr="00D75D26">
        <w:tc>
          <w:tcPr>
            <w:tcW w:w="2425" w:type="dxa"/>
          </w:tcPr>
          <w:p w14:paraId="25C3AF3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F25DE5E"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5787F766" w14:textId="77777777" w:rsidTr="00D75D26">
        <w:trPr>
          <w:trHeight w:val="91"/>
        </w:trPr>
        <w:tc>
          <w:tcPr>
            <w:tcW w:w="2425" w:type="dxa"/>
            <w:vMerge w:val="restart"/>
          </w:tcPr>
          <w:p w14:paraId="436F4A88"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F8B2D3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952100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C3D210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029C10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CDEB9B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2F8231CB" w14:textId="77777777" w:rsidTr="0055651E">
        <w:trPr>
          <w:trHeight w:val="91"/>
        </w:trPr>
        <w:tc>
          <w:tcPr>
            <w:tcW w:w="2425" w:type="dxa"/>
            <w:vMerge/>
          </w:tcPr>
          <w:p w14:paraId="162AF44D"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08EAE533" w14:textId="27603422" w:rsidR="007C2B84" w:rsidRPr="00CB1E53" w:rsidRDefault="004A3453" w:rsidP="00FD11D9">
            <w:pPr>
              <w:spacing w:before="20" w:after="20"/>
              <w:jc w:val="both"/>
              <w:rPr>
                <w:rFonts w:ascii="Segoe UI" w:hAnsi="Segoe UI" w:cs="Segoe UI"/>
                <w:sz w:val="18"/>
                <w:szCs w:val="18"/>
              </w:rPr>
            </w:pPr>
            <w:r>
              <w:rPr>
                <w:rFonts w:ascii="Segoe UI" w:hAnsi="Segoe UI" w:cs="Segoe UI"/>
                <w:sz w:val="18"/>
                <w:szCs w:val="18"/>
              </w:rPr>
              <w:t>182.5</w:t>
            </w:r>
          </w:p>
        </w:tc>
        <w:tc>
          <w:tcPr>
            <w:tcW w:w="1385" w:type="dxa"/>
            <w:shd w:val="clear" w:color="auto" w:fill="D9D9D9" w:themeFill="background1" w:themeFillShade="D9"/>
          </w:tcPr>
          <w:p w14:paraId="366783FC" w14:textId="1F815C5D" w:rsidR="007C2B84" w:rsidRPr="0055651E" w:rsidRDefault="004A3453" w:rsidP="00FD11D9">
            <w:pPr>
              <w:spacing w:before="20" w:after="20"/>
              <w:jc w:val="both"/>
              <w:rPr>
                <w:rFonts w:ascii="Segoe UI" w:hAnsi="Segoe UI" w:cs="Segoe UI"/>
                <w:i/>
                <w:iCs/>
                <w:sz w:val="18"/>
                <w:szCs w:val="18"/>
              </w:rPr>
            </w:pPr>
            <w:r w:rsidRPr="0055651E">
              <w:rPr>
                <w:rFonts w:ascii="Segoe UI" w:hAnsi="Segoe UI" w:cs="Segoe UI"/>
                <w:i/>
                <w:iCs/>
                <w:sz w:val="18"/>
                <w:szCs w:val="18"/>
              </w:rPr>
              <w:t>182.8</w:t>
            </w:r>
          </w:p>
        </w:tc>
        <w:tc>
          <w:tcPr>
            <w:tcW w:w="1385" w:type="dxa"/>
            <w:gridSpan w:val="2"/>
            <w:shd w:val="clear" w:color="auto" w:fill="D9D9D9" w:themeFill="background1" w:themeFillShade="D9"/>
          </w:tcPr>
          <w:p w14:paraId="3C3F25B3" w14:textId="5053036C" w:rsidR="007C2B84" w:rsidRPr="0055651E" w:rsidRDefault="004A3453" w:rsidP="00FD11D9">
            <w:pPr>
              <w:spacing w:before="20" w:after="20"/>
              <w:jc w:val="both"/>
              <w:rPr>
                <w:rFonts w:ascii="Segoe UI" w:hAnsi="Segoe UI" w:cs="Segoe UI"/>
                <w:i/>
                <w:iCs/>
                <w:sz w:val="18"/>
                <w:szCs w:val="18"/>
              </w:rPr>
            </w:pPr>
            <w:r w:rsidRPr="0055651E">
              <w:rPr>
                <w:rFonts w:ascii="Segoe UI" w:hAnsi="Segoe UI" w:cs="Segoe UI"/>
                <w:i/>
                <w:iCs/>
                <w:sz w:val="18"/>
                <w:szCs w:val="18"/>
              </w:rPr>
              <w:t>174.6</w:t>
            </w:r>
          </w:p>
        </w:tc>
        <w:tc>
          <w:tcPr>
            <w:tcW w:w="1385" w:type="dxa"/>
            <w:shd w:val="clear" w:color="auto" w:fill="D9D9D9" w:themeFill="background1" w:themeFillShade="D9"/>
          </w:tcPr>
          <w:p w14:paraId="5D9624FC" w14:textId="76C2475B" w:rsidR="007C2B84" w:rsidRPr="0055651E" w:rsidRDefault="004A3453" w:rsidP="00FD11D9">
            <w:pPr>
              <w:spacing w:before="20" w:after="20"/>
              <w:jc w:val="both"/>
              <w:rPr>
                <w:rFonts w:ascii="Segoe UI" w:hAnsi="Segoe UI" w:cs="Segoe UI"/>
                <w:i/>
                <w:iCs/>
                <w:sz w:val="18"/>
                <w:szCs w:val="18"/>
              </w:rPr>
            </w:pPr>
            <w:r w:rsidRPr="0055651E">
              <w:rPr>
                <w:rFonts w:ascii="Segoe UI" w:hAnsi="Segoe UI" w:cs="Segoe UI"/>
                <w:i/>
                <w:iCs/>
                <w:sz w:val="18"/>
                <w:szCs w:val="18"/>
              </w:rPr>
              <w:t>201.5</w:t>
            </w:r>
          </w:p>
        </w:tc>
        <w:tc>
          <w:tcPr>
            <w:tcW w:w="1660" w:type="dxa"/>
            <w:shd w:val="clear" w:color="auto" w:fill="D9D9D9" w:themeFill="background1" w:themeFillShade="D9"/>
          </w:tcPr>
          <w:p w14:paraId="6415B308" w14:textId="0183A305" w:rsidR="007C2B84" w:rsidRPr="0055651E" w:rsidRDefault="004A3453" w:rsidP="00FD11D9">
            <w:pPr>
              <w:spacing w:before="20" w:after="20"/>
              <w:jc w:val="both"/>
              <w:rPr>
                <w:rFonts w:ascii="Segoe UI" w:hAnsi="Segoe UI" w:cs="Segoe UI"/>
                <w:i/>
                <w:iCs/>
                <w:sz w:val="18"/>
                <w:szCs w:val="18"/>
              </w:rPr>
            </w:pPr>
            <w:r w:rsidRPr="0055651E">
              <w:rPr>
                <w:rFonts w:ascii="Segoe UI" w:hAnsi="Segoe UI" w:cs="Segoe UI"/>
                <w:i/>
                <w:iCs/>
                <w:sz w:val="18"/>
                <w:szCs w:val="18"/>
              </w:rPr>
              <w:t>224.5</w:t>
            </w:r>
          </w:p>
        </w:tc>
      </w:tr>
    </w:tbl>
    <w:p w14:paraId="30BD0433"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481B77A4" w14:textId="77777777" w:rsidTr="00D75D26">
        <w:tc>
          <w:tcPr>
            <w:tcW w:w="9625" w:type="dxa"/>
            <w:gridSpan w:val="7"/>
            <w:shd w:val="clear" w:color="auto" w:fill="D9D9D9" w:themeFill="background1" w:themeFillShade="D9"/>
          </w:tcPr>
          <w:p w14:paraId="5E56EEFE" w14:textId="12ACAED6"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14. </w:t>
            </w:r>
            <w:r w:rsidR="004A3453">
              <w:rPr>
                <w:rFonts w:ascii="Segoe UI" w:hAnsi="Segoe UI" w:cs="Segoe UI"/>
                <w:b/>
                <w:bCs/>
                <w:sz w:val="18"/>
                <w:szCs w:val="18"/>
              </w:rPr>
              <w:t xml:space="preserve">50% reduced BIT rate </w:t>
            </w:r>
            <w:r w:rsidR="004A3453" w:rsidRPr="0055651E">
              <w:rPr>
                <w:rFonts w:ascii="Segoe UI" w:hAnsi="Segoe UI" w:cs="Segoe UI"/>
                <w:b/>
                <w:bCs/>
                <w:sz w:val="18"/>
                <w:szCs w:val="18"/>
              </w:rPr>
              <w:t>for income earned on exports in Free Economic Zones (FEZs)</w:t>
            </w:r>
          </w:p>
        </w:tc>
      </w:tr>
      <w:tr w:rsidR="007C2B84" w:rsidRPr="00CB1E53" w14:paraId="414E23D6" w14:textId="77777777" w:rsidTr="00D75D26">
        <w:tc>
          <w:tcPr>
            <w:tcW w:w="2425" w:type="dxa"/>
          </w:tcPr>
          <w:p w14:paraId="60C9A19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2494E50"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 xml:space="preserve">A 50% tax rate reduction </w:t>
            </w:r>
            <w:r w:rsidRPr="0055651E">
              <w:rPr>
                <w:rFonts w:ascii="Segoe UI" w:hAnsi="Segoe UI" w:cs="Segoe UI"/>
                <w:sz w:val="18"/>
                <w:szCs w:val="18"/>
              </w:rPr>
              <w:t>applies to income from export of goods</w:t>
            </w:r>
            <w:r w:rsidRPr="000762A3">
              <w:rPr>
                <w:rFonts w:ascii="Segoe UI" w:hAnsi="Segoe UI" w:cs="Segoe UI"/>
                <w:sz w:val="18"/>
                <w:szCs w:val="18"/>
              </w:rPr>
              <w:t xml:space="preserve"> (</w:t>
            </w:r>
            <w:r w:rsidRPr="00CB1E53">
              <w:rPr>
                <w:rFonts w:ascii="Segoe UI" w:hAnsi="Segoe UI" w:cs="Segoe UI"/>
                <w:sz w:val="18"/>
                <w:szCs w:val="18"/>
              </w:rPr>
              <w:t>services) originating from FEZ outside the customs territory of Moldova. It is a non-structural incentive measure.</w:t>
            </w:r>
          </w:p>
        </w:tc>
      </w:tr>
      <w:tr w:rsidR="007C2B84" w:rsidRPr="00CB1E53" w14:paraId="771BAB93" w14:textId="77777777" w:rsidTr="00D75D26">
        <w:tc>
          <w:tcPr>
            <w:tcW w:w="2425" w:type="dxa"/>
          </w:tcPr>
          <w:p w14:paraId="6DC19B3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76D4C7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4C2B07EE" w14:textId="77777777" w:rsidTr="00D75D26">
        <w:tc>
          <w:tcPr>
            <w:tcW w:w="2425" w:type="dxa"/>
          </w:tcPr>
          <w:p w14:paraId="7B921CA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F618B5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 companies located in FEZs.</w:t>
            </w:r>
          </w:p>
        </w:tc>
      </w:tr>
      <w:tr w:rsidR="007C2B84" w:rsidRPr="00CB1E53" w14:paraId="23CAC2E3" w14:textId="77777777" w:rsidTr="00D75D26">
        <w:tc>
          <w:tcPr>
            <w:tcW w:w="2425" w:type="dxa"/>
          </w:tcPr>
          <w:p w14:paraId="29DC1D5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C5D567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Effective rate reduction</w:t>
            </w:r>
          </w:p>
        </w:tc>
      </w:tr>
      <w:tr w:rsidR="007C2B84" w:rsidRPr="00CB1E53" w14:paraId="0F5B8ACC" w14:textId="77777777" w:rsidTr="00D75D26">
        <w:tc>
          <w:tcPr>
            <w:tcW w:w="2425" w:type="dxa"/>
          </w:tcPr>
          <w:p w14:paraId="34A3460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6C2198F"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It seeks to explicitly provide a cash flow benefit to zone companies by reducing the tax rate to 6% in lieu of the standard 12% BIT rate. The available tax rate departs from the benchmark tax rate of 12% and it is therefore a tax expenditure.</w:t>
            </w:r>
          </w:p>
        </w:tc>
      </w:tr>
      <w:tr w:rsidR="007C2B84" w:rsidRPr="00CB1E53" w14:paraId="4D40A1EF" w14:textId="77777777" w:rsidTr="00D75D26">
        <w:tc>
          <w:tcPr>
            <w:tcW w:w="2425" w:type="dxa"/>
          </w:tcPr>
          <w:p w14:paraId="45E873B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1AC623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49</w:t>
            </w:r>
          </w:p>
        </w:tc>
      </w:tr>
      <w:tr w:rsidR="007C2B84" w:rsidRPr="00CB1E53" w14:paraId="4E2F9B59" w14:textId="77777777" w:rsidTr="00D75D26">
        <w:trPr>
          <w:trHeight w:val="182"/>
        </w:trPr>
        <w:tc>
          <w:tcPr>
            <w:tcW w:w="2425" w:type="dxa"/>
            <w:vMerge w:val="restart"/>
          </w:tcPr>
          <w:p w14:paraId="4391326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34469AF1"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13B2D204"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6B9EBC6" w14:textId="77777777" w:rsidTr="00D75D26">
        <w:trPr>
          <w:trHeight w:val="182"/>
        </w:trPr>
        <w:tc>
          <w:tcPr>
            <w:tcW w:w="2425" w:type="dxa"/>
            <w:vMerge/>
          </w:tcPr>
          <w:p w14:paraId="13679281"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076C2B4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Since 2001 with amendments in 2007, 2008, 2010, 2012, 2013, 2015, and 2017.</w:t>
            </w:r>
          </w:p>
        </w:tc>
        <w:tc>
          <w:tcPr>
            <w:tcW w:w="3738" w:type="dxa"/>
            <w:gridSpan w:val="3"/>
          </w:tcPr>
          <w:p w14:paraId="5BC59A3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55651E" w:rsidRPr="00CB1E53" w14:paraId="5507DB64" w14:textId="77777777" w:rsidTr="00D75D26">
        <w:tc>
          <w:tcPr>
            <w:tcW w:w="2425" w:type="dxa"/>
          </w:tcPr>
          <w:p w14:paraId="6596E2D2"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8886E99" w14:textId="2127C6F2"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55651E" w:rsidRPr="00CB1E53" w14:paraId="62919FD0" w14:textId="77777777" w:rsidTr="00D75D26">
        <w:tc>
          <w:tcPr>
            <w:tcW w:w="2425" w:type="dxa"/>
          </w:tcPr>
          <w:p w14:paraId="2978762D"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D5A76F0" w14:textId="64C367C7"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0D048594" w14:textId="77777777" w:rsidTr="00D75D26">
        <w:tc>
          <w:tcPr>
            <w:tcW w:w="2425" w:type="dxa"/>
          </w:tcPr>
          <w:p w14:paraId="07ACEB7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FD22C92"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3717094" w14:textId="77777777" w:rsidTr="00D75D26">
        <w:tc>
          <w:tcPr>
            <w:tcW w:w="2425" w:type="dxa"/>
          </w:tcPr>
          <w:p w14:paraId="01853C8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F6F147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56C6E01D" w14:textId="77777777" w:rsidTr="00D75D26">
        <w:trPr>
          <w:trHeight w:val="91"/>
        </w:trPr>
        <w:tc>
          <w:tcPr>
            <w:tcW w:w="2425" w:type="dxa"/>
            <w:vMerge w:val="restart"/>
          </w:tcPr>
          <w:p w14:paraId="01F89E2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39D732F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0FCA81C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6E07BB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4CF60014"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46DE3B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39398DD9" w14:textId="77777777" w:rsidTr="0055651E">
        <w:trPr>
          <w:trHeight w:val="91"/>
        </w:trPr>
        <w:tc>
          <w:tcPr>
            <w:tcW w:w="2425" w:type="dxa"/>
            <w:vMerge/>
          </w:tcPr>
          <w:p w14:paraId="2690AE8D"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7850DEC" w14:textId="645C93C1" w:rsidR="007C2B84" w:rsidRPr="00CB1E53" w:rsidRDefault="004A3453" w:rsidP="00FD11D9">
            <w:pPr>
              <w:spacing w:before="20" w:after="20"/>
              <w:jc w:val="both"/>
              <w:rPr>
                <w:rFonts w:ascii="Segoe UI" w:hAnsi="Segoe UI" w:cs="Segoe UI"/>
                <w:sz w:val="18"/>
                <w:szCs w:val="18"/>
              </w:rPr>
            </w:pPr>
            <w:r>
              <w:rPr>
                <w:rFonts w:ascii="Segoe UI" w:hAnsi="Segoe UI" w:cs="Segoe UI"/>
                <w:sz w:val="18"/>
                <w:szCs w:val="18"/>
              </w:rPr>
              <w:t>10.0</w:t>
            </w:r>
          </w:p>
        </w:tc>
        <w:tc>
          <w:tcPr>
            <w:tcW w:w="1385" w:type="dxa"/>
            <w:shd w:val="clear" w:color="auto" w:fill="D9D9D9" w:themeFill="background1" w:themeFillShade="D9"/>
          </w:tcPr>
          <w:p w14:paraId="6673E123" w14:textId="4869AA70"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10.0</w:t>
            </w:r>
          </w:p>
        </w:tc>
        <w:tc>
          <w:tcPr>
            <w:tcW w:w="1385" w:type="dxa"/>
            <w:gridSpan w:val="2"/>
            <w:shd w:val="clear" w:color="auto" w:fill="D9D9D9" w:themeFill="background1" w:themeFillShade="D9"/>
          </w:tcPr>
          <w:p w14:paraId="0690E3B8" w14:textId="1B93C42D"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9.5</w:t>
            </w:r>
          </w:p>
        </w:tc>
        <w:tc>
          <w:tcPr>
            <w:tcW w:w="1385" w:type="dxa"/>
            <w:shd w:val="clear" w:color="auto" w:fill="D9D9D9" w:themeFill="background1" w:themeFillShade="D9"/>
          </w:tcPr>
          <w:p w14:paraId="7F7CC1D0" w14:textId="618069EB"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11.0</w:t>
            </w:r>
          </w:p>
        </w:tc>
        <w:tc>
          <w:tcPr>
            <w:tcW w:w="1660" w:type="dxa"/>
            <w:shd w:val="clear" w:color="auto" w:fill="D9D9D9" w:themeFill="background1" w:themeFillShade="D9"/>
          </w:tcPr>
          <w:p w14:paraId="70243CB3" w14:textId="4991BDF4"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12.2</w:t>
            </w:r>
          </w:p>
        </w:tc>
      </w:tr>
    </w:tbl>
    <w:p w14:paraId="70038A2E"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6B722AC0" w14:textId="77777777" w:rsidTr="00D75D26">
        <w:tc>
          <w:tcPr>
            <w:tcW w:w="9625" w:type="dxa"/>
            <w:gridSpan w:val="7"/>
            <w:shd w:val="clear" w:color="auto" w:fill="D9D9D9" w:themeFill="background1" w:themeFillShade="D9"/>
          </w:tcPr>
          <w:p w14:paraId="52D90A6F" w14:textId="37711BB4"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15. </w:t>
            </w:r>
            <w:r w:rsidR="006231D3" w:rsidRPr="0055651E">
              <w:rPr>
                <w:rFonts w:ascii="Segoe UI" w:hAnsi="Segoe UI" w:cs="Segoe UI"/>
                <w:b/>
                <w:bCs/>
                <w:sz w:val="18"/>
                <w:szCs w:val="18"/>
              </w:rPr>
              <w:t>25% reduced BIT rate for income earned on domestic sales in Free Economic Zones (FEZs)</w:t>
            </w:r>
          </w:p>
        </w:tc>
      </w:tr>
      <w:tr w:rsidR="007C2B84" w:rsidRPr="00CB1E53" w14:paraId="15B1043B" w14:textId="77777777" w:rsidTr="00D75D26">
        <w:tc>
          <w:tcPr>
            <w:tcW w:w="2425" w:type="dxa"/>
          </w:tcPr>
          <w:p w14:paraId="15DEED3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43EBBA2"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The standard 12% BIT rate is reduced by 25% and applies to domestic sales of goods (services) originating from FEZ. It is a non-structural incentive measure with the intention to stimulate investments.</w:t>
            </w:r>
          </w:p>
        </w:tc>
      </w:tr>
      <w:tr w:rsidR="007C2B84" w:rsidRPr="00CB1E53" w14:paraId="592BE308" w14:textId="77777777" w:rsidTr="00D75D26">
        <w:tc>
          <w:tcPr>
            <w:tcW w:w="2425" w:type="dxa"/>
          </w:tcPr>
          <w:p w14:paraId="42FBFEC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869429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4A6B88E6" w14:textId="77777777" w:rsidTr="00D75D26">
        <w:tc>
          <w:tcPr>
            <w:tcW w:w="2425" w:type="dxa"/>
          </w:tcPr>
          <w:p w14:paraId="03B19DC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FFD7B2F"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 companies located in FEZs</w:t>
            </w:r>
          </w:p>
        </w:tc>
      </w:tr>
      <w:tr w:rsidR="007C2B84" w:rsidRPr="00CB1E53" w14:paraId="52E1E15D" w14:textId="77777777" w:rsidTr="00D75D26">
        <w:tc>
          <w:tcPr>
            <w:tcW w:w="2425" w:type="dxa"/>
          </w:tcPr>
          <w:p w14:paraId="1A6FBCB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BA6A3A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Effective rate reduction to 9% in lieu of the standard rate of 12%.</w:t>
            </w:r>
          </w:p>
        </w:tc>
      </w:tr>
      <w:tr w:rsidR="007C2B84" w:rsidRPr="00CB1E53" w14:paraId="7C2A4363" w14:textId="77777777" w:rsidTr="00D75D26">
        <w:tc>
          <w:tcPr>
            <w:tcW w:w="2425" w:type="dxa"/>
          </w:tcPr>
          <w:p w14:paraId="3E8F8B7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3E7516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It seeks to explicitly provide a cash flow benefit to zone companies by reducing the tax rate to 9 percent in lieu of the standard 12% BIT rate. The available tax rate departs from the benchmark tax rate of 12% and it is therefore a tax expenditure.</w:t>
            </w:r>
          </w:p>
        </w:tc>
      </w:tr>
      <w:tr w:rsidR="007C2B84" w:rsidRPr="00CB1E53" w14:paraId="31D2F3FF" w14:textId="77777777" w:rsidTr="00D75D26">
        <w:tc>
          <w:tcPr>
            <w:tcW w:w="2425" w:type="dxa"/>
          </w:tcPr>
          <w:p w14:paraId="7C6839E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582466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49</w:t>
            </w:r>
          </w:p>
        </w:tc>
      </w:tr>
      <w:tr w:rsidR="007C2B84" w:rsidRPr="00CB1E53" w14:paraId="3CD815FA" w14:textId="77777777" w:rsidTr="00D75D26">
        <w:trPr>
          <w:trHeight w:val="182"/>
        </w:trPr>
        <w:tc>
          <w:tcPr>
            <w:tcW w:w="2425" w:type="dxa"/>
            <w:vMerge w:val="restart"/>
          </w:tcPr>
          <w:p w14:paraId="04E741A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Implementation, Objectives, and History</w:t>
            </w:r>
          </w:p>
        </w:tc>
        <w:tc>
          <w:tcPr>
            <w:tcW w:w="3462" w:type="dxa"/>
            <w:gridSpan w:val="3"/>
          </w:tcPr>
          <w:p w14:paraId="36CF3AA0"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4708EF7B"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9176FF1" w14:textId="77777777" w:rsidTr="00D75D26">
        <w:trPr>
          <w:trHeight w:val="182"/>
        </w:trPr>
        <w:tc>
          <w:tcPr>
            <w:tcW w:w="2425" w:type="dxa"/>
            <w:vMerge/>
          </w:tcPr>
          <w:p w14:paraId="48CFFEEC"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6E737B2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since 2001</w:t>
            </w:r>
          </w:p>
        </w:tc>
        <w:tc>
          <w:tcPr>
            <w:tcW w:w="3738" w:type="dxa"/>
            <w:gridSpan w:val="3"/>
          </w:tcPr>
          <w:p w14:paraId="5F49463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975826" w:rsidRPr="00CB1E53" w14:paraId="15396D7F" w14:textId="77777777" w:rsidTr="00D75D26">
        <w:tc>
          <w:tcPr>
            <w:tcW w:w="2425" w:type="dxa"/>
          </w:tcPr>
          <w:p w14:paraId="332E40BA" w14:textId="77777777" w:rsidR="00975826" w:rsidRPr="00CB1E53" w:rsidRDefault="00975826"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075E0B0" w14:textId="10723830" w:rsidR="00975826" w:rsidRPr="00CB1E53" w:rsidRDefault="00975826"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975826" w:rsidRPr="00CB1E53" w14:paraId="36488CA7" w14:textId="77777777" w:rsidTr="00D75D26">
        <w:tc>
          <w:tcPr>
            <w:tcW w:w="2425" w:type="dxa"/>
          </w:tcPr>
          <w:p w14:paraId="572A6565" w14:textId="77777777" w:rsidR="00975826" w:rsidRPr="00CB1E53" w:rsidRDefault="00975826"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080BFBE" w14:textId="696778C4" w:rsidR="00975826" w:rsidRPr="00CB1E53" w:rsidRDefault="00975826"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5EE02165" w14:textId="77777777" w:rsidTr="00D75D26">
        <w:tc>
          <w:tcPr>
            <w:tcW w:w="2425" w:type="dxa"/>
          </w:tcPr>
          <w:p w14:paraId="1848B81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8CB0088" w14:textId="77777777" w:rsidR="007C2B84" w:rsidRPr="00CB1E53" w:rsidRDefault="007C2B84" w:rsidP="00FD11D9">
            <w:pPr>
              <w:spacing w:before="20" w:after="20"/>
              <w:jc w:val="both"/>
              <w:rPr>
                <w:rFonts w:ascii="Segoe UI" w:hAnsi="Segoe UI" w:cs="Segoe UI"/>
                <w:sz w:val="18"/>
                <w:szCs w:val="18"/>
              </w:rPr>
            </w:pPr>
          </w:p>
        </w:tc>
      </w:tr>
      <w:tr w:rsidR="007C2B84" w:rsidRPr="00CB1E53" w14:paraId="35EC85E1" w14:textId="77777777" w:rsidTr="00D75D26">
        <w:tc>
          <w:tcPr>
            <w:tcW w:w="2425" w:type="dxa"/>
          </w:tcPr>
          <w:p w14:paraId="576DFE2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1BCE01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010D7190" w14:textId="77777777" w:rsidTr="00D75D26">
        <w:trPr>
          <w:trHeight w:val="91"/>
        </w:trPr>
        <w:tc>
          <w:tcPr>
            <w:tcW w:w="2425" w:type="dxa"/>
            <w:vMerge w:val="restart"/>
          </w:tcPr>
          <w:p w14:paraId="4DD8C7D4"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076E79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CA00C1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2FD701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FC27EC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3871A6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6D80E88E" w14:textId="77777777" w:rsidTr="0055651E">
        <w:trPr>
          <w:trHeight w:val="91"/>
        </w:trPr>
        <w:tc>
          <w:tcPr>
            <w:tcW w:w="2425" w:type="dxa"/>
            <w:vMerge/>
          </w:tcPr>
          <w:p w14:paraId="7BCA49FF"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A85ADAE" w14:textId="52C1B698" w:rsidR="007C2B84" w:rsidRPr="00CB1E53" w:rsidRDefault="006231D3" w:rsidP="00FD11D9">
            <w:pPr>
              <w:spacing w:before="20" w:after="20"/>
              <w:jc w:val="both"/>
              <w:rPr>
                <w:rFonts w:ascii="Segoe UI" w:hAnsi="Segoe UI" w:cs="Segoe UI"/>
                <w:sz w:val="18"/>
                <w:szCs w:val="18"/>
              </w:rPr>
            </w:pPr>
            <w:r>
              <w:rPr>
                <w:rFonts w:ascii="Segoe UI" w:hAnsi="Segoe UI" w:cs="Segoe UI"/>
                <w:sz w:val="18"/>
                <w:szCs w:val="18"/>
              </w:rPr>
              <w:t>1.5</w:t>
            </w:r>
          </w:p>
        </w:tc>
        <w:tc>
          <w:tcPr>
            <w:tcW w:w="1385" w:type="dxa"/>
            <w:shd w:val="clear" w:color="auto" w:fill="D9D9D9" w:themeFill="background1" w:themeFillShade="D9"/>
          </w:tcPr>
          <w:p w14:paraId="1564BCC3" w14:textId="6130F680"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1.5</w:t>
            </w:r>
          </w:p>
        </w:tc>
        <w:tc>
          <w:tcPr>
            <w:tcW w:w="1385" w:type="dxa"/>
            <w:gridSpan w:val="2"/>
            <w:shd w:val="clear" w:color="auto" w:fill="D9D9D9" w:themeFill="background1" w:themeFillShade="D9"/>
          </w:tcPr>
          <w:p w14:paraId="54AA426E" w14:textId="60D33F3C"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1.4</w:t>
            </w:r>
          </w:p>
        </w:tc>
        <w:tc>
          <w:tcPr>
            <w:tcW w:w="1385" w:type="dxa"/>
            <w:shd w:val="clear" w:color="auto" w:fill="D9D9D9" w:themeFill="background1" w:themeFillShade="D9"/>
          </w:tcPr>
          <w:p w14:paraId="22C35BA4" w14:textId="2BD81A0C"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1.6</w:t>
            </w:r>
          </w:p>
        </w:tc>
        <w:tc>
          <w:tcPr>
            <w:tcW w:w="1660" w:type="dxa"/>
            <w:shd w:val="clear" w:color="auto" w:fill="D9D9D9" w:themeFill="background1" w:themeFillShade="D9"/>
          </w:tcPr>
          <w:p w14:paraId="3B9F68B6" w14:textId="4CAFABCD"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1.8</w:t>
            </w:r>
          </w:p>
        </w:tc>
      </w:tr>
    </w:tbl>
    <w:p w14:paraId="056672A5"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74406CBF" w14:textId="77777777" w:rsidTr="00D75D26">
        <w:tc>
          <w:tcPr>
            <w:tcW w:w="9625" w:type="dxa"/>
            <w:gridSpan w:val="7"/>
            <w:shd w:val="clear" w:color="auto" w:fill="D9D9D9" w:themeFill="background1" w:themeFillShade="D9"/>
          </w:tcPr>
          <w:p w14:paraId="4648DC83" w14:textId="09409D23"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16. </w:t>
            </w:r>
            <w:r w:rsidR="006231D3" w:rsidRPr="0055651E">
              <w:rPr>
                <w:rFonts w:ascii="Segoe UI" w:hAnsi="Segoe UI" w:cs="Segoe UI"/>
                <w:b/>
                <w:bCs/>
                <w:sz w:val="18"/>
                <w:szCs w:val="18"/>
              </w:rPr>
              <w:t>3-year tax holiday for US$1M+ investments in Free Economic Zones (FEZs)</w:t>
            </w:r>
          </w:p>
        </w:tc>
      </w:tr>
      <w:tr w:rsidR="007C2B84" w:rsidRPr="00CB1E53" w14:paraId="3E144F04" w14:textId="77777777" w:rsidTr="00D75D26">
        <w:tc>
          <w:tcPr>
            <w:tcW w:w="2425" w:type="dxa"/>
          </w:tcPr>
          <w:p w14:paraId="6698CF7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F5B568E"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This is complete exemption of the BIT for revenue obtained from the export of goods (services) granted for three years provided the FEZ resident invested at least USD 1 million in fixed assets or FEZ's infrastructure. This 3-year tax holiday is a non-structural incentive</w:t>
            </w:r>
          </w:p>
        </w:tc>
      </w:tr>
      <w:tr w:rsidR="007C2B84" w:rsidRPr="00CB1E53" w14:paraId="67AEA452" w14:textId="77777777" w:rsidTr="00D75D26">
        <w:tc>
          <w:tcPr>
            <w:tcW w:w="2425" w:type="dxa"/>
          </w:tcPr>
          <w:p w14:paraId="2C28269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B5D5C6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6E398810" w14:textId="77777777" w:rsidTr="00D75D26">
        <w:tc>
          <w:tcPr>
            <w:tcW w:w="2425" w:type="dxa"/>
          </w:tcPr>
          <w:p w14:paraId="31E2D3E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65E71C6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 investors in FEZ.</w:t>
            </w:r>
          </w:p>
        </w:tc>
      </w:tr>
      <w:tr w:rsidR="007C2B84" w:rsidRPr="00CB1E53" w14:paraId="5A2398A7" w14:textId="77777777" w:rsidTr="00D75D26">
        <w:tc>
          <w:tcPr>
            <w:tcW w:w="2425" w:type="dxa"/>
          </w:tcPr>
          <w:p w14:paraId="3025B63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1CB2A54"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 tax holiday of 3 years</w:t>
            </w:r>
          </w:p>
        </w:tc>
      </w:tr>
      <w:tr w:rsidR="007C2B84" w:rsidRPr="00CB1E53" w14:paraId="55F859D4" w14:textId="77777777" w:rsidTr="00D75D26">
        <w:tc>
          <w:tcPr>
            <w:tcW w:w="2425" w:type="dxa"/>
          </w:tcPr>
          <w:p w14:paraId="22A42B1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F15E4D4"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 Tax rate of 0% for 3 years is a departure from the standard or benchmark rate of 12% and this tax preferential treatment is a tax expenditure.</w:t>
            </w:r>
          </w:p>
        </w:tc>
      </w:tr>
      <w:tr w:rsidR="007C2B84" w:rsidRPr="00CB1E53" w14:paraId="3EB2EE27" w14:textId="77777777" w:rsidTr="00D75D26">
        <w:tc>
          <w:tcPr>
            <w:tcW w:w="2425" w:type="dxa"/>
          </w:tcPr>
          <w:p w14:paraId="339AF86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B39425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49</w:t>
            </w:r>
          </w:p>
        </w:tc>
      </w:tr>
      <w:tr w:rsidR="007C2B84" w:rsidRPr="00CB1E53" w14:paraId="24CF920E" w14:textId="77777777" w:rsidTr="00D75D26">
        <w:trPr>
          <w:trHeight w:val="182"/>
        </w:trPr>
        <w:tc>
          <w:tcPr>
            <w:tcW w:w="2425" w:type="dxa"/>
            <w:vMerge w:val="restart"/>
          </w:tcPr>
          <w:p w14:paraId="7167333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1F25D300"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091C7C0C"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AEE6609" w14:textId="77777777" w:rsidTr="00D75D26">
        <w:trPr>
          <w:trHeight w:val="182"/>
        </w:trPr>
        <w:tc>
          <w:tcPr>
            <w:tcW w:w="2425" w:type="dxa"/>
            <w:vMerge/>
          </w:tcPr>
          <w:p w14:paraId="4A22F7AE"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3A84AAD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738" w:type="dxa"/>
            <w:gridSpan w:val="3"/>
          </w:tcPr>
          <w:p w14:paraId="0E9A279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975826" w:rsidRPr="00CB1E53" w14:paraId="7232C093" w14:textId="77777777" w:rsidTr="00D75D26">
        <w:tc>
          <w:tcPr>
            <w:tcW w:w="2425" w:type="dxa"/>
          </w:tcPr>
          <w:p w14:paraId="36CD435B" w14:textId="77777777" w:rsidR="00975826" w:rsidRPr="00CB1E53" w:rsidRDefault="00975826"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B9DDCF6" w14:textId="63CB1C7D" w:rsidR="00975826" w:rsidRPr="00CB1E53" w:rsidRDefault="00975826"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975826" w:rsidRPr="00CB1E53" w14:paraId="1C7EECE2" w14:textId="77777777" w:rsidTr="00D75D26">
        <w:tc>
          <w:tcPr>
            <w:tcW w:w="2425" w:type="dxa"/>
          </w:tcPr>
          <w:p w14:paraId="2012C74F" w14:textId="77777777" w:rsidR="00975826" w:rsidRPr="00CB1E53" w:rsidRDefault="00975826"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B74D794" w14:textId="59FA6D17" w:rsidR="00975826" w:rsidRPr="00CB1E53" w:rsidRDefault="00975826"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44B65F3E" w14:textId="77777777" w:rsidTr="00D75D26">
        <w:tc>
          <w:tcPr>
            <w:tcW w:w="2425" w:type="dxa"/>
          </w:tcPr>
          <w:p w14:paraId="4C5262B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FA193F9"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5C42AA4" w14:textId="77777777" w:rsidTr="00D75D26">
        <w:tc>
          <w:tcPr>
            <w:tcW w:w="2425" w:type="dxa"/>
          </w:tcPr>
          <w:p w14:paraId="2370B8A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6696E95"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2693C6E8" w14:textId="77777777" w:rsidTr="00D75D26">
        <w:trPr>
          <w:trHeight w:val="91"/>
        </w:trPr>
        <w:tc>
          <w:tcPr>
            <w:tcW w:w="2425" w:type="dxa"/>
            <w:vMerge w:val="restart"/>
          </w:tcPr>
          <w:p w14:paraId="51A48741"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2FE5B2D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1A0B917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8D9540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478A44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342D93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582B9D8A" w14:textId="77777777" w:rsidTr="0055651E">
        <w:trPr>
          <w:trHeight w:val="91"/>
        </w:trPr>
        <w:tc>
          <w:tcPr>
            <w:tcW w:w="2425" w:type="dxa"/>
            <w:vMerge/>
          </w:tcPr>
          <w:p w14:paraId="0E428767"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29513B15" w14:textId="46BBDEEB" w:rsidR="007C2B84" w:rsidRPr="00CB1E53" w:rsidRDefault="006231D3" w:rsidP="00FD11D9">
            <w:pPr>
              <w:spacing w:before="20" w:after="20"/>
              <w:jc w:val="both"/>
              <w:rPr>
                <w:rFonts w:ascii="Segoe UI" w:hAnsi="Segoe UI" w:cs="Segoe UI"/>
                <w:sz w:val="18"/>
                <w:szCs w:val="18"/>
              </w:rPr>
            </w:pPr>
            <w:r>
              <w:rPr>
                <w:rFonts w:ascii="Segoe UI" w:hAnsi="Segoe UI" w:cs="Segoe UI"/>
                <w:sz w:val="18"/>
                <w:szCs w:val="18"/>
              </w:rPr>
              <w:t>2.0</w:t>
            </w:r>
          </w:p>
        </w:tc>
        <w:tc>
          <w:tcPr>
            <w:tcW w:w="1385" w:type="dxa"/>
            <w:shd w:val="clear" w:color="auto" w:fill="D9D9D9" w:themeFill="background1" w:themeFillShade="D9"/>
          </w:tcPr>
          <w:p w14:paraId="2C54651A" w14:textId="53388C6D"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2.0</w:t>
            </w:r>
          </w:p>
        </w:tc>
        <w:tc>
          <w:tcPr>
            <w:tcW w:w="1385" w:type="dxa"/>
            <w:gridSpan w:val="2"/>
            <w:shd w:val="clear" w:color="auto" w:fill="D9D9D9" w:themeFill="background1" w:themeFillShade="D9"/>
          </w:tcPr>
          <w:p w14:paraId="3CB7736F" w14:textId="5004B571"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1.9</w:t>
            </w:r>
          </w:p>
        </w:tc>
        <w:tc>
          <w:tcPr>
            <w:tcW w:w="1385" w:type="dxa"/>
            <w:shd w:val="clear" w:color="auto" w:fill="D9D9D9" w:themeFill="background1" w:themeFillShade="D9"/>
          </w:tcPr>
          <w:p w14:paraId="64D42CC2" w14:textId="65B8B3F9"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2.2</w:t>
            </w:r>
          </w:p>
        </w:tc>
        <w:tc>
          <w:tcPr>
            <w:tcW w:w="1660" w:type="dxa"/>
            <w:shd w:val="clear" w:color="auto" w:fill="D9D9D9" w:themeFill="background1" w:themeFillShade="D9"/>
          </w:tcPr>
          <w:p w14:paraId="3AC5FA99" w14:textId="600F43E5" w:rsidR="007C2B84" w:rsidRPr="0055651E" w:rsidRDefault="006231D3" w:rsidP="00FD11D9">
            <w:pPr>
              <w:spacing w:before="20" w:after="20"/>
              <w:jc w:val="both"/>
              <w:rPr>
                <w:rFonts w:ascii="Segoe UI" w:hAnsi="Segoe UI" w:cs="Segoe UI"/>
                <w:i/>
                <w:iCs/>
                <w:sz w:val="18"/>
                <w:szCs w:val="18"/>
              </w:rPr>
            </w:pPr>
            <w:r w:rsidRPr="0055651E">
              <w:rPr>
                <w:rFonts w:ascii="Segoe UI" w:hAnsi="Segoe UI" w:cs="Segoe UI"/>
                <w:i/>
                <w:iCs/>
                <w:sz w:val="18"/>
                <w:szCs w:val="18"/>
              </w:rPr>
              <w:t>2.5</w:t>
            </w:r>
          </w:p>
        </w:tc>
      </w:tr>
    </w:tbl>
    <w:p w14:paraId="1C47AECC"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39" w:type="dxa"/>
        <w:tblBorders>
          <w:left w:val="none" w:sz="0" w:space="0" w:color="auto"/>
          <w:right w:val="none" w:sz="0" w:space="0" w:color="auto"/>
        </w:tblBorders>
        <w:tblLook w:val="04A0" w:firstRow="1" w:lastRow="0" w:firstColumn="1" w:lastColumn="0" w:noHBand="0" w:noVBand="1"/>
      </w:tblPr>
      <w:tblGrid>
        <w:gridCol w:w="2386"/>
        <w:gridCol w:w="1348"/>
        <w:gridCol w:w="1347"/>
        <w:gridCol w:w="677"/>
        <w:gridCol w:w="670"/>
        <w:gridCol w:w="1347"/>
        <w:gridCol w:w="1864"/>
      </w:tblGrid>
      <w:tr w:rsidR="0055651E" w:rsidRPr="00CB1E53" w14:paraId="1F748D99" w14:textId="77777777" w:rsidTr="0055651E">
        <w:tc>
          <w:tcPr>
            <w:tcW w:w="9639" w:type="dxa"/>
            <w:gridSpan w:val="7"/>
            <w:shd w:val="clear" w:color="auto" w:fill="D9D9D9" w:themeFill="background1" w:themeFillShade="D9"/>
          </w:tcPr>
          <w:p w14:paraId="05097EA9" w14:textId="0ED90BE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17. </w:t>
            </w:r>
            <w:r w:rsidRPr="0055651E">
              <w:rPr>
                <w:rFonts w:ascii="Segoe UI" w:hAnsi="Segoe UI" w:cs="Segoe UI"/>
                <w:b/>
                <w:bCs/>
                <w:sz w:val="18"/>
                <w:szCs w:val="18"/>
              </w:rPr>
              <w:t>5-year tax holiday for US$5M+ investments in Free Economic Zones (FEZs)</w:t>
            </w:r>
          </w:p>
        </w:tc>
      </w:tr>
      <w:tr w:rsidR="007C2B84" w:rsidRPr="00CB1E53" w14:paraId="6B4E0C49" w14:textId="77777777" w:rsidTr="0055651E">
        <w:trPr>
          <w:trHeight w:val="530"/>
        </w:trPr>
        <w:tc>
          <w:tcPr>
            <w:tcW w:w="2386" w:type="dxa"/>
          </w:tcPr>
          <w:p w14:paraId="16B5492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53" w:type="dxa"/>
            <w:gridSpan w:val="6"/>
          </w:tcPr>
          <w:p w14:paraId="43C4ADD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This is complete exemption of the BIT for revenue obtained from the export of goods (services) granted for five years provided the FEZ resident invested at least USD 5 million in fixed assets or FEZ's infrastructure. This 5-year tax holiday is a non-structural incentive.</w:t>
            </w:r>
          </w:p>
        </w:tc>
      </w:tr>
      <w:tr w:rsidR="007C2B84" w:rsidRPr="00CB1E53" w14:paraId="07602C6F" w14:textId="77777777" w:rsidTr="0055651E">
        <w:tc>
          <w:tcPr>
            <w:tcW w:w="2386" w:type="dxa"/>
          </w:tcPr>
          <w:p w14:paraId="2C3A3E0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53" w:type="dxa"/>
            <w:gridSpan w:val="6"/>
          </w:tcPr>
          <w:p w14:paraId="516AC04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56C075FB" w14:textId="77777777" w:rsidTr="0055651E">
        <w:tc>
          <w:tcPr>
            <w:tcW w:w="2386" w:type="dxa"/>
          </w:tcPr>
          <w:p w14:paraId="0F95455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53" w:type="dxa"/>
            <w:gridSpan w:val="6"/>
          </w:tcPr>
          <w:p w14:paraId="6C92CC9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 investors in FEZ.</w:t>
            </w:r>
          </w:p>
        </w:tc>
      </w:tr>
      <w:tr w:rsidR="007C2B84" w:rsidRPr="00CB1E53" w14:paraId="14F84337" w14:textId="77777777" w:rsidTr="0055651E">
        <w:tc>
          <w:tcPr>
            <w:tcW w:w="2386" w:type="dxa"/>
          </w:tcPr>
          <w:p w14:paraId="307AFB0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53" w:type="dxa"/>
            <w:gridSpan w:val="6"/>
          </w:tcPr>
          <w:p w14:paraId="78FCCAA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A tax holiday of 5 years</w:t>
            </w:r>
          </w:p>
        </w:tc>
      </w:tr>
      <w:tr w:rsidR="007C2B84" w:rsidRPr="00CB1E53" w14:paraId="65ACD8B5" w14:textId="77777777" w:rsidTr="0055651E">
        <w:tc>
          <w:tcPr>
            <w:tcW w:w="2386" w:type="dxa"/>
          </w:tcPr>
          <w:p w14:paraId="13374BE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53" w:type="dxa"/>
            <w:gridSpan w:val="6"/>
          </w:tcPr>
          <w:p w14:paraId="4B67BC3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tax holiday translates into a 0% tax rate for 5 years which is a departure from the benchmark statutory rate of 12%. The tax measure is therefore a tax expenditure.</w:t>
            </w:r>
          </w:p>
        </w:tc>
      </w:tr>
      <w:tr w:rsidR="007C2B84" w:rsidRPr="00CB1E53" w14:paraId="37A5FB05" w14:textId="77777777" w:rsidTr="0055651E">
        <w:tc>
          <w:tcPr>
            <w:tcW w:w="2386" w:type="dxa"/>
          </w:tcPr>
          <w:p w14:paraId="3302773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53" w:type="dxa"/>
            <w:gridSpan w:val="6"/>
          </w:tcPr>
          <w:p w14:paraId="00A43C3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49</w:t>
            </w:r>
          </w:p>
        </w:tc>
      </w:tr>
      <w:tr w:rsidR="007C2B84" w:rsidRPr="00CB1E53" w14:paraId="3E8014E4" w14:textId="77777777" w:rsidTr="0055651E">
        <w:trPr>
          <w:trHeight w:val="182"/>
        </w:trPr>
        <w:tc>
          <w:tcPr>
            <w:tcW w:w="2386" w:type="dxa"/>
            <w:vMerge w:val="restart"/>
          </w:tcPr>
          <w:p w14:paraId="759BB2C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372" w:type="dxa"/>
            <w:gridSpan w:val="3"/>
          </w:tcPr>
          <w:p w14:paraId="712657ED" w14:textId="77777777" w:rsidR="007C2B84" w:rsidRPr="00CB1E53" w:rsidRDefault="007C2B84" w:rsidP="00FD11D9">
            <w:pPr>
              <w:spacing w:before="20" w:after="20"/>
              <w:jc w:val="both"/>
              <w:rPr>
                <w:rFonts w:ascii="Segoe UI" w:hAnsi="Segoe UI" w:cs="Segoe UI"/>
                <w:sz w:val="18"/>
                <w:szCs w:val="18"/>
              </w:rPr>
            </w:pPr>
          </w:p>
        </w:tc>
        <w:tc>
          <w:tcPr>
            <w:tcW w:w="3881" w:type="dxa"/>
            <w:gridSpan w:val="3"/>
          </w:tcPr>
          <w:p w14:paraId="670824FE"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F302F8E" w14:textId="77777777" w:rsidTr="0055651E">
        <w:trPr>
          <w:trHeight w:val="182"/>
        </w:trPr>
        <w:tc>
          <w:tcPr>
            <w:tcW w:w="2386" w:type="dxa"/>
            <w:vMerge/>
          </w:tcPr>
          <w:p w14:paraId="52AE48E4" w14:textId="77777777" w:rsidR="007C2B84" w:rsidRPr="00CB1E53" w:rsidRDefault="007C2B84" w:rsidP="00FD11D9">
            <w:pPr>
              <w:spacing w:before="20" w:after="20"/>
              <w:jc w:val="both"/>
              <w:rPr>
                <w:rFonts w:ascii="Segoe UI" w:hAnsi="Segoe UI" w:cs="Segoe UI"/>
                <w:b/>
                <w:bCs/>
                <w:sz w:val="18"/>
                <w:szCs w:val="18"/>
              </w:rPr>
            </w:pPr>
          </w:p>
        </w:tc>
        <w:tc>
          <w:tcPr>
            <w:tcW w:w="3372" w:type="dxa"/>
            <w:gridSpan w:val="3"/>
          </w:tcPr>
          <w:p w14:paraId="032F396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881" w:type="dxa"/>
            <w:gridSpan w:val="3"/>
          </w:tcPr>
          <w:p w14:paraId="45BA17CF"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55651E" w:rsidRPr="00CB1E53" w14:paraId="0E694DD8" w14:textId="77777777" w:rsidTr="0055651E">
        <w:tc>
          <w:tcPr>
            <w:tcW w:w="2386" w:type="dxa"/>
          </w:tcPr>
          <w:p w14:paraId="469D0C6A"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53" w:type="dxa"/>
            <w:gridSpan w:val="6"/>
          </w:tcPr>
          <w:p w14:paraId="11F21055" w14:textId="74665D27"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55651E" w:rsidRPr="00CB1E53" w14:paraId="792BF9F2" w14:textId="77777777" w:rsidTr="0055651E">
        <w:tc>
          <w:tcPr>
            <w:tcW w:w="2386" w:type="dxa"/>
          </w:tcPr>
          <w:p w14:paraId="78DC1D73"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53" w:type="dxa"/>
            <w:gridSpan w:val="6"/>
          </w:tcPr>
          <w:p w14:paraId="2F62B7A5" w14:textId="1792A542"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198EAD24" w14:textId="77777777" w:rsidTr="0055651E">
        <w:tc>
          <w:tcPr>
            <w:tcW w:w="2386" w:type="dxa"/>
          </w:tcPr>
          <w:p w14:paraId="2720C44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53" w:type="dxa"/>
            <w:gridSpan w:val="6"/>
          </w:tcPr>
          <w:p w14:paraId="2F16D24D" w14:textId="77777777" w:rsidR="007C2B84" w:rsidRPr="00CB1E53" w:rsidRDefault="007C2B84" w:rsidP="00FD11D9">
            <w:pPr>
              <w:spacing w:before="20" w:after="20"/>
              <w:jc w:val="both"/>
              <w:rPr>
                <w:rFonts w:ascii="Segoe UI" w:hAnsi="Segoe UI" w:cs="Segoe UI"/>
                <w:sz w:val="18"/>
                <w:szCs w:val="18"/>
              </w:rPr>
            </w:pPr>
          </w:p>
        </w:tc>
      </w:tr>
      <w:tr w:rsidR="007C2B84" w:rsidRPr="00CB1E53" w14:paraId="32824ED7" w14:textId="77777777" w:rsidTr="0055651E">
        <w:tc>
          <w:tcPr>
            <w:tcW w:w="2386" w:type="dxa"/>
          </w:tcPr>
          <w:p w14:paraId="1194F76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53" w:type="dxa"/>
            <w:gridSpan w:val="6"/>
          </w:tcPr>
          <w:p w14:paraId="1AE3DC2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49D6E418" w14:textId="77777777" w:rsidTr="0055651E">
        <w:trPr>
          <w:trHeight w:val="91"/>
        </w:trPr>
        <w:tc>
          <w:tcPr>
            <w:tcW w:w="2386" w:type="dxa"/>
            <w:vMerge w:val="restart"/>
          </w:tcPr>
          <w:p w14:paraId="4C175330" w14:textId="77777777" w:rsidR="007C2B84" w:rsidRPr="00CB1E53" w:rsidRDefault="007C2B84" w:rsidP="00FD11D9">
            <w:pPr>
              <w:spacing w:before="20" w:after="20"/>
              <w:jc w:val="both"/>
              <w:rPr>
                <w:rFonts w:ascii="Segoe UI" w:hAnsi="Segoe UI" w:cs="Segoe UI"/>
                <w:b/>
                <w:bCs/>
                <w:sz w:val="18"/>
                <w:szCs w:val="18"/>
              </w:rPr>
            </w:pPr>
          </w:p>
        </w:tc>
        <w:tc>
          <w:tcPr>
            <w:tcW w:w="1348" w:type="dxa"/>
          </w:tcPr>
          <w:p w14:paraId="35DF446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47" w:type="dxa"/>
          </w:tcPr>
          <w:p w14:paraId="5150402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47" w:type="dxa"/>
            <w:gridSpan w:val="2"/>
          </w:tcPr>
          <w:p w14:paraId="0EBA8B2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47" w:type="dxa"/>
          </w:tcPr>
          <w:p w14:paraId="2579800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864" w:type="dxa"/>
          </w:tcPr>
          <w:p w14:paraId="413282F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04CA1C5D" w14:textId="77777777" w:rsidTr="0055651E">
        <w:trPr>
          <w:trHeight w:val="91"/>
        </w:trPr>
        <w:tc>
          <w:tcPr>
            <w:tcW w:w="2386" w:type="dxa"/>
            <w:vMerge/>
          </w:tcPr>
          <w:p w14:paraId="53F9468F" w14:textId="77777777" w:rsidR="007C2B84" w:rsidRPr="00CB1E53" w:rsidRDefault="007C2B84" w:rsidP="00FD11D9">
            <w:pPr>
              <w:spacing w:before="20" w:after="20"/>
              <w:jc w:val="both"/>
              <w:rPr>
                <w:rFonts w:ascii="Segoe UI" w:hAnsi="Segoe UI" w:cs="Segoe UI"/>
                <w:b/>
                <w:bCs/>
                <w:sz w:val="18"/>
                <w:szCs w:val="18"/>
              </w:rPr>
            </w:pPr>
          </w:p>
        </w:tc>
        <w:tc>
          <w:tcPr>
            <w:tcW w:w="1348" w:type="dxa"/>
          </w:tcPr>
          <w:p w14:paraId="1D14ADA0" w14:textId="39227795" w:rsidR="007C2B84" w:rsidRPr="00CB1E53" w:rsidRDefault="00FC171D" w:rsidP="00FD11D9">
            <w:pPr>
              <w:spacing w:before="20" w:after="20"/>
              <w:jc w:val="both"/>
              <w:rPr>
                <w:rFonts w:ascii="Segoe UI" w:hAnsi="Segoe UI" w:cs="Segoe UI"/>
                <w:sz w:val="18"/>
                <w:szCs w:val="18"/>
              </w:rPr>
            </w:pPr>
            <w:r>
              <w:rPr>
                <w:rFonts w:ascii="Segoe UI" w:hAnsi="Segoe UI" w:cs="Segoe UI"/>
                <w:sz w:val="18"/>
                <w:szCs w:val="18"/>
              </w:rPr>
              <w:t>5.4</w:t>
            </w:r>
          </w:p>
        </w:tc>
        <w:tc>
          <w:tcPr>
            <w:tcW w:w="1347" w:type="dxa"/>
            <w:shd w:val="clear" w:color="auto" w:fill="D9D9D9" w:themeFill="background1" w:themeFillShade="D9"/>
          </w:tcPr>
          <w:p w14:paraId="3D558627" w14:textId="1C109B5F"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5.4</w:t>
            </w:r>
          </w:p>
        </w:tc>
        <w:tc>
          <w:tcPr>
            <w:tcW w:w="1347" w:type="dxa"/>
            <w:gridSpan w:val="2"/>
            <w:shd w:val="clear" w:color="auto" w:fill="D9D9D9" w:themeFill="background1" w:themeFillShade="D9"/>
          </w:tcPr>
          <w:p w14:paraId="15085465" w14:textId="47E05743"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5.2</w:t>
            </w:r>
          </w:p>
        </w:tc>
        <w:tc>
          <w:tcPr>
            <w:tcW w:w="1347" w:type="dxa"/>
            <w:shd w:val="clear" w:color="auto" w:fill="D9D9D9" w:themeFill="background1" w:themeFillShade="D9"/>
          </w:tcPr>
          <w:p w14:paraId="7B9A7271" w14:textId="2F55709E"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6.0</w:t>
            </w:r>
          </w:p>
        </w:tc>
        <w:tc>
          <w:tcPr>
            <w:tcW w:w="1864" w:type="dxa"/>
            <w:shd w:val="clear" w:color="auto" w:fill="D9D9D9" w:themeFill="background1" w:themeFillShade="D9"/>
          </w:tcPr>
          <w:p w14:paraId="6F254B64" w14:textId="3B6534E9"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6.6</w:t>
            </w:r>
          </w:p>
        </w:tc>
      </w:tr>
    </w:tbl>
    <w:p w14:paraId="58AED7F4" w14:textId="77777777" w:rsidR="007C2B84" w:rsidRPr="00CB1E53" w:rsidRDefault="007C2B84"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6FFEBACB" w14:textId="77777777" w:rsidTr="00D75D26">
        <w:tc>
          <w:tcPr>
            <w:tcW w:w="9625" w:type="dxa"/>
            <w:gridSpan w:val="7"/>
            <w:shd w:val="clear" w:color="auto" w:fill="D9D9D9" w:themeFill="background1" w:themeFillShade="D9"/>
          </w:tcPr>
          <w:p w14:paraId="469F8003" w14:textId="2F6F27C5"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18. </w:t>
            </w:r>
            <w:r w:rsidR="00FC171D" w:rsidRPr="0055651E">
              <w:rPr>
                <w:rFonts w:ascii="Segoe UI" w:hAnsi="Segoe UI" w:cs="Segoe UI"/>
                <w:b/>
                <w:bCs/>
                <w:sz w:val="18"/>
                <w:szCs w:val="18"/>
              </w:rPr>
              <w:t>Additional 1, 3 or 5-year tax holiday for additional US$1, 3 or 5M+ investments in Free Economic Zones (FEZs)</w:t>
            </w:r>
          </w:p>
        </w:tc>
      </w:tr>
      <w:tr w:rsidR="007C2B84" w:rsidRPr="00CB1E53" w14:paraId="08475B2F" w14:textId="77777777" w:rsidTr="00D75D26">
        <w:tc>
          <w:tcPr>
            <w:tcW w:w="2425" w:type="dxa"/>
          </w:tcPr>
          <w:p w14:paraId="1A50F76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F311034" w14:textId="77777777" w:rsidR="007C2B84" w:rsidRPr="00CB1E53" w:rsidRDefault="007C2B84"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In case of additional capital investment of USD 1 million (USD 3 million, USD 5 million) FEZ residents are entitled to additional tax exemption period of 1 year (3 or 5 years, respectively) provided the average number of employees increased by 20 percent compared to the period before the additional investment was made. Again, this is a non-structural incentive.</w:t>
            </w:r>
          </w:p>
        </w:tc>
      </w:tr>
      <w:tr w:rsidR="007C2B84" w:rsidRPr="00CB1E53" w14:paraId="683EC61B" w14:textId="77777777" w:rsidTr="00D75D26">
        <w:tc>
          <w:tcPr>
            <w:tcW w:w="2425" w:type="dxa"/>
          </w:tcPr>
          <w:p w14:paraId="3481C7B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1D735F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2E6ED3BB" w14:textId="77777777" w:rsidTr="00D75D26">
        <w:tc>
          <w:tcPr>
            <w:tcW w:w="2425" w:type="dxa"/>
          </w:tcPr>
          <w:p w14:paraId="4B42F79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63221AE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Resident investors in FEZ</w:t>
            </w:r>
          </w:p>
        </w:tc>
      </w:tr>
      <w:tr w:rsidR="007C2B84" w:rsidRPr="00CB1E53" w14:paraId="5E3940D9" w14:textId="77777777" w:rsidTr="00D75D26">
        <w:tc>
          <w:tcPr>
            <w:tcW w:w="2425" w:type="dxa"/>
          </w:tcPr>
          <w:p w14:paraId="6CBD6F2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A5EB45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Additional tax holiday </w:t>
            </w:r>
          </w:p>
        </w:tc>
      </w:tr>
      <w:tr w:rsidR="007C2B84" w:rsidRPr="00CB1E53" w14:paraId="05D71EFD" w14:textId="77777777" w:rsidTr="00D75D26">
        <w:tc>
          <w:tcPr>
            <w:tcW w:w="2425" w:type="dxa"/>
          </w:tcPr>
          <w:p w14:paraId="5579BD7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A66690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tax holiday translates into a 0% tax rate for 3 – 5 years which is a departure from the benchmark statutory rate of 12%. The tax measure is therefore a tax expenditure.</w:t>
            </w:r>
          </w:p>
        </w:tc>
      </w:tr>
      <w:tr w:rsidR="007C2B84" w:rsidRPr="00CB1E53" w14:paraId="108F94CA" w14:textId="77777777" w:rsidTr="00D75D26">
        <w:tc>
          <w:tcPr>
            <w:tcW w:w="2425" w:type="dxa"/>
          </w:tcPr>
          <w:p w14:paraId="28CC784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72FD1C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49</w:t>
            </w:r>
          </w:p>
        </w:tc>
      </w:tr>
      <w:tr w:rsidR="007C2B84" w:rsidRPr="00CB1E53" w14:paraId="50FF15ED" w14:textId="77777777" w:rsidTr="00D75D26">
        <w:trPr>
          <w:trHeight w:val="182"/>
        </w:trPr>
        <w:tc>
          <w:tcPr>
            <w:tcW w:w="2425" w:type="dxa"/>
            <w:vMerge w:val="restart"/>
          </w:tcPr>
          <w:p w14:paraId="6F4BC68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490BE4E9" w14:textId="77777777" w:rsidR="007C2B84" w:rsidRPr="00CB1E53" w:rsidRDefault="007C2B84" w:rsidP="00FD11D9">
            <w:pPr>
              <w:spacing w:before="20" w:after="20"/>
              <w:jc w:val="both"/>
              <w:rPr>
                <w:rFonts w:ascii="Segoe UI" w:hAnsi="Segoe UI" w:cs="Segoe UI"/>
                <w:sz w:val="18"/>
                <w:szCs w:val="18"/>
              </w:rPr>
            </w:pPr>
          </w:p>
        </w:tc>
        <w:tc>
          <w:tcPr>
            <w:tcW w:w="3738" w:type="dxa"/>
            <w:gridSpan w:val="3"/>
          </w:tcPr>
          <w:p w14:paraId="68599D94"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FBAF571" w14:textId="77777777" w:rsidTr="00D75D26">
        <w:trPr>
          <w:trHeight w:val="182"/>
        </w:trPr>
        <w:tc>
          <w:tcPr>
            <w:tcW w:w="2425" w:type="dxa"/>
            <w:vMerge/>
          </w:tcPr>
          <w:p w14:paraId="64F8F2CC"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3D8763D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738" w:type="dxa"/>
            <w:gridSpan w:val="3"/>
          </w:tcPr>
          <w:p w14:paraId="0E0CE507"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55651E" w:rsidRPr="00CB1E53" w14:paraId="26D554AA" w14:textId="77777777" w:rsidTr="00D75D26">
        <w:tc>
          <w:tcPr>
            <w:tcW w:w="2425" w:type="dxa"/>
          </w:tcPr>
          <w:p w14:paraId="6266B6DB"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981E25A" w14:textId="7FE2E0B9"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55651E" w:rsidRPr="00CB1E53" w14:paraId="3A49EAD9" w14:textId="77777777" w:rsidTr="00D75D26">
        <w:tc>
          <w:tcPr>
            <w:tcW w:w="2425" w:type="dxa"/>
          </w:tcPr>
          <w:p w14:paraId="611DB98D"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C642E1D" w14:textId="0AD75A61"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2B201C2B" w14:textId="77777777" w:rsidTr="00D75D26">
        <w:tc>
          <w:tcPr>
            <w:tcW w:w="2425" w:type="dxa"/>
          </w:tcPr>
          <w:p w14:paraId="40C3584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11E86A5" w14:textId="77777777" w:rsidR="007C2B84" w:rsidRPr="00CB1E53" w:rsidRDefault="007C2B84" w:rsidP="00FD11D9">
            <w:pPr>
              <w:spacing w:before="20" w:after="20"/>
              <w:jc w:val="both"/>
              <w:rPr>
                <w:rFonts w:ascii="Segoe UI" w:hAnsi="Segoe UI" w:cs="Segoe UI"/>
                <w:sz w:val="18"/>
                <w:szCs w:val="18"/>
              </w:rPr>
            </w:pPr>
          </w:p>
        </w:tc>
      </w:tr>
      <w:tr w:rsidR="007C2B84" w:rsidRPr="00CB1E53" w14:paraId="01657EB9" w14:textId="77777777" w:rsidTr="00D75D26">
        <w:tc>
          <w:tcPr>
            <w:tcW w:w="2425" w:type="dxa"/>
          </w:tcPr>
          <w:p w14:paraId="09E5684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0DD35C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11C2303C" w14:textId="77777777" w:rsidTr="00D75D26">
        <w:trPr>
          <w:trHeight w:val="91"/>
        </w:trPr>
        <w:tc>
          <w:tcPr>
            <w:tcW w:w="2425" w:type="dxa"/>
            <w:vMerge w:val="restart"/>
          </w:tcPr>
          <w:p w14:paraId="2DBB27BF"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7FF0882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9A332B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4DE6FA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46F12B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42DF2A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4757F745" w14:textId="77777777" w:rsidTr="0055651E">
        <w:trPr>
          <w:trHeight w:val="91"/>
        </w:trPr>
        <w:tc>
          <w:tcPr>
            <w:tcW w:w="2425" w:type="dxa"/>
            <w:vMerge/>
          </w:tcPr>
          <w:p w14:paraId="61C1192E"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47EFDA12" w14:textId="033A04D4" w:rsidR="007C2B84" w:rsidRPr="00CB1E53" w:rsidRDefault="00FC171D" w:rsidP="00FD11D9">
            <w:pPr>
              <w:spacing w:before="20" w:after="20"/>
              <w:jc w:val="both"/>
              <w:rPr>
                <w:rFonts w:ascii="Segoe UI" w:hAnsi="Segoe UI" w:cs="Segoe UI"/>
                <w:sz w:val="18"/>
                <w:szCs w:val="18"/>
              </w:rPr>
            </w:pPr>
            <w:r>
              <w:rPr>
                <w:rFonts w:ascii="Segoe UI" w:hAnsi="Segoe UI" w:cs="Segoe UI"/>
                <w:sz w:val="18"/>
                <w:szCs w:val="18"/>
              </w:rPr>
              <w:t>0.0</w:t>
            </w:r>
          </w:p>
        </w:tc>
        <w:tc>
          <w:tcPr>
            <w:tcW w:w="1385" w:type="dxa"/>
            <w:shd w:val="clear" w:color="auto" w:fill="D9D9D9" w:themeFill="background1" w:themeFillShade="D9"/>
          </w:tcPr>
          <w:p w14:paraId="578DAEA4" w14:textId="56CB967A"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0.0</w:t>
            </w:r>
          </w:p>
        </w:tc>
        <w:tc>
          <w:tcPr>
            <w:tcW w:w="1385" w:type="dxa"/>
            <w:gridSpan w:val="2"/>
            <w:shd w:val="clear" w:color="auto" w:fill="D9D9D9" w:themeFill="background1" w:themeFillShade="D9"/>
          </w:tcPr>
          <w:p w14:paraId="7171BC11" w14:textId="558FCE83"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0.0</w:t>
            </w:r>
          </w:p>
        </w:tc>
        <w:tc>
          <w:tcPr>
            <w:tcW w:w="1385" w:type="dxa"/>
            <w:shd w:val="clear" w:color="auto" w:fill="D9D9D9" w:themeFill="background1" w:themeFillShade="D9"/>
          </w:tcPr>
          <w:p w14:paraId="3348C6FF" w14:textId="7BD49D46"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0.0</w:t>
            </w:r>
          </w:p>
        </w:tc>
        <w:tc>
          <w:tcPr>
            <w:tcW w:w="1660" w:type="dxa"/>
            <w:shd w:val="clear" w:color="auto" w:fill="D9D9D9" w:themeFill="background1" w:themeFillShade="D9"/>
          </w:tcPr>
          <w:p w14:paraId="0A06F0FE" w14:textId="11094DEA"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0.0</w:t>
            </w:r>
          </w:p>
        </w:tc>
      </w:tr>
    </w:tbl>
    <w:p w14:paraId="69E019E9" w14:textId="554EE087" w:rsidR="0072252A" w:rsidRDefault="0072252A" w:rsidP="00FD11D9">
      <w:pPr>
        <w:spacing w:before="20" w:after="20" w:line="240" w:lineRule="auto"/>
        <w:ind w:left="216" w:hanging="216"/>
        <w:jc w:val="both"/>
        <w:rPr>
          <w:rFonts w:ascii="Segoe UI" w:hAnsi="Segoe UI" w:cs="Segoe UI"/>
          <w:sz w:val="18"/>
          <w:szCs w:val="18"/>
        </w:rPr>
      </w:pPr>
    </w:p>
    <w:tbl>
      <w:tblPr>
        <w:tblStyle w:val="TableGrid2"/>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550ADCFF" w14:textId="77777777" w:rsidTr="00D75D26">
        <w:tc>
          <w:tcPr>
            <w:tcW w:w="9625" w:type="dxa"/>
            <w:gridSpan w:val="7"/>
            <w:shd w:val="clear" w:color="auto" w:fill="D9D9D9" w:themeFill="background1" w:themeFillShade="D9"/>
          </w:tcPr>
          <w:p w14:paraId="380FE682" w14:textId="28B30EE3"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19. </w:t>
            </w:r>
            <w:r w:rsidR="00FC171D" w:rsidRPr="0055651E">
              <w:rPr>
                <w:rFonts w:ascii="Segoe UI" w:hAnsi="Segoe UI" w:cs="Segoe UI"/>
                <w:b/>
                <w:bCs/>
                <w:sz w:val="18"/>
                <w:szCs w:val="18"/>
              </w:rPr>
              <w:t>Tax exemption of income from international grants for research and development, and from special funds and grants approved by the governme</w:t>
            </w:r>
            <w:r w:rsidR="0055651E">
              <w:rPr>
                <w:rFonts w:ascii="Segoe UI" w:hAnsi="Segoe UI" w:cs="Segoe UI"/>
                <w:b/>
                <w:bCs/>
                <w:sz w:val="18"/>
                <w:szCs w:val="18"/>
              </w:rPr>
              <w:t>nt</w:t>
            </w:r>
          </w:p>
        </w:tc>
      </w:tr>
      <w:tr w:rsidR="007C2B84" w:rsidRPr="00CB1E53" w14:paraId="68A69282" w14:textId="77777777" w:rsidTr="00D75D26">
        <w:tc>
          <w:tcPr>
            <w:tcW w:w="2425" w:type="dxa"/>
          </w:tcPr>
          <w:p w14:paraId="1CCCFF5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EB5F897" w14:textId="2E25AA00" w:rsidR="00EE73E4" w:rsidRDefault="00EE73E4" w:rsidP="00FD11D9">
            <w:pPr>
              <w:spacing w:before="20" w:after="20"/>
              <w:jc w:val="both"/>
              <w:rPr>
                <w:rFonts w:ascii="Segoe UI" w:hAnsi="Segoe UI" w:cs="Segoe UI"/>
                <w:sz w:val="18"/>
                <w:szCs w:val="18"/>
              </w:rPr>
            </w:pPr>
            <w:r>
              <w:rPr>
                <w:rFonts w:ascii="Segoe UI" w:hAnsi="Segoe UI" w:cs="Segoe UI"/>
                <w:sz w:val="18"/>
                <w:szCs w:val="18"/>
              </w:rPr>
              <w:t>This includes two tax expenditures which are claimed in the same cell:</w:t>
            </w:r>
          </w:p>
          <w:p w14:paraId="582C14C5" w14:textId="77777777" w:rsidR="00EE73E4" w:rsidRDefault="007C2B84" w:rsidP="00FD11D9">
            <w:pPr>
              <w:pStyle w:val="ListParagraph"/>
              <w:numPr>
                <w:ilvl w:val="0"/>
                <w:numId w:val="19"/>
              </w:numPr>
              <w:spacing w:before="20" w:after="20"/>
              <w:jc w:val="both"/>
              <w:rPr>
                <w:rFonts w:ascii="Segoe UI" w:hAnsi="Segoe UI" w:cs="Segoe UI"/>
                <w:sz w:val="18"/>
                <w:szCs w:val="18"/>
              </w:rPr>
            </w:pPr>
            <w:r w:rsidRPr="00EE73E4">
              <w:rPr>
                <w:rFonts w:ascii="Segoe UI" w:hAnsi="Segoe UI" w:cs="Segoe UI"/>
                <w:sz w:val="18"/>
                <w:szCs w:val="18"/>
              </w:rPr>
              <w:t>There is a tax exemption of incomes of the legal entities received from the use of external financial sources within the projects and international grants related to the development of education and research.</w:t>
            </w:r>
          </w:p>
          <w:p w14:paraId="7F6BE113" w14:textId="793743AC" w:rsidR="00EE73E4" w:rsidRPr="00EE73E4" w:rsidRDefault="00EE73E4" w:rsidP="00FD11D9">
            <w:pPr>
              <w:pStyle w:val="ListParagraph"/>
              <w:numPr>
                <w:ilvl w:val="0"/>
                <w:numId w:val="19"/>
              </w:numPr>
              <w:spacing w:before="20" w:after="20"/>
              <w:jc w:val="both"/>
              <w:rPr>
                <w:rFonts w:ascii="Segoe UI" w:hAnsi="Segoe UI" w:cs="Segoe UI"/>
                <w:sz w:val="18"/>
                <w:szCs w:val="18"/>
              </w:rPr>
            </w:pPr>
            <w:r w:rsidRPr="00EE73E4">
              <w:rPr>
                <w:rFonts w:ascii="Segoe UI" w:hAnsi="Segoe UI" w:cs="Segoe UI"/>
                <w:sz w:val="18"/>
                <w:szCs w:val="18"/>
              </w:rPr>
              <w:t>Moneys or grants are tax exempt if received from the special funds and/or financial resources in the form of a grant through programs approved by the Government, used according to their destination.</w:t>
            </w:r>
          </w:p>
        </w:tc>
      </w:tr>
      <w:tr w:rsidR="007C2B84" w:rsidRPr="00CB1E53" w14:paraId="52EBA249" w14:textId="77777777" w:rsidTr="00D75D26">
        <w:tc>
          <w:tcPr>
            <w:tcW w:w="2425" w:type="dxa"/>
          </w:tcPr>
          <w:p w14:paraId="594F61C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5665C3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BIT </w:t>
            </w:r>
          </w:p>
        </w:tc>
      </w:tr>
      <w:tr w:rsidR="007C2B84" w:rsidRPr="00CB1E53" w14:paraId="7296DC5F" w14:textId="77777777" w:rsidTr="00D75D26">
        <w:tc>
          <w:tcPr>
            <w:tcW w:w="2425" w:type="dxa"/>
          </w:tcPr>
          <w:p w14:paraId="34BDA63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D2EAC64" w14:textId="77777777" w:rsidR="007C2B84" w:rsidRDefault="007C2B84" w:rsidP="00FD11D9">
            <w:pPr>
              <w:pStyle w:val="ListParagraph"/>
              <w:numPr>
                <w:ilvl w:val="0"/>
                <w:numId w:val="20"/>
              </w:numPr>
              <w:spacing w:before="20" w:after="20"/>
              <w:jc w:val="both"/>
              <w:rPr>
                <w:rFonts w:ascii="Segoe UI" w:hAnsi="Segoe UI" w:cs="Segoe UI"/>
                <w:sz w:val="18"/>
                <w:szCs w:val="18"/>
              </w:rPr>
            </w:pPr>
            <w:r w:rsidRPr="00EE73E4">
              <w:rPr>
                <w:rFonts w:ascii="Segoe UI" w:hAnsi="Segoe UI" w:cs="Segoe UI"/>
                <w:sz w:val="18"/>
                <w:szCs w:val="18"/>
              </w:rPr>
              <w:t>Entities engaged in the development of education and research.</w:t>
            </w:r>
          </w:p>
          <w:p w14:paraId="6A9F0BDC" w14:textId="62987070" w:rsidR="00EE73E4" w:rsidRPr="00EE73E4" w:rsidRDefault="00EE73E4" w:rsidP="00FD11D9">
            <w:pPr>
              <w:pStyle w:val="ListParagraph"/>
              <w:numPr>
                <w:ilvl w:val="0"/>
                <w:numId w:val="20"/>
              </w:numPr>
              <w:spacing w:before="20" w:after="20"/>
              <w:jc w:val="both"/>
              <w:rPr>
                <w:rFonts w:ascii="Segoe UI" w:hAnsi="Segoe UI" w:cs="Segoe UI"/>
                <w:sz w:val="18"/>
                <w:szCs w:val="18"/>
              </w:rPr>
            </w:pPr>
            <w:r w:rsidRPr="00CB1E53">
              <w:rPr>
                <w:rFonts w:ascii="Segoe UI" w:hAnsi="Segoe UI" w:cs="Segoe UI"/>
                <w:sz w:val="18"/>
                <w:szCs w:val="18"/>
              </w:rPr>
              <w:t>Beneficiaries of public grants or special funds.</w:t>
            </w:r>
          </w:p>
        </w:tc>
      </w:tr>
      <w:tr w:rsidR="007C2B84" w:rsidRPr="00CB1E53" w14:paraId="1A2816B6" w14:textId="77777777" w:rsidTr="00D75D26">
        <w:tc>
          <w:tcPr>
            <w:tcW w:w="2425" w:type="dxa"/>
          </w:tcPr>
          <w:p w14:paraId="2091267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B7D8A1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7C2B84" w:rsidRPr="00CB1E53" w14:paraId="4BAC0A99" w14:textId="77777777" w:rsidTr="00D75D26">
        <w:tc>
          <w:tcPr>
            <w:tcW w:w="2425" w:type="dxa"/>
          </w:tcPr>
          <w:p w14:paraId="0EFC02F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50B403B" w14:textId="784EF5A7" w:rsidR="007C2B84" w:rsidRPr="00CB1E53" w:rsidRDefault="00610436" w:rsidP="00FD11D9">
            <w:pPr>
              <w:spacing w:before="20" w:after="20"/>
              <w:jc w:val="both"/>
              <w:rPr>
                <w:rFonts w:ascii="Segoe UI" w:hAnsi="Segoe UI" w:cs="Segoe UI"/>
                <w:sz w:val="18"/>
                <w:szCs w:val="18"/>
              </w:rPr>
            </w:pPr>
            <w:r>
              <w:rPr>
                <w:rFonts w:ascii="Segoe UI" w:hAnsi="Segoe UI" w:cs="Segoe UI"/>
                <w:sz w:val="18"/>
                <w:szCs w:val="18"/>
              </w:rPr>
              <w:t>I</w:t>
            </w:r>
            <w:r w:rsidR="007C2B84" w:rsidRPr="00CB1E53">
              <w:rPr>
                <w:rFonts w:ascii="Segoe UI" w:hAnsi="Segoe UI" w:cs="Segoe UI"/>
                <w:sz w:val="18"/>
                <w:szCs w:val="18"/>
              </w:rPr>
              <w:t>ncome from whatever source should attract BIT at the flat rate of 12%. The non-taxation of these income accretions constitutes a tax expenditure.</w:t>
            </w:r>
          </w:p>
        </w:tc>
      </w:tr>
      <w:tr w:rsidR="007C2B84" w:rsidRPr="00CB1E53" w14:paraId="12C1F065" w14:textId="77777777" w:rsidTr="00D75D26">
        <w:tc>
          <w:tcPr>
            <w:tcW w:w="2425" w:type="dxa"/>
          </w:tcPr>
          <w:p w14:paraId="221F707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B2A59C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20(z</w:t>
            </w:r>
            <w:r w:rsidRPr="00CB1E53">
              <w:rPr>
                <w:rFonts w:ascii="Segoe UI" w:hAnsi="Segoe UI" w:cs="Segoe UI"/>
                <w:sz w:val="18"/>
                <w:szCs w:val="18"/>
                <w:vertAlign w:val="superscript"/>
              </w:rPr>
              <w:t>12</w:t>
            </w:r>
            <w:r w:rsidRPr="00CB1E53">
              <w:rPr>
                <w:rFonts w:ascii="Segoe UI" w:hAnsi="Segoe UI" w:cs="Segoe UI"/>
                <w:sz w:val="18"/>
                <w:szCs w:val="18"/>
              </w:rPr>
              <w:t xml:space="preserve">) </w:t>
            </w:r>
          </w:p>
        </w:tc>
      </w:tr>
      <w:tr w:rsidR="007C2B84" w:rsidRPr="00CB1E53" w14:paraId="2ED06F32" w14:textId="77777777" w:rsidTr="00D75D26">
        <w:trPr>
          <w:trHeight w:val="182"/>
        </w:trPr>
        <w:tc>
          <w:tcPr>
            <w:tcW w:w="2425" w:type="dxa"/>
            <w:vMerge w:val="restart"/>
          </w:tcPr>
          <w:p w14:paraId="35301DC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1F2E88F" w14:textId="77777777" w:rsidR="007C2B84" w:rsidRPr="00CB1E53" w:rsidRDefault="007C2B84" w:rsidP="00FD11D9">
            <w:pPr>
              <w:spacing w:before="20" w:after="20"/>
              <w:jc w:val="both"/>
              <w:rPr>
                <w:rFonts w:ascii="Segoe UI" w:hAnsi="Segoe UI" w:cs="Segoe UI"/>
                <w:sz w:val="18"/>
                <w:szCs w:val="18"/>
              </w:rPr>
            </w:pPr>
          </w:p>
        </w:tc>
      </w:tr>
      <w:tr w:rsidR="007C2B84" w:rsidRPr="00CB1E53" w14:paraId="4D660319" w14:textId="77777777" w:rsidTr="00D75D26">
        <w:trPr>
          <w:trHeight w:val="182"/>
        </w:trPr>
        <w:tc>
          <w:tcPr>
            <w:tcW w:w="2425" w:type="dxa"/>
            <w:vMerge/>
          </w:tcPr>
          <w:p w14:paraId="0D46A251"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69CDA609"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p>
        </w:tc>
        <w:tc>
          <w:tcPr>
            <w:tcW w:w="3738" w:type="dxa"/>
            <w:gridSpan w:val="3"/>
          </w:tcPr>
          <w:p w14:paraId="11679258"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55651E" w:rsidRPr="00CB1E53" w14:paraId="40C8796D" w14:textId="77777777" w:rsidTr="00D75D26">
        <w:tc>
          <w:tcPr>
            <w:tcW w:w="2425" w:type="dxa"/>
          </w:tcPr>
          <w:p w14:paraId="5D91BAB6"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AB4AFC9" w14:textId="3AA55077"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VEN12 tax data (2018)</w:t>
            </w:r>
          </w:p>
        </w:tc>
      </w:tr>
      <w:tr w:rsidR="0055651E" w:rsidRPr="00CB1E53" w14:paraId="325AC505" w14:textId="77777777" w:rsidTr="00D75D26">
        <w:tc>
          <w:tcPr>
            <w:tcW w:w="2425" w:type="dxa"/>
          </w:tcPr>
          <w:p w14:paraId="65E72868" w14:textId="77777777" w:rsidR="0055651E" w:rsidRPr="00CB1E53" w:rsidRDefault="0055651E"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0060781" w14:textId="4CEAF19D"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Microsimulation model</w:t>
            </w:r>
          </w:p>
        </w:tc>
      </w:tr>
      <w:tr w:rsidR="007C2B84" w:rsidRPr="00CB1E53" w14:paraId="00F39E85" w14:textId="77777777" w:rsidTr="00D75D26">
        <w:tc>
          <w:tcPr>
            <w:tcW w:w="2425" w:type="dxa"/>
          </w:tcPr>
          <w:p w14:paraId="5F450CA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704746E"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065BD5A" w14:textId="77777777" w:rsidTr="00D75D26">
        <w:tc>
          <w:tcPr>
            <w:tcW w:w="2425" w:type="dxa"/>
          </w:tcPr>
          <w:p w14:paraId="1D14FFD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9A81621"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656A9040" w14:textId="77777777" w:rsidTr="00D75D26">
        <w:trPr>
          <w:trHeight w:val="91"/>
        </w:trPr>
        <w:tc>
          <w:tcPr>
            <w:tcW w:w="2425" w:type="dxa"/>
            <w:vMerge w:val="restart"/>
          </w:tcPr>
          <w:p w14:paraId="6A1E0141"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1C23197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0994D7E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E2C75F1"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AB5660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C1825B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7C2B84" w:rsidRPr="00CB1E53" w14:paraId="0D3679F4" w14:textId="77777777" w:rsidTr="0055651E">
        <w:trPr>
          <w:trHeight w:val="91"/>
        </w:trPr>
        <w:tc>
          <w:tcPr>
            <w:tcW w:w="2425" w:type="dxa"/>
            <w:vMerge/>
          </w:tcPr>
          <w:p w14:paraId="442CD3BF"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06C420D4" w14:textId="37E5AC6D" w:rsidR="007C2B84" w:rsidRPr="00CB1E53" w:rsidRDefault="00FC171D" w:rsidP="00FD11D9">
            <w:pPr>
              <w:spacing w:before="20" w:after="20"/>
              <w:jc w:val="both"/>
              <w:rPr>
                <w:rFonts w:ascii="Segoe UI" w:hAnsi="Segoe UI" w:cs="Segoe UI"/>
                <w:sz w:val="18"/>
                <w:szCs w:val="18"/>
              </w:rPr>
            </w:pPr>
            <w:r>
              <w:rPr>
                <w:rFonts w:ascii="Segoe UI" w:hAnsi="Segoe UI" w:cs="Segoe UI"/>
                <w:sz w:val="18"/>
                <w:szCs w:val="18"/>
              </w:rPr>
              <w:t>480.9</w:t>
            </w:r>
          </w:p>
        </w:tc>
        <w:tc>
          <w:tcPr>
            <w:tcW w:w="1385" w:type="dxa"/>
            <w:shd w:val="clear" w:color="auto" w:fill="D9D9D9" w:themeFill="background1" w:themeFillShade="D9"/>
          </w:tcPr>
          <w:p w14:paraId="2D2C21B6" w14:textId="0B67B133"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481.7</w:t>
            </w:r>
          </w:p>
        </w:tc>
        <w:tc>
          <w:tcPr>
            <w:tcW w:w="1385" w:type="dxa"/>
            <w:gridSpan w:val="2"/>
            <w:shd w:val="clear" w:color="auto" w:fill="D9D9D9" w:themeFill="background1" w:themeFillShade="D9"/>
          </w:tcPr>
          <w:p w14:paraId="1115FB8B" w14:textId="5F4059D9"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459.9</w:t>
            </w:r>
          </w:p>
        </w:tc>
        <w:tc>
          <w:tcPr>
            <w:tcW w:w="1385" w:type="dxa"/>
            <w:shd w:val="clear" w:color="auto" w:fill="D9D9D9" w:themeFill="background1" w:themeFillShade="D9"/>
          </w:tcPr>
          <w:p w14:paraId="135FAE5C" w14:textId="60D6BC37"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531.2</w:t>
            </w:r>
          </w:p>
        </w:tc>
        <w:tc>
          <w:tcPr>
            <w:tcW w:w="1660" w:type="dxa"/>
            <w:shd w:val="clear" w:color="auto" w:fill="D9D9D9" w:themeFill="background1" w:themeFillShade="D9"/>
          </w:tcPr>
          <w:p w14:paraId="58B0AF00" w14:textId="08A33F6D" w:rsidR="007C2B84" w:rsidRPr="0055651E" w:rsidRDefault="00FC171D" w:rsidP="00FD11D9">
            <w:pPr>
              <w:spacing w:before="20" w:after="20"/>
              <w:jc w:val="both"/>
              <w:rPr>
                <w:rFonts w:ascii="Segoe UI" w:hAnsi="Segoe UI" w:cs="Segoe UI"/>
                <w:i/>
                <w:iCs/>
                <w:sz w:val="18"/>
                <w:szCs w:val="18"/>
              </w:rPr>
            </w:pPr>
            <w:r w:rsidRPr="0055651E">
              <w:rPr>
                <w:rFonts w:ascii="Segoe UI" w:hAnsi="Segoe UI" w:cs="Segoe UI"/>
                <w:i/>
                <w:iCs/>
                <w:sz w:val="18"/>
                <w:szCs w:val="18"/>
              </w:rPr>
              <w:t>590.8</w:t>
            </w:r>
          </w:p>
        </w:tc>
      </w:tr>
    </w:tbl>
    <w:p w14:paraId="7DF14F24" w14:textId="77777777" w:rsidR="007C2B84" w:rsidRPr="00CB1E53" w:rsidRDefault="007C2B84" w:rsidP="00FD11D9">
      <w:pPr>
        <w:spacing w:before="20" w:after="20" w:line="240" w:lineRule="auto"/>
        <w:jc w:val="both"/>
        <w:rPr>
          <w:rFonts w:ascii="Segoe UI" w:hAnsi="Segoe UI" w:cs="Segoe UI"/>
          <w:sz w:val="18"/>
          <w:szCs w:val="18"/>
        </w:rPr>
      </w:pPr>
    </w:p>
    <w:tbl>
      <w:tblPr>
        <w:tblStyle w:val="TableGrid3"/>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27A52749" w14:textId="77777777" w:rsidTr="00D75D26">
        <w:tc>
          <w:tcPr>
            <w:tcW w:w="9625" w:type="dxa"/>
            <w:gridSpan w:val="7"/>
            <w:shd w:val="clear" w:color="auto" w:fill="D9D9D9" w:themeFill="background1" w:themeFillShade="D9"/>
          </w:tcPr>
          <w:p w14:paraId="2D761F8D" w14:textId="6C43EFD2"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 </w:t>
            </w:r>
            <w:r w:rsidR="00FC171D" w:rsidRPr="0055651E">
              <w:rPr>
                <w:rFonts w:ascii="Segoe UI" w:hAnsi="Segoe UI" w:cs="Segoe UI"/>
                <w:b/>
                <w:bCs/>
                <w:sz w:val="18"/>
                <w:szCs w:val="18"/>
              </w:rPr>
              <w:t>Tax exemption of donations to homes providing foster care</w:t>
            </w:r>
          </w:p>
        </w:tc>
      </w:tr>
      <w:tr w:rsidR="007C2B84" w:rsidRPr="00CB1E53" w14:paraId="3174B446" w14:textId="77777777" w:rsidTr="00D75D26">
        <w:tc>
          <w:tcPr>
            <w:tcW w:w="2425" w:type="dxa"/>
          </w:tcPr>
          <w:p w14:paraId="05E0E4C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FB658A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 xml:space="preserve">Patrimony received by family-type children’s homes as a donation is tax exempt. </w:t>
            </w:r>
          </w:p>
        </w:tc>
      </w:tr>
      <w:tr w:rsidR="007C2B84" w:rsidRPr="00CB1E53" w14:paraId="230EE8DB" w14:textId="77777777" w:rsidTr="00D75D26">
        <w:tc>
          <w:tcPr>
            <w:tcW w:w="2425" w:type="dxa"/>
          </w:tcPr>
          <w:p w14:paraId="6534A99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05AB64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585451F6" w14:textId="77777777" w:rsidTr="00D75D26">
        <w:tc>
          <w:tcPr>
            <w:tcW w:w="2425" w:type="dxa"/>
          </w:tcPr>
          <w:p w14:paraId="0E07DC1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E9369F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Family children’s homes</w:t>
            </w:r>
          </w:p>
        </w:tc>
      </w:tr>
      <w:tr w:rsidR="007C2B84" w:rsidRPr="00CB1E53" w14:paraId="128FEA89" w14:textId="77777777" w:rsidTr="00D75D26">
        <w:tc>
          <w:tcPr>
            <w:tcW w:w="2425" w:type="dxa"/>
          </w:tcPr>
          <w:p w14:paraId="35D93D8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A1A6B3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Tax Exemption</w:t>
            </w:r>
          </w:p>
        </w:tc>
      </w:tr>
      <w:tr w:rsidR="007C2B84" w:rsidRPr="00CB1E53" w14:paraId="5603BC72" w14:textId="77777777" w:rsidTr="00D75D26">
        <w:tc>
          <w:tcPr>
            <w:tcW w:w="2425" w:type="dxa"/>
          </w:tcPr>
          <w:p w14:paraId="36253D2C"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DA88BB0" w14:textId="0B0F72E9" w:rsidR="007C2B84" w:rsidRPr="00CB1E53" w:rsidRDefault="00610436" w:rsidP="00FD11D9">
            <w:pPr>
              <w:spacing w:before="20" w:after="20"/>
              <w:jc w:val="both"/>
              <w:rPr>
                <w:rFonts w:ascii="Segoe UI" w:hAnsi="Segoe UI" w:cs="Segoe UI"/>
                <w:sz w:val="18"/>
                <w:szCs w:val="18"/>
              </w:rPr>
            </w:pPr>
            <w:r>
              <w:rPr>
                <w:rFonts w:ascii="Segoe UI" w:hAnsi="Segoe UI" w:cs="Segoe UI"/>
                <w:sz w:val="18"/>
                <w:szCs w:val="18"/>
              </w:rPr>
              <w:t>T</w:t>
            </w:r>
            <w:r w:rsidR="007C2B84" w:rsidRPr="00CB1E53">
              <w:rPr>
                <w:rFonts w:ascii="Segoe UI" w:hAnsi="Segoe UI" w:cs="Segoe UI"/>
                <w:sz w:val="18"/>
                <w:szCs w:val="18"/>
              </w:rPr>
              <w:t xml:space="preserve">ransfers/payments constitute income in the hands of the </w:t>
            </w:r>
            <w:r>
              <w:rPr>
                <w:rFonts w:ascii="Segoe UI" w:hAnsi="Segoe UI" w:cs="Segoe UI"/>
                <w:sz w:val="18"/>
                <w:szCs w:val="18"/>
              </w:rPr>
              <w:t xml:space="preserve">legal </w:t>
            </w:r>
            <w:r w:rsidR="007C2B84" w:rsidRPr="00CB1E53">
              <w:rPr>
                <w:rFonts w:ascii="Segoe UI" w:hAnsi="Segoe UI" w:cs="Segoe UI"/>
                <w:sz w:val="18"/>
                <w:szCs w:val="18"/>
              </w:rPr>
              <w:t>persons receiving the patrimony. They should attract BIT at the flat rate of 12%. The non-taxation constitutes therefore a tax expenditure.</w:t>
            </w:r>
          </w:p>
        </w:tc>
      </w:tr>
      <w:tr w:rsidR="007C2B84" w:rsidRPr="00CB1E53" w14:paraId="2E3BA96D" w14:textId="77777777" w:rsidTr="00D75D26">
        <w:tc>
          <w:tcPr>
            <w:tcW w:w="2425" w:type="dxa"/>
          </w:tcPr>
          <w:p w14:paraId="686155A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91ED0C2"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20(i</w:t>
            </w:r>
            <w:r w:rsidRPr="00CB1E53">
              <w:rPr>
                <w:rFonts w:ascii="Segoe UI" w:hAnsi="Segoe UI" w:cs="Segoe UI"/>
                <w:sz w:val="18"/>
                <w:szCs w:val="18"/>
                <w:vertAlign w:val="superscript"/>
              </w:rPr>
              <w:t>1</w:t>
            </w:r>
            <w:r w:rsidRPr="00CB1E53">
              <w:rPr>
                <w:rFonts w:ascii="Segoe UI" w:hAnsi="Segoe UI" w:cs="Segoe UI"/>
                <w:sz w:val="18"/>
                <w:szCs w:val="18"/>
              </w:rPr>
              <w:t>)</w:t>
            </w:r>
          </w:p>
        </w:tc>
      </w:tr>
      <w:tr w:rsidR="007C2B84" w:rsidRPr="00CB1E53" w14:paraId="28F3F524" w14:textId="77777777" w:rsidTr="00D75D26">
        <w:trPr>
          <w:trHeight w:val="182"/>
        </w:trPr>
        <w:tc>
          <w:tcPr>
            <w:tcW w:w="2425" w:type="dxa"/>
            <w:vMerge w:val="restart"/>
          </w:tcPr>
          <w:p w14:paraId="41DF735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457D786"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F9FC2EA" w14:textId="77777777" w:rsidTr="00D75D26">
        <w:trPr>
          <w:trHeight w:val="182"/>
        </w:trPr>
        <w:tc>
          <w:tcPr>
            <w:tcW w:w="2425" w:type="dxa"/>
            <w:vMerge/>
          </w:tcPr>
          <w:p w14:paraId="3210282B"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30E1B50A"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2012</w:t>
            </w:r>
          </w:p>
        </w:tc>
        <w:tc>
          <w:tcPr>
            <w:tcW w:w="3738" w:type="dxa"/>
            <w:gridSpan w:val="3"/>
          </w:tcPr>
          <w:p w14:paraId="5DEB1C0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7C2B84" w:rsidRPr="00CB1E53" w14:paraId="53BD453B" w14:textId="77777777" w:rsidTr="00D75D26">
        <w:tc>
          <w:tcPr>
            <w:tcW w:w="2425" w:type="dxa"/>
          </w:tcPr>
          <w:p w14:paraId="4F055A95"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B70DC39" w14:textId="36EE1046" w:rsidR="007C2B84"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reported on the tax forms</w:t>
            </w:r>
          </w:p>
        </w:tc>
      </w:tr>
      <w:tr w:rsidR="007C2B84" w:rsidRPr="00CB1E53" w14:paraId="612DDFB7" w14:textId="77777777" w:rsidTr="00D75D26">
        <w:tc>
          <w:tcPr>
            <w:tcW w:w="2425" w:type="dxa"/>
          </w:tcPr>
          <w:p w14:paraId="1F15D01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22DBB14F" w14:textId="01396D84" w:rsidR="007C2B84"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7C2B84" w:rsidRPr="00CB1E53" w14:paraId="7A404E97" w14:textId="77777777" w:rsidTr="00D75D26">
        <w:tc>
          <w:tcPr>
            <w:tcW w:w="2425" w:type="dxa"/>
          </w:tcPr>
          <w:p w14:paraId="37EC5C4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19CDFBF"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F7DB933" w14:textId="77777777" w:rsidTr="00D75D26">
        <w:tc>
          <w:tcPr>
            <w:tcW w:w="2425" w:type="dxa"/>
          </w:tcPr>
          <w:p w14:paraId="1013FD82"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9F10C9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4B196634" w14:textId="77777777" w:rsidTr="00D75D26">
        <w:trPr>
          <w:trHeight w:val="91"/>
        </w:trPr>
        <w:tc>
          <w:tcPr>
            <w:tcW w:w="2425" w:type="dxa"/>
            <w:vMerge w:val="restart"/>
          </w:tcPr>
          <w:p w14:paraId="7536D56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53A4F41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A35920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430687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025821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9FD725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55651E" w:rsidRPr="00CB1E53" w14:paraId="5061AE36" w14:textId="77777777" w:rsidTr="00D75D26">
        <w:trPr>
          <w:trHeight w:val="91"/>
        </w:trPr>
        <w:tc>
          <w:tcPr>
            <w:tcW w:w="2425" w:type="dxa"/>
            <w:vMerge/>
          </w:tcPr>
          <w:p w14:paraId="2872A9E4" w14:textId="77777777" w:rsidR="0055651E" w:rsidRPr="00CB1E53" w:rsidRDefault="0055651E" w:rsidP="00FD11D9">
            <w:pPr>
              <w:spacing w:before="20" w:after="20"/>
              <w:jc w:val="both"/>
              <w:rPr>
                <w:rFonts w:ascii="Segoe UI" w:hAnsi="Segoe UI" w:cs="Segoe UI"/>
                <w:b/>
                <w:bCs/>
                <w:sz w:val="18"/>
                <w:szCs w:val="18"/>
              </w:rPr>
            </w:pPr>
          </w:p>
        </w:tc>
        <w:tc>
          <w:tcPr>
            <w:tcW w:w="1385" w:type="dxa"/>
          </w:tcPr>
          <w:p w14:paraId="51EC50DD" w14:textId="650176D1"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71E72199" w14:textId="77177C23"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4B00D953" w14:textId="7FC4E4C6"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7A9E30F9" w14:textId="1B1EF1FE"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w:t>
            </w:r>
          </w:p>
        </w:tc>
        <w:tc>
          <w:tcPr>
            <w:tcW w:w="1660" w:type="dxa"/>
          </w:tcPr>
          <w:p w14:paraId="21C9A8E9" w14:textId="7948B5F6" w:rsidR="0055651E" w:rsidRPr="00CB1E53" w:rsidRDefault="0055651E" w:rsidP="00FD11D9">
            <w:pPr>
              <w:spacing w:before="20" w:after="20"/>
              <w:jc w:val="both"/>
              <w:rPr>
                <w:rFonts w:ascii="Segoe UI" w:hAnsi="Segoe UI" w:cs="Segoe UI"/>
                <w:sz w:val="18"/>
                <w:szCs w:val="18"/>
              </w:rPr>
            </w:pPr>
            <w:r>
              <w:rPr>
                <w:rFonts w:ascii="Segoe UI" w:hAnsi="Segoe UI" w:cs="Segoe UI"/>
                <w:sz w:val="18"/>
                <w:szCs w:val="18"/>
              </w:rPr>
              <w:t>—</w:t>
            </w:r>
          </w:p>
        </w:tc>
      </w:tr>
    </w:tbl>
    <w:p w14:paraId="19E3228F" w14:textId="0C748E79" w:rsidR="007C2B84" w:rsidRDefault="007C2B84" w:rsidP="00FD11D9">
      <w:pPr>
        <w:spacing w:before="20" w:after="20" w:line="240" w:lineRule="auto"/>
        <w:jc w:val="both"/>
        <w:rPr>
          <w:rFonts w:ascii="Segoe UI" w:hAnsi="Segoe UI" w:cs="Segoe UI"/>
          <w:sz w:val="18"/>
          <w:szCs w:val="18"/>
        </w:rPr>
      </w:pPr>
    </w:p>
    <w:tbl>
      <w:tblPr>
        <w:tblStyle w:val="TableGrid4"/>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2252A" w:rsidRPr="00CB1E53" w14:paraId="6B82ADEA" w14:textId="77777777" w:rsidTr="00D75D26">
        <w:tc>
          <w:tcPr>
            <w:tcW w:w="9625" w:type="dxa"/>
            <w:gridSpan w:val="7"/>
            <w:shd w:val="clear" w:color="auto" w:fill="D9D9D9" w:themeFill="background1" w:themeFillShade="D9"/>
          </w:tcPr>
          <w:p w14:paraId="121C8763" w14:textId="41B5DC03"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21. </w:t>
            </w:r>
            <w:r w:rsidR="00FC171D" w:rsidRPr="009E349C">
              <w:rPr>
                <w:rFonts w:ascii="Segoe UI" w:hAnsi="Segoe UI" w:cs="Segoe UI"/>
                <w:b/>
                <w:bCs/>
                <w:sz w:val="18"/>
                <w:szCs w:val="18"/>
              </w:rPr>
              <w:t>Tax exemption of aid received from charitable organizations</w:t>
            </w:r>
          </w:p>
        </w:tc>
      </w:tr>
      <w:tr w:rsidR="0072252A" w:rsidRPr="00CB1E53" w14:paraId="7A35AE7C" w14:textId="77777777" w:rsidTr="00D75D26">
        <w:tc>
          <w:tcPr>
            <w:tcW w:w="2425" w:type="dxa"/>
          </w:tcPr>
          <w:p w14:paraId="0F56D8C1"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1C62993"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Aid received from charitable organizations – foundations and public associations – according to the provisions of the statute of these organizations and of the legislation is tax exempt</w:t>
            </w:r>
          </w:p>
        </w:tc>
      </w:tr>
      <w:tr w:rsidR="0072252A" w:rsidRPr="00CB1E53" w14:paraId="73B81A7A" w14:textId="77777777" w:rsidTr="00D75D26">
        <w:tc>
          <w:tcPr>
            <w:tcW w:w="2425" w:type="dxa"/>
          </w:tcPr>
          <w:p w14:paraId="7873D330"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0E79DA4B"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2252A" w:rsidRPr="00CB1E53" w14:paraId="5396FAFC" w14:textId="77777777" w:rsidTr="00D75D26">
        <w:tc>
          <w:tcPr>
            <w:tcW w:w="2425" w:type="dxa"/>
          </w:tcPr>
          <w:p w14:paraId="78DCB31A"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5CFE528"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Beneficiaries of transfer payment from charitable organizations</w:t>
            </w:r>
          </w:p>
        </w:tc>
      </w:tr>
      <w:tr w:rsidR="0072252A" w:rsidRPr="00CB1E53" w14:paraId="2B837B87" w14:textId="77777777" w:rsidTr="00D75D26">
        <w:tc>
          <w:tcPr>
            <w:tcW w:w="2425" w:type="dxa"/>
          </w:tcPr>
          <w:p w14:paraId="62276C03"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D67A075"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72252A" w:rsidRPr="00CB1E53" w14:paraId="4FFB0504" w14:textId="77777777" w:rsidTr="00D75D26">
        <w:tc>
          <w:tcPr>
            <w:tcW w:w="2425" w:type="dxa"/>
          </w:tcPr>
          <w:p w14:paraId="6E26A768"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5BF137EA" w14:textId="15D47826" w:rsidR="0072252A" w:rsidRPr="00CB1E53" w:rsidRDefault="00812416" w:rsidP="00FD11D9">
            <w:pPr>
              <w:spacing w:before="20" w:after="20"/>
              <w:jc w:val="both"/>
              <w:rPr>
                <w:rFonts w:ascii="Segoe UI" w:hAnsi="Segoe UI" w:cs="Segoe UI"/>
                <w:sz w:val="18"/>
                <w:szCs w:val="18"/>
              </w:rPr>
            </w:pPr>
            <w:r>
              <w:rPr>
                <w:rFonts w:ascii="Segoe UI" w:hAnsi="Segoe UI" w:cs="Segoe UI"/>
                <w:sz w:val="18"/>
                <w:szCs w:val="18"/>
              </w:rPr>
              <w:t>T</w:t>
            </w:r>
            <w:r w:rsidR="0072252A" w:rsidRPr="00CB1E53">
              <w:rPr>
                <w:rFonts w:ascii="Segoe UI" w:hAnsi="Segoe UI" w:cs="Segoe UI"/>
                <w:sz w:val="18"/>
                <w:szCs w:val="18"/>
              </w:rPr>
              <w:t>ransfers/payments constitute income in the hands of the persons receiving t</w:t>
            </w:r>
            <w:r>
              <w:rPr>
                <w:rFonts w:ascii="Segoe UI" w:hAnsi="Segoe UI" w:cs="Segoe UI"/>
                <w:sz w:val="18"/>
                <w:szCs w:val="18"/>
              </w:rPr>
              <w:t>his</w:t>
            </w:r>
            <w:r w:rsidR="0072252A" w:rsidRPr="00CB1E53">
              <w:rPr>
                <w:rFonts w:ascii="Segoe UI" w:hAnsi="Segoe UI" w:cs="Segoe UI"/>
                <w:sz w:val="18"/>
                <w:szCs w:val="18"/>
              </w:rPr>
              <w:t>. They should attract BIT at the flat rate of 12%. The non-taxation constitutes therefore a tax expenditure.</w:t>
            </w:r>
          </w:p>
        </w:tc>
      </w:tr>
      <w:tr w:rsidR="0072252A" w:rsidRPr="00CB1E53" w14:paraId="63829543" w14:textId="77777777" w:rsidTr="00D75D26">
        <w:tc>
          <w:tcPr>
            <w:tcW w:w="2425" w:type="dxa"/>
          </w:tcPr>
          <w:p w14:paraId="6BFC51B4"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9D74BC5"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TC, Art. 20(l)</w:t>
            </w:r>
          </w:p>
        </w:tc>
      </w:tr>
      <w:tr w:rsidR="0072252A" w:rsidRPr="00CB1E53" w14:paraId="30D55AE5" w14:textId="77777777" w:rsidTr="00D75D26">
        <w:trPr>
          <w:trHeight w:val="182"/>
        </w:trPr>
        <w:tc>
          <w:tcPr>
            <w:tcW w:w="2425" w:type="dxa"/>
            <w:vMerge w:val="restart"/>
          </w:tcPr>
          <w:p w14:paraId="23A51D3C"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05F3DDF" w14:textId="77777777" w:rsidR="0072252A" w:rsidRPr="00CB1E53" w:rsidRDefault="0072252A" w:rsidP="00FD11D9">
            <w:pPr>
              <w:spacing w:before="20" w:after="20"/>
              <w:jc w:val="both"/>
              <w:rPr>
                <w:rFonts w:ascii="Segoe UI" w:hAnsi="Segoe UI" w:cs="Segoe UI"/>
                <w:sz w:val="18"/>
                <w:szCs w:val="18"/>
              </w:rPr>
            </w:pPr>
          </w:p>
        </w:tc>
      </w:tr>
      <w:tr w:rsidR="0072252A" w:rsidRPr="00CB1E53" w14:paraId="6910DB64" w14:textId="77777777" w:rsidTr="00D75D26">
        <w:trPr>
          <w:trHeight w:val="182"/>
        </w:trPr>
        <w:tc>
          <w:tcPr>
            <w:tcW w:w="2425" w:type="dxa"/>
            <w:vMerge/>
          </w:tcPr>
          <w:p w14:paraId="040CD697" w14:textId="77777777" w:rsidR="0072252A" w:rsidRPr="00CB1E53" w:rsidRDefault="0072252A" w:rsidP="00FD11D9">
            <w:pPr>
              <w:spacing w:before="20" w:after="20"/>
              <w:jc w:val="both"/>
              <w:rPr>
                <w:rFonts w:ascii="Segoe UI" w:hAnsi="Segoe UI" w:cs="Segoe UI"/>
                <w:b/>
                <w:bCs/>
                <w:sz w:val="18"/>
                <w:szCs w:val="18"/>
              </w:rPr>
            </w:pPr>
          </w:p>
        </w:tc>
        <w:tc>
          <w:tcPr>
            <w:tcW w:w="3462" w:type="dxa"/>
            <w:gridSpan w:val="3"/>
          </w:tcPr>
          <w:p w14:paraId="7B9118B2"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Introduced in year: 1998</w:t>
            </w:r>
          </w:p>
        </w:tc>
        <w:tc>
          <w:tcPr>
            <w:tcW w:w="3738" w:type="dxa"/>
            <w:gridSpan w:val="3"/>
          </w:tcPr>
          <w:p w14:paraId="086D6D90"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72252A" w:rsidRPr="00CB1E53" w14:paraId="6426E0F2" w14:textId="77777777" w:rsidTr="00D75D26">
        <w:tc>
          <w:tcPr>
            <w:tcW w:w="2425" w:type="dxa"/>
          </w:tcPr>
          <w:p w14:paraId="46BD805E"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EF26558" w14:textId="7FED17C5" w:rsidR="0072252A"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reported on the tax forms</w:t>
            </w:r>
          </w:p>
        </w:tc>
      </w:tr>
      <w:tr w:rsidR="0072252A" w:rsidRPr="00CB1E53" w14:paraId="483910DA" w14:textId="77777777" w:rsidTr="00D75D26">
        <w:tc>
          <w:tcPr>
            <w:tcW w:w="2425" w:type="dxa"/>
          </w:tcPr>
          <w:p w14:paraId="4290870B"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D9996C0" w14:textId="7DB64876" w:rsidR="0072252A"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72252A" w:rsidRPr="00CB1E53" w14:paraId="25308515" w14:textId="77777777" w:rsidTr="00D75D26">
        <w:tc>
          <w:tcPr>
            <w:tcW w:w="2425" w:type="dxa"/>
          </w:tcPr>
          <w:p w14:paraId="50485183"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16BF206" w14:textId="77777777" w:rsidR="0072252A" w:rsidRPr="00CB1E53" w:rsidRDefault="0072252A" w:rsidP="00FD11D9">
            <w:pPr>
              <w:spacing w:before="20" w:after="20"/>
              <w:jc w:val="both"/>
              <w:rPr>
                <w:rFonts w:ascii="Segoe UI" w:hAnsi="Segoe UI" w:cs="Segoe UI"/>
                <w:sz w:val="18"/>
                <w:szCs w:val="18"/>
              </w:rPr>
            </w:pPr>
          </w:p>
        </w:tc>
      </w:tr>
      <w:tr w:rsidR="0072252A" w:rsidRPr="00CB1E53" w14:paraId="1AD63DD9" w14:textId="77777777" w:rsidTr="00D75D26">
        <w:tc>
          <w:tcPr>
            <w:tcW w:w="2425" w:type="dxa"/>
          </w:tcPr>
          <w:p w14:paraId="516E333F"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BB0DB35" w14:textId="77777777" w:rsidR="0072252A" w:rsidRPr="00CB1E53" w:rsidRDefault="0072252A"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2252A" w:rsidRPr="00CB1E53" w14:paraId="1089A192" w14:textId="77777777" w:rsidTr="00D75D26">
        <w:trPr>
          <w:trHeight w:val="91"/>
        </w:trPr>
        <w:tc>
          <w:tcPr>
            <w:tcW w:w="2425" w:type="dxa"/>
            <w:vMerge w:val="restart"/>
          </w:tcPr>
          <w:p w14:paraId="280F6D26" w14:textId="77777777" w:rsidR="0072252A" w:rsidRPr="00CB1E53" w:rsidRDefault="0072252A" w:rsidP="00FD11D9">
            <w:pPr>
              <w:spacing w:before="20" w:after="20"/>
              <w:jc w:val="both"/>
              <w:rPr>
                <w:rFonts w:ascii="Segoe UI" w:hAnsi="Segoe UI" w:cs="Segoe UI"/>
                <w:b/>
                <w:bCs/>
                <w:sz w:val="18"/>
                <w:szCs w:val="18"/>
              </w:rPr>
            </w:pPr>
          </w:p>
        </w:tc>
        <w:tc>
          <w:tcPr>
            <w:tcW w:w="1385" w:type="dxa"/>
          </w:tcPr>
          <w:p w14:paraId="72DB10EF"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925A1A0"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3B65A42"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5B1555D"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F24C441" w14:textId="77777777" w:rsidR="0072252A" w:rsidRPr="00CB1E53" w:rsidRDefault="0072252A"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212C07" w:rsidRPr="00CB1E53" w14:paraId="21CC11E9" w14:textId="77777777" w:rsidTr="00D75D26">
        <w:trPr>
          <w:trHeight w:val="91"/>
        </w:trPr>
        <w:tc>
          <w:tcPr>
            <w:tcW w:w="2425" w:type="dxa"/>
            <w:vMerge/>
          </w:tcPr>
          <w:p w14:paraId="0B081B1C" w14:textId="77777777" w:rsidR="00212C07" w:rsidRPr="00CB1E53" w:rsidRDefault="00212C07" w:rsidP="00FD11D9">
            <w:pPr>
              <w:spacing w:before="20" w:after="20"/>
              <w:jc w:val="both"/>
              <w:rPr>
                <w:rFonts w:ascii="Segoe UI" w:hAnsi="Segoe UI" w:cs="Segoe UI"/>
                <w:b/>
                <w:bCs/>
                <w:sz w:val="18"/>
                <w:szCs w:val="18"/>
              </w:rPr>
            </w:pPr>
          </w:p>
        </w:tc>
        <w:tc>
          <w:tcPr>
            <w:tcW w:w="1385" w:type="dxa"/>
          </w:tcPr>
          <w:p w14:paraId="5104B612" w14:textId="64D3EB03"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3CC9B385" w14:textId="6187DD92"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20F8CD22" w14:textId="6828A7C3"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03E266B3" w14:textId="21B54FCF"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660" w:type="dxa"/>
          </w:tcPr>
          <w:p w14:paraId="1F8A903C" w14:textId="3D7F0111"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r>
    </w:tbl>
    <w:p w14:paraId="7938C64E" w14:textId="77777777" w:rsidR="0072252A" w:rsidRPr="00CB1E53" w:rsidRDefault="0072252A" w:rsidP="00FD11D9">
      <w:pPr>
        <w:spacing w:before="20" w:after="20" w:line="240" w:lineRule="auto"/>
        <w:jc w:val="both"/>
        <w:rPr>
          <w:rFonts w:ascii="Segoe UI" w:hAnsi="Segoe UI" w:cs="Segoe UI"/>
          <w:sz w:val="18"/>
          <w:szCs w:val="18"/>
        </w:rPr>
      </w:pPr>
    </w:p>
    <w:tbl>
      <w:tblPr>
        <w:tblStyle w:val="TableGrid6"/>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7C2B84" w:rsidRPr="00CB1E53" w14:paraId="14E74EFA" w14:textId="77777777" w:rsidTr="00D75D26">
        <w:tc>
          <w:tcPr>
            <w:tcW w:w="9625" w:type="dxa"/>
            <w:gridSpan w:val="7"/>
            <w:shd w:val="clear" w:color="auto" w:fill="D9D9D9" w:themeFill="background1" w:themeFillShade="D9"/>
          </w:tcPr>
          <w:p w14:paraId="323ACD6B" w14:textId="4C58D0A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22. </w:t>
            </w:r>
            <w:r w:rsidR="00FC171D" w:rsidRPr="00212C07">
              <w:rPr>
                <w:rFonts w:ascii="Segoe UI" w:hAnsi="Segoe UI" w:cs="Segoe UI"/>
                <w:b/>
                <w:bCs/>
                <w:sz w:val="18"/>
                <w:szCs w:val="18"/>
              </w:rPr>
              <w:t>Tax exemption of financial assistance received from the National Olympic and Sports Committee</w:t>
            </w:r>
          </w:p>
        </w:tc>
      </w:tr>
      <w:tr w:rsidR="007C2B84" w:rsidRPr="00CB1E53" w14:paraId="6CACF3AF" w14:textId="77777777" w:rsidTr="00D75D26">
        <w:tc>
          <w:tcPr>
            <w:tcW w:w="2425" w:type="dxa"/>
          </w:tcPr>
          <w:p w14:paraId="08CD7CC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E389B5C"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There is a tax exemption for financial assistance received by the National Olympic and Sports Committee and by national professional sports federations from the International Olympic Committee, professional European and international sports federations, and other international sports organizations.</w:t>
            </w:r>
          </w:p>
        </w:tc>
      </w:tr>
      <w:tr w:rsidR="007C2B84" w:rsidRPr="00CB1E53" w14:paraId="22B822A2" w14:textId="77777777" w:rsidTr="00D75D26">
        <w:tc>
          <w:tcPr>
            <w:tcW w:w="2425" w:type="dxa"/>
          </w:tcPr>
          <w:p w14:paraId="420D638E"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6B1167B"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BIT</w:t>
            </w:r>
          </w:p>
        </w:tc>
      </w:tr>
      <w:tr w:rsidR="007C2B84" w:rsidRPr="00CB1E53" w14:paraId="37873B18" w14:textId="77777777" w:rsidTr="00D75D26">
        <w:tc>
          <w:tcPr>
            <w:tcW w:w="2425" w:type="dxa"/>
          </w:tcPr>
          <w:p w14:paraId="0D15724D"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Beneficiaries</w:t>
            </w:r>
          </w:p>
        </w:tc>
        <w:tc>
          <w:tcPr>
            <w:tcW w:w="7200" w:type="dxa"/>
            <w:gridSpan w:val="6"/>
          </w:tcPr>
          <w:p w14:paraId="0ACEB876"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The National Olympic and Sports Committee and national professional sports federations</w:t>
            </w:r>
          </w:p>
        </w:tc>
      </w:tr>
      <w:tr w:rsidR="007C2B84" w:rsidRPr="00CB1E53" w14:paraId="68E94158" w14:textId="77777777" w:rsidTr="00D75D26">
        <w:tc>
          <w:tcPr>
            <w:tcW w:w="2425" w:type="dxa"/>
          </w:tcPr>
          <w:p w14:paraId="59F2D259"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37C76E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Legislated tax exemption</w:t>
            </w:r>
          </w:p>
        </w:tc>
      </w:tr>
      <w:tr w:rsidR="007C2B84" w:rsidRPr="00CB1E53" w14:paraId="35F6BC63" w14:textId="77777777" w:rsidTr="00D75D26">
        <w:tc>
          <w:tcPr>
            <w:tcW w:w="2425" w:type="dxa"/>
          </w:tcPr>
          <w:p w14:paraId="577CC23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8343589" w14:textId="06496A9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Under the comprehensive income concept, these “financial assistance” transfers/payments constitute income in the hands of the sports organizations receiving the aid transfers. They should attract BIT at the flat rate of 12%. The non-taxation constitutes therefore a tax expenditure.</w:t>
            </w:r>
          </w:p>
        </w:tc>
      </w:tr>
      <w:tr w:rsidR="007C2B84" w:rsidRPr="00CB1E53" w14:paraId="58280E66" w14:textId="77777777" w:rsidTr="00D75D26">
        <w:tc>
          <w:tcPr>
            <w:tcW w:w="2425" w:type="dxa"/>
          </w:tcPr>
          <w:p w14:paraId="55A5DFDB"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789AFBF"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TC, Art. 20(t)</w:t>
            </w:r>
          </w:p>
        </w:tc>
      </w:tr>
      <w:tr w:rsidR="007C2B84" w:rsidRPr="00CB1E53" w14:paraId="03F5DE9E" w14:textId="77777777" w:rsidTr="00D75D26">
        <w:trPr>
          <w:trHeight w:val="182"/>
        </w:trPr>
        <w:tc>
          <w:tcPr>
            <w:tcW w:w="2425" w:type="dxa"/>
            <w:vMerge w:val="restart"/>
          </w:tcPr>
          <w:p w14:paraId="13BD3AF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D8CF73E" w14:textId="77777777" w:rsidR="007C2B84" w:rsidRPr="00CB1E53" w:rsidRDefault="007C2B84" w:rsidP="00FD11D9">
            <w:pPr>
              <w:spacing w:before="20" w:after="20"/>
              <w:jc w:val="both"/>
              <w:rPr>
                <w:rFonts w:ascii="Segoe UI" w:hAnsi="Segoe UI" w:cs="Segoe UI"/>
                <w:sz w:val="18"/>
                <w:szCs w:val="18"/>
              </w:rPr>
            </w:pPr>
          </w:p>
        </w:tc>
      </w:tr>
      <w:tr w:rsidR="007C2B84" w:rsidRPr="00CB1E53" w14:paraId="58C5AAEF" w14:textId="77777777" w:rsidTr="00D75D26">
        <w:trPr>
          <w:trHeight w:val="182"/>
        </w:trPr>
        <w:tc>
          <w:tcPr>
            <w:tcW w:w="2425" w:type="dxa"/>
            <w:vMerge/>
          </w:tcPr>
          <w:p w14:paraId="0A6A05C1" w14:textId="77777777" w:rsidR="007C2B84" w:rsidRPr="00CB1E53" w:rsidRDefault="007C2B84" w:rsidP="00FD11D9">
            <w:pPr>
              <w:spacing w:before="20" w:after="20"/>
              <w:jc w:val="both"/>
              <w:rPr>
                <w:rFonts w:ascii="Segoe UI" w:hAnsi="Segoe UI" w:cs="Segoe UI"/>
                <w:b/>
                <w:bCs/>
                <w:sz w:val="18"/>
                <w:szCs w:val="18"/>
              </w:rPr>
            </w:pPr>
          </w:p>
        </w:tc>
        <w:tc>
          <w:tcPr>
            <w:tcW w:w="3462" w:type="dxa"/>
            <w:gridSpan w:val="3"/>
          </w:tcPr>
          <w:p w14:paraId="206B72FD"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Introduced in year: 2001</w:t>
            </w:r>
          </w:p>
        </w:tc>
        <w:tc>
          <w:tcPr>
            <w:tcW w:w="3738" w:type="dxa"/>
            <w:gridSpan w:val="3"/>
          </w:tcPr>
          <w:p w14:paraId="55271E63"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7C2B84" w:rsidRPr="00CB1E53" w14:paraId="31EC71CE" w14:textId="77777777" w:rsidTr="00D75D26">
        <w:tc>
          <w:tcPr>
            <w:tcW w:w="2425" w:type="dxa"/>
          </w:tcPr>
          <w:p w14:paraId="323B6D0A"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CD2E6C9" w14:textId="45B5DEF8" w:rsidR="007C2B84"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reported on the tax forms</w:t>
            </w:r>
          </w:p>
        </w:tc>
      </w:tr>
      <w:tr w:rsidR="007C2B84" w:rsidRPr="00CB1E53" w14:paraId="71B7B4EB" w14:textId="77777777" w:rsidTr="00D75D26">
        <w:tc>
          <w:tcPr>
            <w:tcW w:w="2425" w:type="dxa"/>
          </w:tcPr>
          <w:p w14:paraId="56D6BBE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6F4A056" w14:textId="426A6634" w:rsidR="007C2B84" w:rsidRPr="00CB1E53" w:rsidRDefault="004F4CE1"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7C2B84" w:rsidRPr="00CB1E53" w14:paraId="0009C813" w14:textId="77777777" w:rsidTr="00D75D26">
        <w:tc>
          <w:tcPr>
            <w:tcW w:w="2425" w:type="dxa"/>
          </w:tcPr>
          <w:p w14:paraId="2FA4859F"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5A6EE1E" w14:textId="77777777" w:rsidR="007C2B84" w:rsidRPr="00CB1E53" w:rsidRDefault="007C2B84" w:rsidP="00FD11D9">
            <w:pPr>
              <w:spacing w:before="20" w:after="20"/>
              <w:jc w:val="both"/>
              <w:rPr>
                <w:rFonts w:ascii="Segoe UI" w:hAnsi="Segoe UI" w:cs="Segoe UI"/>
                <w:sz w:val="18"/>
                <w:szCs w:val="18"/>
              </w:rPr>
            </w:pPr>
          </w:p>
        </w:tc>
      </w:tr>
      <w:tr w:rsidR="007C2B84" w:rsidRPr="00CB1E53" w14:paraId="1C2118E7" w14:textId="77777777" w:rsidTr="00D75D26">
        <w:tc>
          <w:tcPr>
            <w:tcW w:w="2425" w:type="dxa"/>
          </w:tcPr>
          <w:p w14:paraId="124D25D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4B19800" w14:textId="77777777" w:rsidR="007C2B84" w:rsidRPr="00CB1E53" w:rsidRDefault="007C2B84"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7C2B84" w:rsidRPr="00CB1E53" w14:paraId="1EB48736" w14:textId="77777777" w:rsidTr="00D75D26">
        <w:trPr>
          <w:trHeight w:val="91"/>
        </w:trPr>
        <w:tc>
          <w:tcPr>
            <w:tcW w:w="2425" w:type="dxa"/>
            <w:vMerge w:val="restart"/>
          </w:tcPr>
          <w:p w14:paraId="3CC52292" w14:textId="77777777" w:rsidR="007C2B84" w:rsidRPr="00CB1E53" w:rsidRDefault="007C2B84" w:rsidP="00FD11D9">
            <w:pPr>
              <w:spacing w:before="20" w:after="20"/>
              <w:jc w:val="both"/>
              <w:rPr>
                <w:rFonts w:ascii="Segoe UI" w:hAnsi="Segoe UI" w:cs="Segoe UI"/>
                <w:b/>
                <w:bCs/>
                <w:sz w:val="18"/>
                <w:szCs w:val="18"/>
              </w:rPr>
            </w:pPr>
          </w:p>
        </w:tc>
        <w:tc>
          <w:tcPr>
            <w:tcW w:w="1385" w:type="dxa"/>
          </w:tcPr>
          <w:p w14:paraId="71CC0DE8"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C3E7970"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43C596C7"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E362903"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ED00DF6" w14:textId="77777777" w:rsidR="007C2B84" w:rsidRPr="00CB1E53" w:rsidRDefault="007C2B84"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212C07" w:rsidRPr="00CB1E53" w14:paraId="28AA1C26" w14:textId="77777777" w:rsidTr="00D75D26">
        <w:trPr>
          <w:trHeight w:val="91"/>
        </w:trPr>
        <w:tc>
          <w:tcPr>
            <w:tcW w:w="2425" w:type="dxa"/>
            <w:vMerge/>
          </w:tcPr>
          <w:p w14:paraId="0EB3EB3A" w14:textId="77777777" w:rsidR="00212C07" w:rsidRPr="00CB1E53" w:rsidRDefault="00212C07" w:rsidP="00FD11D9">
            <w:pPr>
              <w:spacing w:before="20" w:after="20"/>
              <w:jc w:val="both"/>
              <w:rPr>
                <w:rFonts w:ascii="Segoe UI" w:hAnsi="Segoe UI" w:cs="Segoe UI"/>
                <w:b/>
                <w:bCs/>
                <w:sz w:val="18"/>
                <w:szCs w:val="18"/>
              </w:rPr>
            </w:pPr>
          </w:p>
        </w:tc>
        <w:tc>
          <w:tcPr>
            <w:tcW w:w="1385" w:type="dxa"/>
          </w:tcPr>
          <w:p w14:paraId="2753C3EC" w14:textId="227DA95D"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539002E2" w14:textId="59E8FE10"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gridSpan w:val="2"/>
          </w:tcPr>
          <w:p w14:paraId="56CB833F" w14:textId="50C4263C"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385" w:type="dxa"/>
          </w:tcPr>
          <w:p w14:paraId="5876FE59" w14:textId="4669D4BA"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c>
          <w:tcPr>
            <w:tcW w:w="1660" w:type="dxa"/>
          </w:tcPr>
          <w:p w14:paraId="68087CD6" w14:textId="1D719A5E" w:rsidR="00212C07" w:rsidRPr="00CB1E53" w:rsidRDefault="00212C07" w:rsidP="00FD11D9">
            <w:pPr>
              <w:spacing w:before="20" w:after="20"/>
              <w:jc w:val="both"/>
              <w:rPr>
                <w:rFonts w:ascii="Segoe UI" w:hAnsi="Segoe UI" w:cs="Segoe UI"/>
                <w:sz w:val="18"/>
                <w:szCs w:val="18"/>
              </w:rPr>
            </w:pPr>
            <w:r>
              <w:rPr>
                <w:rFonts w:ascii="Segoe UI" w:hAnsi="Segoe UI" w:cs="Segoe UI"/>
                <w:sz w:val="18"/>
                <w:szCs w:val="18"/>
              </w:rPr>
              <w:t>—</w:t>
            </w:r>
          </w:p>
        </w:tc>
      </w:tr>
    </w:tbl>
    <w:p w14:paraId="3FABA320" w14:textId="77777777" w:rsidR="007C2B84" w:rsidRPr="00CB1E53" w:rsidRDefault="007C2B84" w:rsidP="00FD11D9">
      <w:pPr>
        <w:spacing w:before="20" w:after="20" w:line="240" w:lineRule="auto"/>
        <w:jc w:val="both"/>
        <w:rPr>
          <w:rFonts w:ascii="Segoe UI" w:hAnsi="Segoe UI" w:cs="Segoe UI"/>
          <w:sz w:val="18"/>
          <w:szCs w:val="18"/>
        </w:rPr>
      </w:pPr>
    </w:p>
    <w:p w14:paraId="022A0ED1" w14:textId="369DD712" w:rsidR="00F77F6D" w:rsidRPr="00CB1E53" w:rsidRDefault="007C2B84" w:rsidP="00FD11D9">
      <w:pPr>
        <w:pStyle w:val="Heading2"/>
        <w:spacing w:before="20" w:after="20" w:line="240" w:lineRule="auto"/>
        <w:jc w:val="both"/>
        <w:rPr>
          <w:rFonts w:ascii="Segoe UI" w:hAnsi="Segoe UI" w:cs="Segoe UI"/>
          <w:sz w:val="18"/>
          <w:szCs w:val="18"/>
        </w:rPr>
      </w:pPr>
      <w:r w:rsidRPr="00CB1E53">
        <w:rPr>
          <w:rFonts w:ascii="Segoe UI" w:hAnsi="Segoe UI" w:cs="Segoe UI"/>
          <w:bCs/>
          <w:sz w:val="18"/>
          <w:szCs w:val="18"/>
        </w:rPr>
        <w:br w:type="page"/>
      </w:r>
      <w:bookmarkStart w:id="44" w:name="_Toc99298780"/>
      <w:r w:rsidR="00F77F6D" w:rsidRPr="00CB1E53">
        <w:rPr>
          <w:rFonts w:ascii="Segoe UI" w:hAnsi="Segoe UI" w:cs="Segoe UI"/>
          <w:sz w:val="18"/>
          <w:szCs w:val="18"/>
        </w:rPr>
        <w:lastRenderedPageBreak/>
        <w:t>Appendix 3:</w:t>
      </w:r>
      <w:r w:rsidR="00F77F6D" w:rsidRPr="00CB1E53">
        <w:rPr>
          <w:rFonts w:ascii="Segoe UI" w:hAnsi="Segoe UI" w:cs="Segoe UI"/>
          <w:sz w:val="18"/>
          <w:szCs w:val="18"/>
        </w:rPr>
        <w:tab/>
        <w:t>VAT Tax Expenditures</w:t>
      </w:r>
      <w:r w:rsidR="00C341F0" w:rsidRPr="00CB1E53">
        <w:rPr>
          <w:rFonts w:ascii="Segoe UI" w:hAnsi="Segoe UI" w:cs="Segoe UI"/>
          <w:sz w:val="18"/>
          <w:szCs w:val="18"/>
        </w:rPr>
        <w:t xml:space="preserve"> Summary Sheets</w:t>
      </w:r>
      <w:bookmarkEnd w:id="44"/>
    </w:p>
    <w:p w14:paraId="228725BE"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17F247AA" w14:textId="77777777" w:rsidTr="0024524D">
        <w:tc>
          <w:tcPr>
            <w:tcW w:w="9625" w:type="dxa"/>
            <w:gridSpan w:val="7"/>
            <w:shd w:val="clear" w:color="auto" w:fill="D9D9D9" w:themeFill="background1" w:themeFillShade="D9"/>
          </w:tcPr>
          <w:p w14:paraId="35BFBE3F" w14:textId="7B61F286"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 Reduced VAT rate applies to services and food supplied by hotels and restaurants</w:t>
            </w:r>
          </w:p>
        </w:tc>
      </w:tr>
      <w:tr w:rsidR="00F77F6D" w:rsidRPr="00CB1E53" w14:paraId="4F3636B3" w14:textId="77777777" w:rsidTr="0024524D">
        <w:tc>
          <w:tcPr>
            <w:tcW w:w="2425" w:type="dxa"/>
          </w:tcPr>
          <w:p w14:paraId="44B3F0E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62D342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applies to services and food supplied by hotels and restaurants.</w:t>
            </w:r>
          </w:p>
        </w:tc>
      </w:tr>
      <w:tr w:rsidR="00F77F6D" w:rsidRPr="00CB1E53" w14:paraId="5FE737CB" w14:textId="77777777" w:rsidTr="0024524D">
        <w:tc>
          <w:tcPr>
            <w:tcW w:w="2425" w:type="dxa"/>
          </w:tcPr>
          <w:p w14:paraId="6DDD40E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C0FA98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D44DA2D" w14:textId="77777777" w:rsidTr="0024524D">
        <w:tc>
          <w:tcPr>
            <w:tcW w:w="2425" w:type="dxa"/>
          </w:tcPr>
          <w:p w14:paraId="445456D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29445C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Households and consumers purchasing hotel and restaurant food</w:t>
            </w:r>
          </w:p>
        </w:tc>
      </w:tr>
      <w:tr w:rsidR="00F77F6D" w:rsidRPr="00CB1E53" w14:paraId="3EE390C3" w14:textId="77777777" w:rsidTr="0024524D">
        <w:tc>
          <w:tcPr>
            <w:tcW w:w="2425" w:type="dxa"/>
          </w:tcPr>
          <w:p w14:paraId="1572BAE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D78FF7D" w14:textId="77777777" w:rsidR="00F77F6D" w:rsidRPr="00CB1E53" w:rsidRDefault="00F77F6D"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 xml:space="preserve">Reduced VAT rates changed frequently as follows:  </w:t>
            </w:r>
          </w:p>
          <w:p w14:paraId="55EE5ADD" w14:textId="77777777" w:rsidR="00F77F6D" w:rsidRPr="00CB1E53" w:rsidRDefault="00F77F6D" w:rsidP="00FD11D9">
            <w:pPr>
              <w:pStyle w:val="ListParagraph"/>
              <w:numPr>
                <w:ilvl w:val="0"/>
                <w:numId w:val="12"/>
              </w:numPr>
              <w:autoSpaceDE w:val="0"/>
              <w:autoSpaceDN w:val="0"/>
              <w:adjustRightInd w:val="0"/>
              <w:snapToGrid/>
              <w:spacing w:before="20" w:after="20"/>
              <w:contextualSpacing w:val="0"/>
              <w:jc w:val="both"/>
              <w:rPr>
                <w:rFonts w:ascii="Segoe UI" w:hAnsi="Segoe UI" w:cs="Segoe UI"/>
                <w:sz w:val="18"/>
                <w:szCs w:val="18"/>
              </w:rPr>
            </w:pPr>
            <w:r w:rsidRPr="00CB1E53">
              <w:rPr>
                <w:rFonts w:ascii="Segoe UI" w:hAnsi="Segoe UI" w:cs="Segoe UI"/>
                <w:sz w:val="18"/>
                <w:szCs w:val="18"/>
              </w:rPr>
              <w:t>20% until September 2018</w:t>
            </w:r>
          </w:p>
          <w:p w14:paraId="3420C540" w14:textId="77777777" w:rsidR="00F77F6D" w:rsidRPr="00CB1E53" w:rsidRDefault="00F77F6D" w:rsidP="00FD11D9">
            <w:pPr>
              <w:pStyle w:val="ListParagraph"/>
              <w:numPr>
                <w:ilvl w:val="0"/>
                <w:numId w:val="12"/>
              </w:numPr>
              <w:autoSpaceDE w:val="0"/>
              <w:autoSpaceDN w:val="0"/>
              <w:adjustRightInd w:val="0"/>
              <w:snapToGrid/>
              <w:spacing w:before="20" w:after="20"/>
              <w:contextualSpacing w:val="0"/>
              <w:jc w:val="both"/>
              <w:rPr>
                <w:rFonts w:ascii="Segoe UI" w:hAnsi="Segoe UI" w:cs="Segoe UI"/>
                <w:sz w:val="18"/>
                <w:szCs w:val="18"/>
              </w:rPr>
            </w:pPr>
            <w:r w:rsidRPr="00CB1E53">
              <w:rPr>
                <w:rFonts w:ascii="Segoe UI" w:hAnsi="Segoe UI" w:cs="Segoe UI"/>
                <w:sz w:val="18"/>
                <w:szCs w:val="18"/>
              </w:rPr>
              <w:t>10% from October 2018 to August 2019</w:t>
            </w:r>
          </w:p>
          <w:p w14:paraId="683BF07B" w14:textId="77777777" w:rsidR="00F77F6D" w:rsidRPr="00CB1E53" w:rsidRDefault="00F77F6D" w:rsidP="00FD11D9">
            <w:pPr>
              <w:pStyle w:val="ListParagraph"/>
              <w:numPr>
                <w:ilvl w:val="0"/>
                <w:numId w:val="12"/>
              </w:numPr>
              <w:autoSpaceDE w:val="0"/>
              <w:autoSpaceDN w:val="0"/>
              <w:adjustRightInd w:val="0"/>
              <w:snapToGrid/>
              <w:spacing w:before="20" w:after="20"/>
              <w:contextualSpacing w:val="0"/>
              <w:jc w:val="both"/>
              <w:rPr>
                <w:rFonts w:ascii="Segoe UI" w:hAnsi="Segoe UI" w:cs="Segoe UI"/>
                <w:sz w:val="18"/>
                <w:szCs w:val="18"/>
              </w:rPr>
            </w:pPr>
            <w:r w:rsidRPr="00CB1E53">
              <w:rPr>
                <w:rFonts w:ascii="Segoe UI" w:hAnsi="Segoe UI" w:cs="Segoe UI"/>
                <w:sz w:val="18"/>
                <w:szCs w:val="18"/>
              </w:rPr>
              <w:t>20% from September 2019 to April 2020</w:t>
            </w:r>
          </w:p>
          <w:p w14:paraId="5E857C6B" w14:textId="77777777" w:rsidR="00F77F6D" w:rsidRPr="00CB1E53" w:rsidRDefault="00F77F6D" w:rsidP="00FD11D9">
            <w:pPr>
              <w:pStyle w:val="ListParagraph"/>
              <w:numPr>
                <w:ilvl w:val="0"/>
                <w:numId w:val="12"/>
              </w:numPr>
              <w:autoSpaceDE w:val="0"/>
              <w:autoSpaceDN w:val="0"/>
              <w:adjustRightInd w:val="0"/>
              <w:snapToGrid/>
              <w:spacing w:before="20" w:after="20"/>
              <w:contextualSpacing w:val="0"/>
              <w:jc w:val="both"/>
              <w:rPr>
                <w:rFonts w:ascii="Segoe UI" w:hAnsi="Segoe UI" w:cs="Segoe UI"/>
                <w:sz w:val="18"/>
                <w:szCs w:val="18"/>
              </w:rPr>
            </w:pPr>
            <w:r w:rsidRPr="00CB1E53">
              <w:rPr>
                <w:rFonts w:ascii="Segoe UI" w:hAnsi="Segoe UI" w:cs="Segoe UI"/>
                <w:sz w:val="18"/>
                <w:szCs w:val="18"/>
              </w:rPr>
              <w:t>15% from May 2020 to December 2020</w:t>
            </w:r>
          </w:p>
          <w:p w14:paraId="4202F7A0" w14:textId="77777777" w:rsidR="00F77F6D" w:rsidRPr="00CB1E53" w:rsidRDefault="00F77F6D" w:rsidP="00FD11D9">
            <w:pPr>
              <w:pStyle w:val="ListParagraph"/>
              <w:numPr>
                <w:ilvl w:val="0"/>
                <w:numId w:val="12"/>
              </w:numPr>
              <w:autoSpaceDE w:val="0"/>
              <w:autoSpaceDN w:val="0"/>
              <w:adjustRightInd w:val="0"/>
              <w:snapToGrid/>
              <w:spacing w:before="20" w:after="20"/>
              <w:contextualSpacing w:val="0"/>
              <w:jc w:val="both"/>
              <w:rPr>
                <w:rFonts w:ascii="Segoe UI" w:hAnsi="Segoe UI" w:cs="Segoe UI"/>
                <w:sz w:val="18"/>
                <w:szCs w:val="18"/>
              </w:rPr>
            </w:pPr>
            <w:r w:rsidRPr="00CB1E53">
              <w:rPr>
                <w:rFonts w:ascii="Segoe UI" w:hAnsi="Segoe UI" w:cs="Segoe UI"/>
                <w:sz w:val="18"/>
                <w:szCs w:val="18"/>
              </w:rPr>
              <w:t>12% from January 2021 to September 2021</w:t>
            </w:r>
          </w:p>
          <w:p w14:paraId="06E29E67" w14:textId="3DCC70C8" w:rsidR="00F77F6D" w:rsidRPr="00CB1E53" w:rsidRDefault="00F77F6D" w:rsidP="00FD11D9">
            <w:pPr>
              <w:pStyle w:val="ListParagraph"/>
              <w:numPr>
                <w:ilvl w:val="0"/>
                <w:numId w:val="12"/>
              </w:numPr>
              <w:snapToGrid/>
              <w:spacing w:before="20" w:after="20"/>
              <w:contextualSpacing w:val="0"/>
              <w:jc w:val="both"/>
              <w:rPr>
                <w:rFonts w:ascii="Segoe UI" w:hAnsi="Segoe UI" w:cs="Segoe UI"/>
                <w:sz w:val="18"/>
                <w:szCs w:val="18"/>
              </w:rPr>
            </w:pPr>
            <w:r w:rsidRPr="00CB1E53">
              <w:rPr>
                <w:rFonts w:ascii="Segoe UI" w:hAnsi="Segoe UI" w:cs="Segoe UI"/>
                <w:sz w:val="18"/>
                <w:szCs w:val="18"/>
              </w:rPr>
              <w:t>6% starting October 2021</w:t>
            </w:r>
            <w:r w:rsidR="00193488">
              <w:rPr>
                <w:rFonts w:ascii="Segoe UI" w:hAnsi="Segoe UI" w:cs="Segoe UI"/>
                <w:sz w:val="18"/>
                <w:szCs w:val="18"/>
              </w:rPr>
              <w:t xml:space="preserve"> </w:t>
            </w:r>
            <w:r w:rsidR="00193488" w:rsidRPr="00193488">
              <w:rPr>
                <w:rFonts w:ascii="Segoe UI" w:hAnsi="Segoe UI" w:cs="Segoe UI"/>
                <w:sz w:val="18"/>
                <w:szCs w:val="18"/>
              </w:rPr>
              <w:t>(during the state of emergency and/or the state of emergency in public health)</w:t>
            </w:r>
          </w:p>
        </w:tc>
      </w:tr>
      <w:tr w:rsidR="00F77F6D" w:rsidRPr="00CB1E53" w14:paraId="3E9DB55D" w14:textId="77777777" w:rsidTr="0024524D">
        <w:tc>
          <w:tcPr>
            <w:tcW w:w="2425" w:type="dxa"/>
          </w:tcPr>
          <w:p w14:paraId="3B355D4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9488833" w14:textId="5A38055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a modern VAT, the benchmark tax regime provides that all final consumption of goods and services to final consumers should be </w:t>
            </w:r>
            <w:r w:rsidR="00944DB8">
              <w:rPr>
                <w:rFonts w:ascii="Segoe UI" w:hAnsi="Segoe UI" w:cs="Segoe UI"/>
                <w:sz w:val="18"/>
                <w:szCs w:val="18"/>
              </w:rPr>
              <w:t xml:space="preserve">taxed </w:t>
            </w:r>
            <w:r w:rsidRPr="00CB1E53">
              <w:rPr>
                <w:rFonts w:ascii="Segoe UI" w:hAnsi="Segoe UI" w:cs="Segoe UI"/>
                <w:sz w:val="18"/>
                <w:szCs w:val="18"/>
              </w:rPr>
              <w:t>at the standard VAT rate. A reduced rate is therefore a TE.</w:t>
            </w:r>
          </w:p>
        </w:tc>
      </w:tr>
      <w:tr w:rsidR="00F77F6D" w:rsidRPr="00CB1E53" w14:paraId="45C146D4" w14:textId="77777777" w:rsidTr="0024524D">
        <w:tc>
          <w:tcPr>
            <w:tcW w:w="2425" w:type="dxa"/>
          </w:tcPr>
          <w:p w14:paraId="43438A6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1214E3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96 of TC</w:t>
            </w:r>
          </w:p>
        </w:tc>
      </w:tr>
      <w:tr w:rsidR="00F77F6D" w:rsidRPr="00CB1E53" w14:paraId="3C3E0269" w14:textId="77777777" w:rsidTr="0024524D">
        <w:trPr>
          <w:trHeight w:val="182"/>
        </w:trPr>
        <w:tc>
          <w:tcPr>
            <w:tcW w:w="2425" w:type="dxa"/>
            <w:vMerge w:val="restart"/>
          </w:tcPr>
          <w:p w14:paraId="22C7001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75C553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to the hotel and restaurant sector</w:t>
            </w:r>
          </w:p>
        </w:tc>
      </w:tr>
      <w:tr w:rsidR="00F77F6D" w:rsidRPr="00CB1E53" w14:paraId="41B49F60" w14:textId="77777777" w:rsidTr="0024524D">
        <w:trPr>
          <w:trHeight w:val="182"/>
        </w:trPr>
        <w:tc>
          <w:tcPr>
            <w:tcW w:w="2425" w:type="dxa"/>
            <w:vMerge/>
          </w:tcPr>
          <w:p w14:paraId="31EF5169"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512E5C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with effect 1 Jan 2021:</w:t>
            </w:r>
          </w:p>
        </w:tc>
        <w:tc>
          <w:tcPr>
            <w:tcW w:w="3738" w:type="dxa"/>
            <w:gridSpan w:val="3"/>
          </w:tcPr>
          <w:p w14:paraId="010541A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7F5CA700" w14:textId="77777777" w:rsidTr="0024524D">
        <w:tc>
          <w:tcPr>
            <w:tcW w:w="2425" w:type="dxa"/>
          </w:tcPr>
          <w:p w14:paraId="4952FB7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F8513F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4FBAE736" w14:textId="77777777" w:rsidTr="0024524D">
        <w:tc>
          <w:tcPr>
            <w:tcW w:w="2425" w:type="dxa"/>
          </w:tcPr>
          <w:p w14:paraId="207F9FE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B25AF1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124E2D47" w14:textId="77777777" w:rsidTr="0024524D">
        <w:tc>
          <w:tcPr>
            <w:tcW w:w="2425" w:type="dxa"/>
          </w:tcPr>
          <w:p w14:paraId="5044E4F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E11F76E"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7582E8B" w14:textId="77777777" w:rsidTr="0024524D">
        <w:tc>
          <w:tcPr>
            <w:tcW w:w="2425" w:type="dxa"/>
          </w:tcPr>
          <w:p w14:paraId="5C2BA91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2022528" w14:textId="15B7053B"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3FAD1A9E" w14:textId="77777777" w:rsidTr="0024524D">
        <w:trPr>
          <w:trHeight w:val="91"/>
        </w:trPr>
        <w:tc>
          <w:tcPr>
            <w:tcW w:w="2425" w:type="dxa"/>
            <w:vMerge w:val="restart"/>
          </w:tcPr>
          <w:p w14:paraId="0CFE817C"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ABA369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4CDB9D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360402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E8A1585" w14:textId="2A72DAFB"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42688B19" w14:textId="5B969BDE"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545A205D" w14:textId="77777777" w:rsidTr="009130EE">
        <w:trPr>
          <w:trHeight w:val="91"/>
        </w:trPr>
        <w:tc>
          <w:tcPr>
            <w:tcW w:w="2425" w:type="dxa"/>
            <w:vMerge/>
          </w:tcPr>
          <w:p w14:paraId="6EE305BF"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1660753D" w14:textId="067DF190"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27.3</w:t>
            </w:r>
          </w:p>
        </w:tc>
        <w:tc>
          <w:tcPr>
            <w:tcW w:w="1385" w:type="dxa"/>
            <w:shd w:val="clear" w:color="auto" w:fill="D9D9D9" w:themeFill="background1" w:themeFillShade="D9"/>
          </w:tcPr>
          <w:p w14:paraId="0D7E5A96" w14:textId="00C18B3D"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79.7</w:t>
            </w:r>
          </w:p>
        </w:tc>
        <w:tc>
          <w:tcPr>
            <w:tcW w:w="1385" w:type="dxa"/>
            <w:gridSpan w:val="2"/>
            <w:shd w:val="clear" w:color="auto" w:fill="D9D9D9" w:themeFill="background1" w:themeFillShade="D9"/>
          </w:tcPr>
          <w:p w14:paraId="4365F386" w14:textId="77777777"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38.7M</w:t>
            </w:r>
          </w:p>
        </w:tc>
        <w:tc>
          <w:tcPr>
            <w:tcW w:w="1385" w:type="dxa"/>
            <w:shd w:val="clear" w:color="auto" w:fill="D9D9D9" w:themeFill="background1" w:themeFillShade="D9"/>
          </w:tcPr>
          <w:p w14:paraId="393C3D03" w14:textId="11473901"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134.6</w:t>
            </w:r>
          </w:p>
        </w:tc>
        <w:tc>
          <w:tcPr>
            <w:tcW w:w="1660" w:type="dxa"/>
            <w:shd w:val="clear" w:color="auto" w:fill="D9D9D9" w:themeFill="background1" w:themeFillShade="D9"/>
          </w:tcPr>
          <w:p w14:paraId="56FD740E" w14:textId="0F98B909"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218.4</w:t>
            </w:r>
          </w:p>
        </w:tc>
      </w:tr>
    </w:tbl>
    <w:p w14:paraId="15F8A42F"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749A48B8" w14:textId="77777777" w:rsidTr="0024524D">
        <w:tc>
          <w:tcPr>
            <w:tcW w:w="9625" w:type="dxa"/>
            <w:gridSpan w:val="7"/>
            <w:shd w:val="clear" w:color="auto" w:fill="D9D9D9" w:themeFill="background1" w:themeFillShade="D9"/>
          </w:tcPr>
          <w:p w14:paraId="020428B5" w14:textId="1E40D34E"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 </w:t>
            </w:r>
            <w:r w:rsidR="006C2BDF" w:rsidRPr="00CB1E53">
              <w:rPr>
                <w:rFonts w:ascii="Segoe UI" w:hAnsi="Segoe UI" w:cs="Segoe UI"/>
                <w:b/>
                <w:bCs/>
                <w:sz w:val="18"/>
                <w:szCs w:val="18"/>
              </w:rPr>
              <w:t>Reduced rate applies to supply of bread and bakery products, milk</w:t>
            </w:r>
            <w:r w:rsidR="00416A8A" w:rsidRPr="00CB1E53">
              <w:rPr>
                <w:rFonts w:ascii="Segoe UI" w:hAnsi="Segoe UI" w:cs="Segoe UI"/>
                <w:b/>
                <w:bCs/>
                <w:sz w:val="18"/>
                <w:szCs w:val="18"/>
              </w:rPr>
              <w:t>,</w:t>
            </w:r>
            <w:r w:rsidR="006C2BDF" w:rsidRPr="00CB1E53">
              <w:rPr>
                <w:rFonts w:ascii="Segoe UI" w:hAnsi="Segoe UI" w:cs="Segoe UI"/>
                <w:b/>
                <w:bCs/>
                <w:sz w:val="18"/>
                <w:szCs w:val="18"/>
              </w:rPr>
              <w:t xml:space="preserve"> and dairy products</w:t>
            </w:r>
          </w:p>
        </w:tc>
      </w:tr>
      <w:tr w:rsidR="00F77F6D" w:rsidRPr="00CB1E53" w14:paraId="7EE931F6" w14:textId="77777777" w:rsidTr="0024524D">
        <w:tc>
          <w:tcPr>
            <w:tcW w:w="2425" w:type="dxa"/>
          </w:tcPr>
          <w:p w14:paraId="5DE4B80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A75A93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applies for the supply of bread and bakery products, milk and dairy products containing less than 40% of fat supplied in the territory of Moldova</w:t>
            </w:r>
          </w:p>
        </w:tc>
      </w:tr>
      <w:tr w:rsidR="00F77F6D" w:rsidRPr="00CB1E53" w14:paraId="148CA103" w14:textId="77777777" w:rsidTr="0024524D">
        <w:tc>
          <w:tcPr>
            <w:tcW w:w="2425" w:type="dxa"/>
          </w:tcPr>
          <w:p w14:paraId="532EB72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2355F0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2FCBD5D2" w14:textId="77777777" w:rsidTr="0024524D">
        <w:tc>
          <w:tcPr>
            <w:tcW w:w="2425" w:type="dxa"/>
          </w:tcPr>
          <w:p w14:paraId="7209AC6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827F41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households consuming this category of reduced VAT supply</w:t>
            </w:r>
          </w:p>
        </w:tc>
      </w:tr>
      <w:tr w:rsidR="00F77F6D" w:rsidRPr="00CB1E53" w14:paraId="4F5E1F18" w14:textId="77777777" w:rsidTr="0024524D">
        <w:tc>
          <w:tcPr>
            <w:tcW w:w="2425" w:type="dxa"/>
          </w:tcPr>
          <w:p w14:paraId="39D6AD6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BC8547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2604938F" w14:textId="77777777" w:rsidTr="0024524D">
        <w:tc>
          <w:tcPr>
            <w:tcW w:w="2425" w:type="dxa"/>
          </w:tcPr>
          <w:p w14:paraId="68DBB3E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F91C37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47804E73" w14:textId="77777777" w:rsidTr="0024524D">
        <w:tc>
          <w:tcPr>
            <w:tcW w:w="2425" w:type="dxa"/>
          </w:tcPr>
          <w:p w14:paraId="189D9AE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14D8F5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96 of TC</w:t>
            </w:r>
          </w:p>
        </w:tc>
      </w:tr>
      <w:tr w:rsidR="00F77F6D" w:rsidRPr="00CB1E53" w14:paraId="1923DBCF" w14:textId="77777777" w:rsidTr="0024524D">
        <w:trPr>
          <w:trHeight w:val="182"/>
        </w:trPr>
        <w:tc>
          <w:tcPr>
            <w:tcW w:w="2425" w:type="dxa"/>
            <w:vMerge w:val="restart"/>
          </w:tcPr>
          <w:p w14:paraId="204E6FD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C2456D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to lower-income households by reducing expenditure on a basket of basic food items.</w:t>
            </w:r>
          </w:p>
        </w:tc>
      </w:tr>
      <w:tr w:rsidR="00F77F6D" w:rsidRPr="00CB1E53" w14:paraId="4BD84387" w14:textId="77777777" w:rsidTr="0024524D">
        <w:trPr>
          <w:trHeight w:val="182"/>
        </w:trPr>
        <w:tc>
          <w:tcPr>
            <w:tcW w:w="2425" w:type="dxa"/>
            <w:vMerge/>
          </w:tcPr>
          <w:p w14:paraId="0FB4511F"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5308CF93" w14:textId="12FA3DD3" w:rsidR="00193488" w:rsidRPr="00193488"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Introduced in year: </w:t>
            </w:r>
            <w:r w:rsidR="00193488">
              <w:rPr>
                <w:rFonts w:ascii="Segoe UI" w:hAnsi="Segoe UI" w:cs="Segoe UI"/>
                <w:sz w:val="18"/>
                <w:szCs w:val="18"/>
              </w:rPr>
              <w:t>200</w:t>
            </w:r>
            <w:r w:rsidR="00193488" w:rsidRPr="00193488">
              <w:rPr>
                <w:rFonts w:ascii="Segoe UI" w:hAnsi="Segoe UI" w:cs="Segoe UI"/>
                <w:sz w:val="18"/>
                <w:szCs w:val="18"/>
              </w:rPr>
              <w:t>1 (initial wording) - for bread and bakery products, for milk and dairy products, delivered on the territory of the Republic of Moldova;</w:t>
            </w:r>
          </w:p>
          <w:p w14:paraId="1398B93A" w14:textId="3BE6755B" w:rsidR="00F77F6D" w:rsidRPr="00CB1E53" w:rsidRDefault="00193488" w:rsidP="00FD11D9">
            <w:pPr>
              <w:spacing w:before="20" w:after="20"/>
              <w:jc w:val="both"/>
              <w:rPr>
                <w:rFonts w:ascii="Segoe UI" w:hAnsi="Segoe UI" w:cs="Segoe UI"/>
                <w:sz w:val="18"/>
                <w:szCs w:val="18"/>
              </w:rPr>
            </w:pPr>
            <w:r w:rsidRPr="00193488">
              <w:rPr>
                <w:rFonts w:ascii="Segoe UI" w:hAnsi="Segoe UI" w:cs="Segoe UI"/>
                <w:sz w:val="18"/>
                <w:szCs w:val="18"/>
                <w:lang w:val="ro-RO"/>
              </w:rPr>
              <w:t xml:space="preserve">2020 (current wording)  - for bread and bakery products (190120000, 190540, 190590300, 190590600, 190590900), for milk and dairy products (0401, 0402, 0403, 0405, 040610300 and 040610500 - with a fat content not exceeding 40% by </w:t>
            </w:r>
            <w:r w:rsidRPr="00193488">
              <w:rPr>
                <w:rFonts w:ascii="Segoe UI" w:hAnsi="Segoe UI" w:cs="Segoe UI"/>
                <w:sz w:val="18"/>
                <w:szCs w:val="18"/>
                <w:lang w:val="ro-RO"/>
              </w:rPr>
              <w:lastRenderedPageBreak/>
              <w:t>weight), delivered on the territory of the Republic of Moldova, except for the food products for children which are exempt from VAT in accordance with Article 103 para. (1) p. (2);</w:t>
            </w:r>
          </w:p>
        </w:tc>
        <w:tc>
          <w:tcPr>
            <w:tcW w:w="3738" w:type="dxa"/>
            <w:gridSpan w:val="3"/>
          </w:tcPr>
          <w:p w14:paraId="6506AAE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lastRenderedPageBreak/>
              <w:t>Expiry date:</w:t>
            </w:r>
          </w:p>
        </w:tc>
      </w:tr>
      <w:tr w:rsidR="00F77F6D" w:rsidRPr="00CB1E53" w14:paraId="5BC22B9A" w14:textId="77777777" w:rsidTr="0024524D">
        <w:tc>
          <w:tcPr>
            <w:tcW w:w="2425" w:type="dxa"/>
          </w:tcPr>
          <w:p w14:paraId="42A36E6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Source of Data</w:t>
            </w:r>
          </w:p>
        </w:tc>
        <w:tc>
          <w:tcPr>
            <w:tcW w:w="7200" w:type="dxa"/>
            <w:gridSpan w:val="6"/>
          </w:tcPr>
          <w:p w14:paraId="12D04A6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6511B00C" w14:textId="77777777" w:rsidTr="0024524D">
        <w:tc>
          <w:tcPr>
            <w:tcW w:w="2425" w:type="dxa"/>
          </w:tcPr>
          <w:p w14:paraId="430F8DE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6C3EAC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55C0D2D5" w14:textId="77777777" w:rsidTr="0024524D">
        <w:tc>
          <w:tcPr>
            <w:tcW w:w="2425" w:type="dxa"/>
          </w:tcPr>
          <w:p w14:paraId="729BB69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AB7BC54"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686FE34" w14:textId="77777777" w:rsidTr="0024524D">
        <w:tc>
          <w:tcPr>
            <w:tcW w:w="2425" w:type="dxa"/>
          </w:tcPr>
          <w:p w14:paraId="616519E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EA0B685" w14:textId="0D528F42"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171594E8" w14:textId="77777777" w:rsidTr="0024524D">
        <w:trPr>
          <w:trHeight w:val="91"/>
        </w:trPr>
        <w:tc>
          <w:tcPr>
            <w:tcW w:w="2425" w:type="dxa"/>
            <w:vMerge w:val="restart"/>
          </w:tcPr>
          <w:p w14:paraId="33D314B1"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43CD914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04A6B5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204C4B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BFA9D36" w14:textId="41A9A4A2"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86DCB1B" w14:textId="58BA3B89"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1FF87911" w14:textId="77777777" w:rsidTr="009130EE">
        <w:trPr>
          <w:trHeight w:val="91"/>
        </w:trPr>
        <w:tc>
          <w:tcPr>
            <w:tcW w:w="2425" w:type="dxa"/>
            <w:vMerge/>
          </w:tcPr>
          <w:p w14:paraId="31FE4529"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02B012EC" w14:textId="67D17C88"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258.1</w:t>
            </w:r>
          </w:p>
        </w:tc>
        <w:tc>
          <w:tcPr>
            <w:tcW w:w="1385" w:type="dxa"/>
            <w:shd w:val="clear" w:color="auto" w:fill="D9D9D9" w:themeFill="background1" w:themeFillShade="D9"/>
          </w:tcPr>
          <w:p w14:paraId="37D29B79" w14:textId="40FFFE52"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282.8</w:t>
            </w:r>
          </w:p>
        </w:tc>
        <w:tc>
          <w:tcPr>
            <w:tcW w:w="1385" w:type="dxa"/>
            <w:gridSpan w:val="2"/>
            <w:shd w:val="clear" w:color="auto" w:fill="D9D9D9" w:themeFill="background1" w:themeFillShade="D9"/>
          </w:tcPr>
          <w:p w14:paraId="25A347D7" w14:textId="37C470CE"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275.0</w:t>
            </w:r>
          </w:p>
        </w:tc>
        <w:tc>
          <w:tcPr>
            <w:tcW w:w="1385" w:type="dxa"/>
            <w:shd w:val="clear" w:color="auto" w:fill="D9D9D9" w:themeFill="background1" w:themeFillShade="D9"/>
          </w:tcPr>
          <w:p w14:paraId="0407D1DC" w14:textId="5AA964E0"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335.0</w:t>
            </w:r>
          </w:p>
        </w:tc>
        <w:tc>
          <w:tcPr>
            <w:tcW w:w="1660" w:type="dxa"/>
            <w:shd w:val="clear" w:color="auto" w:fill="D9D9D9" w:themeFill="background1" w:themeFillShade="D9"/>
          </w:tcPr>
          <w:p w14:paraId="3B0A94BA" w14:textId="0AE8A557"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369.1</w:t>
            </w:r>
          </w:p>
        </w:tc>
      </w:tr>
    </w:tbl>
    <w:p w14:paraId="1A493E52"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DD72504" w14:textId="77777777" w:rsidTr="00782539">
        <w:tc>
          <w:tcPr>
            <w:tcW w:w="9625" w:type="dxa"/>
            <w:gridSpan w:val="7"/>
            <w:shd w:val="clear" w:color="auto" w:fill="D9D9D9" w:themeFill="background1" w:themeFillShade="D9"/>
          </w:tcPr>
          <w:p w14:paraId="22428AE5" w14:textId="79F941F8" w:rsidR="00F77F6D" w:rsidRPr="00CB1E53" w:rsidRDefault="00944DB8" w:rsidP="00FD11D9">
            <w:pPr>
              <w:spacing w:before="20" w:after="20"/>
              <w:jc w:val="both"/>
              <w:rPr>
                <w:rFonts w:ascii="Segoe UI" w:hAnsi="Segoe UI" w:cs="Segoe UI"/>
                <w:b/>
                <w:bCs/>
                <w:sz w:val="18"/>
                <w:szCs w:val="18"/>
              </w:rPr>
            </w:pPr>
            <w:r>
              <w:rPr>
                <w:rFonts w:ascii="Segoe UI" w:hAnsi="Segoe UI" w:cs="Segoe UI"/>
                <w:b/>
                <w:bCs/>
                <w:sz w:val="18"/>
                <w:szCs w:val="18"/>
              </w:rPr>
              <w:t xml:space="preserve">3. </w:t>
            </w:r>
            <w:r w:rsidR="00F77F6D" w:rsidRPr="00CB1E53">
              <w:rPr>
                <w:rFonts w:ascii="Segoe UI" w:hAnsi="Segoe UI" w:cs="Segoe UI"/>
                <w:b/>
                <w:bCs/>
                <w:sz w:val="18"/>
                <w:szCs w:val="18"/>
              </w:rPr>
              <w:t xml:space="preserve">Reduced </w:t>
            </w:r>
            <w:r w:rsidR="006C2BDF" w:rsidRPr="00CB1E53">
              <w:rPr>
                <w:rFonts w:ascii="Segoe UI" w:hAnsi="Segoe UI" w:cs="Segoe UI"/>
                <w:b/>
                <w:bCs/>
                <w:sz w:val="18"/>
                <w:szCs w:val="18"/>
              </w:rPr>
              <w:t>r</w:t>
            </w:r>
            <w:r w:rsidR="00F77F6D" w:rsidRPr="00CB1E53">
              <w:rPr>
                <w:rFonts w:ascii="Segoe UI" w:hAnsi="Segoe UI" w:cs="Segoe UI"/>
                <w:b/>
                <w:bCs/>
                <w:sz w:val="18"/>
                <w:szCs w:val="18"/>
              </w:rPr>
              <w:t xml:space="preserve">ate </w:t>
            </w:r>
            <w:r w:rsidR="006C2BDF" w:rsidRPr="00CB1E53">
              <w:rPr>
                <w:rFonts w:ascii="Segoe UI" w:hAnsi="Segoe UI" w:cs="Segoe UI"/>
                <w:b/>
                <w:bCs/>
                <w:sz w:val="18"/>
                <w:szCs w:val="18"/>
              </w:rPr>
              <w:t>applies to pharmaceuticals</w:t>
            </w:r>
          </w:p>
        </w:tc>
      </w:tr>
      <w:tr w:rsidR="00F77F6D" w:rsidRPr="00CB1E53" w14:paraId="2BF8B08E" w14:textId="77777777" w:rsidTr="00782539">
        <w:tc>
          <w:tcPr>
            <w:tcW w:w="2425" w:type="dxa"/>
          </w:tcPr>
          <w:p w14:paraId="71B402A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1D60E8B" w14:textId="77777777" w:rsidR="00F77F6D" w:rsidRPr="00CB1E53" w:rsidRDefault="00F77F6D"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Reduced VAT rate applies for the supply of prescription drugs prepared in drugstores, containing authorized ingredients (pharmaceutical substances), as well as approved imported drugs supplied in the territory of Moldova.</w:t>
            </w:r>
          </w:p>
        </w:tc>
      </w:tr>
      <w:tr w:rsidR="00F77F6D" w:rsidRPr="00CB1E53" w14:paraId="7F9B8BD2" w14:textId="77777777" w:rsidTr="00782539">
        <w:tc>
          <w:tcPr>
            <w:tcW w:w="2425" w:type="dxa"/>
          </w:tcPr>
          <w:p w14:paraId="7E9A0B0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6A6FF4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238185D5" w14:textId="77777777" w:rsidTr="00782539">
        <w:tc>
          <w:tcPr>
            <w:tcW w:w="2425" w:type="dxa"/>
          </w:tcPr>
          <w:p w14:paraId="0D4FF97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0212B28" w14:textId="4060249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households consuming this category of reduced VAT supply</w:t>
            </w:r>
            <w:r w:rsidR="008862E5">
              <w:rPr>
                <w:rFonts w:ascii="Segoe UI" w:hAnsi="Segoe UI" w:cs="Segoe UI"/>
                <w:sz w:val="18"/>
                <w:szCs w:val="18"/>
              </w:rPr>
              <w:t>.</w:t>
            </w:r>
          </w:p>
        </w:tc>
      </w:tr>
      <w:tr w:rsidR="00F77F6D" w:rsidRPr="00CB1E53" w14:paraId="00CC3F98" w14:textId="77777777" w:rsidTr="00782539">
        <w:tc>
          <w:tcPr>
            <w:tcW w:w="2425" w:type="dxa"/>
          </w:tcPr>
          <w:p w14:paraId="3AF8103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9933E5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5774C9CC" w14:textId="77777777" w:rsidTr="00782539">
        <w:tc>
          <w:tcPr>
            <w:tcW w:w="2425" w:type="dxa"/>
          </w:tcPr>
          <w:p w14:paraId="36B05A7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68BACE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33DC1CD7" w14:textId="77777777" w:rsidTr="00782539">
        <w:tc>
          <w:tcPr>
            <w:tcW w:w="2425" w:type="dxa"/>
          </w:tcPr>
          <w:p w14:paraId="366E739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654876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96 of TC</w:t>
            </w:r>
          </w:p>
        </w:tc>
      </w:tr>
      <w:tr w:rsidR="00F77F6D" w:rsidRPr="00CB1E53" w14:paraId="3AB21FB2" w14:textId="77777777" w:rsidTr="00782539">
        <w:trPr>
          <w:trHeight w:val="182"/>
        </w:trPr>
        <w:tc>
          <w:tcPr>
            <w:tcW w:w="2425" w:type="dxa"/>
            <w:vMerge w:val="restart"/>
          </w:tcPr>
          <w:p w14:paraId="1E4B3F7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47CDBC0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healthcare, consumers should not face an additional tax burden when being ill or falling sick.</w:t>
            </w:r>
          </w:p>
        </w:tc>
      </w:tr>
      <w:tr w:rsidR="00F77F6D" w:rsidRPr="00CB1E53" w14:paraId="67D9B7F7" w14:textId="77777777" w:rsidTr="00782539">
        <w:trPr>
          <w:trHeight w:val="182"/>
        </w:trPr>
        <w:tc>
          <w:tcPr>
            <w:tcW w:w="2425" w:type="dxa"/>
            <w:vMerge/>
          </w:tcPr>
          <w:p w14:paraId="5E76C561"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0D7F12A7" w14:textId="5C05196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Introduced in year: </w:t>
            </w:r>
            <w:r w:rsidR="007B45FD" w:rsidRPr="00382BDA">
              <w:rPr>
                <w:rFonts w:ascii="Segoe UI" w:hAnsi="Segoe UI" w:cs="Segoe UI"/>
                <w:sz w:val="18"/>
                <w:szCs w:val="18"/>
              </w:rPr>
              <w:t>2006</w:t>
            </w:r>
          </w:p>
        </w:tc>
        <w:tc>
          <w:tcPr>
            <w:tcW w:w="3738" w:type="dxa"/>
            <w:gridSpan w:val="3"/>
          </w:tcPr>
          <w:p w14:paraId="5EFB402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73B53D58" w14:textId="77777777" w:rsidTr="00782539">
        <w:tc>
          <w:tcPr>
            <w:tcW w:w="2425" w:type="dxa"/>
          </w:tcPr>
          <w:p w14:paraId="267372B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604DD9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declarations data</w:t>
            </w:r>
          </w:p>
        </w:tc>
      </w:tr>
      <w:tr w:rsidR="00F77F6D" w:rsidRPr="00CB1E53" w14:paraId="23D84264" w14:textId="77777777" w:rsidTr="00782539">
        <w:tc>
          <w:tcPr>
            <w:tcW w:w="2425" w:type="dxa"/>
          </w:tcPr>
          <w:p w14:paraId="0AFF5D3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1A7F7C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Direct calculation; assumed to be used exclusively as final consumption or as input into exempt healthcare</w:t>
            </w:r>
          </w:p>
        </w:tc>
      </w:tr>
      <w:tr w:rsidR="00F77F6D" w:rsidRPr="00CB1E53" w14:paraId="2712032B" w14:textId="77777777" w:rsidTr="00782539">
        <w:tc>
          <w:tcPr>
            <w:tcW w:w="2425" w:type="dxa"/>
          </w:tcPr>
          <w:p w14:paraId="3A77AE4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C669941" w14:textId="77777777" w:rsidR="00F77F6D" w:rsidRPr="00CB1E53" w:rsidRDefault="00F77F6D" w:rsidP="00FD11D9">
            <w:pPr>
              <w:spacing w:before="20" w:after="20"/>
              <w:jc w:val="both"/>
              <w:rPr>
                <w:rFonts w:ascii="Segoe UI" w:hAnsi="Segoe UI" w:cs="Segoe UI"/>
                <w:sz w:val="18"/>
                <w:szCs w:val="18"/>
              </w:rPr>
            </w:pPr>
          </w:p>
        </w:tc>
      </w:tr>
      <w:tr w:rsidR="00F77F6D" w:rsidRPr="00CB1E53" w14:paraId="469E1A4B" w14:textId="77777777" w:rsidTr="00782539">
        <w:tc>
          <w:tcPr>
            <w:tcW w:w="2425" w:type="dxa"/>
          </w:tcPr>
          <w:p w14:paraId="7910571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2E92E33" w14:textId="65480B26"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7D66A627" w14:textId="77777777" w:rsidTr="00782539">
        <w:trPr>
          <w:trHeight w:val="91"/>
        </w:trPr>
        <w:tc>
          <w:tcPr>
            <w:tcW w:w="2425" w:type="dxa"/>
            <w:vMerge w:val="restart"/>
          </w:tcPr>
          <w:p w14:paraId="3A6378D4"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51F35B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95D232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51B197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BACB2D5" w14:textId="60486008"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B5595F4" w14:textId="1B99527F"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B7D91F0" w14:textId="77777777" w:rsidTr="009130EE">
        <w:trPr>
          <w:trHeight w:val="91"/>
        </w:trPr>
        <w:tc>
          <w:tcPr>
            <w:tcW w:w="2425" w:type="dxa"/>
            <w:vMerge/>
          </w:tcPr>
          <w:p w14:paraId="66011150"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520220AC" w14:textId="2D6B494F"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27.7</w:t>
            </w:r>
          </w:p>
        </w:tc>
        <w:tc>
          <w:tcPr>
            <w:tcW w:w="1385" w:type="dxa"/>
            <w:shd w:val="clear" w:color="auto" w:fill="D9D9D9" w:themeFill="background1" w:themeFillShade="D9"/>
          </w:tcPr>
          <w:p w14:paraId="36AC54EE" w14:textId="25272195"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30.1</w:t>
            </w:r>
          </w:p>
        </w:tc>
        <w:tc>
          <w:tcPr>
            <w:tcW w:w="1385" w:type="dxa"/>
            <w:gridSpan w:val="2"/>
            <w:shd w:val="clear" w:color="auto" w:fill="D9D9D9" w:themeFill="background1" w:themeFillShade="D9"/>
          </w:tcPr>
          <w:p w14:paraId="0C42FE43" w14:textId="72D74673"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29.2</w:t>
            </w:r>
          </w:p>
        </w:tc>
        <w:tc>
          <w:tcPr>
            <w:tcW w:w="1385" w:type="dxa"/>
            <w:shd w:val="clear" w:color="auto" w:fill="D9D9D9" w:themeFill="background1" w:themeFillShade="D9"/>
          </w:tcPr>
          <w:p w14:paraId="012114FA" w14:textId="5B254FF8"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33.0</w:t>
            </w:r>
          </w:p>
        </w:tc>
        <w:tc>
          <w:tcPr>
            <w:tcW w:w="1660" w:type="dxa"/>
            <w:shd w:val="clear" w:color="auto" w:fill="D9D9D9" w:themeFill="background1" w:themeFillShade="D9"/>
          </w:tcPr>
          <w:p w14:paraId="6D2E7CFB" w14:textId="21182F8D"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36.3</w:t>
            </w:r>
          </w:p>
        </w:tc>
      </w:tr>
    </w:tbl>
    <w:p w14:paraId="251A3AC5"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0355CA63" w14:textId="77777777" w:rsidTr="00F86C75">
        <w:tc>
          <w:tcPr>
            <w:tcW w:w="9625" w:type="dxa"/>
            <w:gridSpan w:val="7"/>
            <w:shd w:val="clear" w:color="auto" w:fill="D9D9D9" w:themeFill="background1" w:themeFillShade="D9"/>
          </w:tcPr>
          <w:p w14:paraId="7A4D5228" w14:textId="1C446F69"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4. </w:t>
            </w:r>
            <w:r w:rsidR="006C2BDF" w:rsidRPr="00CB1E53">
              <w:rPr>
                <w:rFonts w:ascii="Segoe UI" w:hAnsi="Segoe UI" w:cs="Segoe UI"/>
                <w:b/>
                <w:bCs/>
                <w:sz w:val="18"/>
                <w:szCs w:val="18"/>
              </w:rPr>
              <w:t>Reduced Rate applies to n</w:t>
            </w:r>
            <w:r w:rsidRPr="00CB1E53">
              <w:rPr>
                <w:rFonts w:ascii="Segoe UI" w:hAnsi="Segoe UI" w:cs="Segoe UI"/>
                <w:b/>
                <w:bCs/>
                <w:sz w:val="18"/>
                <w:szCs w:val="18"/>
              </w:rPr>
              <w:t xml:space="preserve">atural and LNG </w:t>
            </w:r>
            <w:r w:rsidR="006C2BDF" w:rsidRPr="00CB1E53">
              <w:rPr>
                <w:rFonts w:ascii="Segoe UI" w:hAnsi="Segoe UI" w:cs="Segoe UI"/>
                <w:b/>
                <w:bCs/>
                <w:sz w:val="18"/>
                <w:szCs w:val="18"/>
              </w:rPr>
              <w:t>gases</w:t>
            </w:r>
          </w:p>
        </w:tc>
      </w:tr>
      <w:tr w:rsidR="00F77F6D" w:rsidRPr="00CB1E53" w14:paraId="6576559F" w14:textId="77777777" w:rsidTr="00F86C75">
        <w:tc>
          <w:tcPr>
            <w:tcW w:w="2425" w:type="dxa"/>
          </w:tcPr>
          <w:p w14:paraId="0D41E33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3B5EDF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applies for the supply of natural and liquefied gases imported and supplied in the territory of Moldova (6% before 2013).</w:t>
            </w:r>
          </w:p>
        </w:tc>
      </w:tr>
      <w:tr w:rsidR="00F77F6D" w:rsidRPr="00CB1E53" w14:paraId="282728E9" w14:textId="77777777" w:rsidTr="00F86C75">
        <w:tc>
          <w:tcPr>
            <w:tcW w:w="2425" w:type="dxa"/>
          </w:tcPr>
          <w:p w14:paraId="07BFA68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E63725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748570BA" w14:textId="77777777" w:rsidTr="00F86C75">
        <w:tc>
          <w:tcPr>
            <w:tcW w:w="2425" w:type="dxa"/>
          </w:tcPr>
          <w:p w14:paraId="0159454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8C40F2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households and industry consuming the reduced rate supply of natural gas for heating / energy purposes.</w:t>
            </w:r>
          </w:p>
        </w:tc>
      </w:tr>
      <w:tr w:rsidR="00F77F6D" w:rsidRPr="00CB1E53" w14:paraId="6B39E5EC" w14:textId="77777777" w:rsidTr="00F86C75">
        <w:tc>
          <w:tcPr>
            <w:tcW w:w="2425" w:type="dxa"/>
          </w:tcPr>
          <w:p w14:paraId="3E42920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AE8ACC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63C405BE" w14:textId="77777777" w:rsidTr="00F86C75">
        <w:tc>
          <w:tcPr>
            <w:tcW w:w="2425" w:type="dxa"/>
          </w:tcPr>
          <w:p w14:paraId="27368A7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269E6B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3E2C861B" w14:textId="77777777" w:rsidTr="00F86C75">
        <w:tc>
          <w:tcPr>
            <w:tcW w:w="2425" w:type="dxa"/>
          </w:tcPr>
          <w:p w14:paraId="721D242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3012670" w14:textId="2FE5C689"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96</w:t>
            </w:r>
            <w:r w:rsidR="00D82F06">
              <w:rPr>
                <w:rFonts w:ascii="Segoe UI" w:hAnsi="Segoe UI" w:cs="Segoe UI"/>
                <w:sz w:val="18"/>
                <w:szCs w:val="18"/>
              </w:rPr>
              <w:t xml:space="preserve"> b)</w:t>
            </w:r>
            <w:r w:rsidRPr="00CB1E53">
              <w:rPr>
                <w:rFonts w:ascii="Segoe UI" w:hAnsi="Segoe UI" w:cs="Segoe UI"/>
                <w:sz w:val="18"/>
                <w:szCs w:val="18"/>
              </w:rPr>
              <w:t xml:space="preserve"> of TC</w:t>
            </w:r>
          </w:p>
        </w:tc>
      </w:tr>
      <w:tr w:rsidR="00F77F6D" w:rsidRPr="00CB1E53" w14:paraId="0E1420A3" w14:textId="77777777" w:rsidTr="00F86C75">
        <w:trPr>
          <w:trHeight w:val="182"/>
        </w:trPr>
        <w:tc>
          <w:tcPr>
            <w:tcW w:w="2425" w:type="dxa"/>
            <w:vMerge w:val="restart"/>
          </w:tcPr>
          <w:p w14:paraId="4D21977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CBCB262" w14:textId="157AC888"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Fiscal support in support of </w:t>
            </w:r>
            <w:r w:rsidR="008862E5" w:rsidRPr="00CB1E53">
              <w:rPr>
                <w:rFonts w:ascii="Segoe UI" w:hAnsi="Segoe UI" w:cs="Segoe UI"/>
                <w:sz w:val="18"/>
                <w:szCs w:val="18"/>
              </w:rPr>
              <w:t>industries</w:t>
            </w:r>
            <w:r w:rsidR="008862E5">
              <w:rPr>
                <w:rFonts w:ascii="Segoe UI" w:hAnsi="Segoe UI" w:cs="Segoe UI"/>
                <w:sz w:val="18"/>
                <w:szCs w:val="18"/>
              </w:rPr>
              <w:t>’</w:t>
            </w:r>
            <w:r w:rsidRPr="00CB1E53">
              <w:rPr>
                <w:rFonts w:ascii="Segoe UI" w:hAnsi="Segoe UI" w:cs="Segoe UI"/>
                <w:sz w:val="18"/>
                <w:szCs w:val="18"/>
              </w:rPr>
              <w:t xml:space="preserve"> and households’ heating and energy consumption</w:t>
            </w:r>
          </w:p>
        </w:tc>
      </w:tr>
      <w:tr w:rsidR="00F77F6D" w:rsidRPr="00CB1E53" w14:paraId="7E719B55" w14:textId="77777777" w:rsidTr="00F86C75">
        <w:trPr>
          <w:trHeight w:val="182"/>
        </w:trPr>
        <w:tc>
          <w:tcPr>
            <w:tcW w:w="2425" w:type="dxa"/>
            <w:vMerge/>
          </w:tcPr>
          <w:p w14:paraId="3534C82F"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4F08B0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2013 (6% before 2013)</w:t>
            </w:r>
          </w:p>
        </w:tc>
        <w:tc>
          <w:tcPr>
            <w:tcW w:w="3738" w:type="dxa"/>
            <w:gridSpan w:val="3"/>
          </w:tcPr>
          <w:p w14:paraId="5B12E1E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769C98D8" w14:textId="77777777" w:rsidTr="00F86C75">
        <w:tc>
          <w:tcPr>
            <w:tcW w:w="2425" w:type="dxa"/>
          </w:tcPr>
          <w:p w14:paraId="6760F71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Source of Data</w:t>
            </w:r>
          </w:p>
        </w:tc>
        <w:tc>
          <w:tcPr>
            <w:tcW w:w="7200" w:type="dxa"/>
            <w:gridSpan w:val="6"/>
          </w:tcPr>
          <w:p w14:paraId="0DF4779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392419F5" w14:textId="77777777" w:rsidTr="00F86C75">
        <w:tc>
          <w:tcPr>
            <w:tcW w:w="2425" w:type="dxa"/>
          </w:tcPr>
          <w:p w14:paraId="70A0912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AEC5FC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41F392BC" w14:textId="77777777" w:rsidTr="00F86C75">
        <w:tc>
          <w:tcPr>
            <w:tcW w:w="2425" w:type="dxa"/>
          </w:tcPr>
          <w:p w14:paraId="3904A7B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2A2FDE9" w14:textId="77777777" w:rsidR="00F77F6D" w:rsidRPr="00CB1E53" w:rsidRDefault="00F77F6D" w:rsidP="00FD11D9">
            <w:pPr>
              <w:spacing w:before="20" w:after="20"/>
              <w:jc w:val="both"/>
              <w:rPr>
                <w:rFonts w:ascii="Segoe UI" w:hAnsi="Segoe UI" w:cs="Segoe UI"/>
                <w:sz w:val="18"/>
                <w:szCs w:val="18"/>
              </w:rPr>
            </w:pPr>
          </w:p>
        </w:tc>
      </w:tr>
      <w:tr w:rsidR="00F77F6D" w:rsidRPr="00CB1E53" w14:paraId="36B31EEF" w14:textId="77777777" w:rsidTr="00F86C75">
        <w:tc>
          <w:tcPr>
            <w:tcW w:w="2425" w:type="dxa"/>
          </w:tcPr>
          <w:p w14:paraId="38510DE4" w14:textId="7777777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88EBB46" w14:textId="204CDE69" w:rsidR="00F77F6D" w:rsidRPr="00CB1E53" w:rsidRDefault="00CF3A5E" w:rsidP="00FD11D9">
            <w:pPr>
              <w:keepNext/>
              <w:keepLines/>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69AE9B6F" w14:textId="77777777" w:rsidTr="00F86C75">
        <w:trPr>
          <w:trHeight w:val="91"/>
        </w:trPr>
        <w:tc>
          <w:tcPr>
            <w:tcW w:w="2425" w:type="dxa"/>
            <w:vMerge w:val="restart"/>
          </w:tcPr>
          <w:p w14:paraId="10B67AA3" w14:textId="77777777" w:rsidR="00F77F6D" w:rsidRPr="00CB1E53" w:rsidRDefault="00F77F6D" w:rsidP="00FD11D9">
            <w:pPr>
              <w:keepNext/>
              <w:keepLines/>
              <w:spacing w:before="20" w:after="20"/>
              <w:jc w:val="both"/>
              <w:rPr>
                <w:rFonts w:ascii="Segoe UI" w:hAnsi="Segoe UI" w:cs="Segoe UI"/>
                <w:b/>
                <w:bCs/>
                <w:sz w:val="18"/>
                <w:szCs w:val="18"/>
              </w:rPr>
            </w:pPr>
          </w:p>
        </w:tc>
        <w:tc>
          <w:tcPr>
            <w:tcW w:w="1385" w:type="dxa"/>
          </w:tcPr>
          <w:p w14:paraId="438B8174" w14:textId="7777777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9F2087F" w14:textId="7777777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53CC34F" w14:textId="7777777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71D7900" w14:textId="56BBEC5B"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40B7E3E5" w14:textId="37BD19AC"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67E07ED4" w14:textId="77777777" w:rsidTr="009130EE">
        <w:trPr>
          <w:trHeight w:val="91"/>
        </w:trPr>
        <w:tc>
          <w:tcPr>
            <w:tcW w:w="2425" w:type="dxa"/>
            <w:vMerge/>
          </w:tcPr>
          <w:p w14:paraId="6A8DE9F5" w14:textId="77777777" w:rsidR="00F77F6D" w:rsidRPr="00CB1E53" w:rsidRDefault="00F77F6D" w:rsidP="00FD11D9">
            <w:pPr>
              <w:keepNext/>
              <w:keepLines/>
              <w:spacing w:before="20" w:after="20"/>
              <w:jc w:val="both"/>
              <w:rPr>
                <w:rFonts w:ascii="Segoe UI" w:hAnsi="Segoe UI" w:cs="Segoe UI"/>
                <w:b/>
                <w:bCs/>
                <w:sz w:val="18"/>
                <w:szCs w:val="18"/>
              </w:rPr>
            </w:pPr>
          </w:p>
        </w:tc>
        <w:tc>
          <w:tcPr>
            <w:tcW w:w="1385" w:type="dxa"/>
            <w:shd w:val="clear" w:color="auto" w:fill="D9D9D9" w:themeFill="background1" w:themeFillShade="D9"/>
          </w:tcPr>
          <w:p w14:paraId="615546C6" w14:textId="735A2E47"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222.6</w:t>
            </w:r>
          </w:p>
        </w:tc>
        <w:tc>
          <w:tcPr>
            <w:tcW w:w="1385" w:type="dxa"/>
            <w:shd w:val="clear" w:color="auto" w:fill="D9D9D9" w:themeFill="background1" w:themeFillShade="D9"/>
          </w:tcPr>
          <w:p w14:paraId="1F8913EA" w14:textId="27CA9150"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244.0</w:t>
            </w:r>
          </w:p>
        </w:tc>
        <w:tc>
          <w:tcPr>
            <w:tcW w:w="1385" w:type="dxa"/>
            <w:gridSpan w:val="2"/>
            <w:shd w:val="clear" w:color="auto" w:fill="D9D9D9" w:themeFill="background1" w:themeFillShade="D9"/>
          </w:tcPr>
          <w:p w14:paraId="68CDC6C1" w14:textId="791E125C" w:rsidR="00F77F6D" w:rsidRPr="009130EE" w:rsidRDefault="00F77F6D" w:rsidP="00FD11D9">
            <w:pPr>
              <w:keepNext/>
              <w:keepLines/>
              <w:spacing w:before="20" w:after="20"/>
              <w:jc w:val="both"/>
              <w:rPr>
                <w:rFonts w:ascii="Segoe UI" w:hAnsi="Segoe UI" w:cs="Segoe UI"/>
                <w:i/>
                <w:iCs/>
                <w:sz w:val="18"/>
                <w:szCs w:val="18"/>
              </w:rPr>
            </w:pPr>
            <w:r w:rsidRPr="009130EE">
              <w:rPr>
                <w:rFonts w:ascii="Segoe UI" w:hAnsi="Segoe UI" w:cs="Segoe UI"/>
                <w:i/>
                <w:iCs/>
                <w:sz w:val="18"/>
                <w:szCs w:val="18"/>
              </w:rPr>
              <w:t>237.2</w:t>
            </w:r>
          </w:p>
        </w:tc>
        <w:tc>
          <w:tcPr>
            <w:tcW w:w="1385" w:type="dxa"/>
            <w:shd w:val="clear" w:color="auto" w:fill="D9D9D9" w:themeFill="background1" w:themeFillShade="D9"/>
          </w:tcPr>
          <w:p w14:paraId="394ED6A5" w14:textId="4DEFE9BB"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289.0</w:t>
            </w:r>
          </w:p>
        </w:tc>
        <w:tc>
          <w:tcPr>
            <w:tcW w:w="1660" w:type="dxa"/>
            <w:shd w:val="clear" w:color="auto" w:fill="D9D9D9" w:themeFill="background1" w:themeFillShade="D9"/>
          </w:tcPr>
          <w:p w14:paraId="208D4D70" w14:textId="60E3655D"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318.4</w:t>
            </w:r>
          </w:p>
        </w:tc>
      </w:tr>
    </w:tbl>
    <w:p w14:paraId="66C98067" w14:textId="77777777" w:rsidR="008862E5" w:rsidRPr="00CB1E53" w:rsidRDefault="008862E5"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23257A5A" w14:textId="77777777" w:rsidTr="007140AB">
        <w:tc>
          <w:tcPr>
            <w:tcW w:w="9625" w:type="dxa"/>
            <w:gridSpan w:val="7"/>
            <w:shd w:val="clear" w:color="auto" w:fill="D9D9D9" w:themeFill="background1" w:themeFillShade="D9"/>
          </w:tcPr>
          <w:p w14:paraId="5EBA10DB" w14:textId="20FF6376"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5. Moldovan crop, horticulture</w:t>
            </w:r>
            <w:r w:rsidR="008862E5">
              <w:rPr>
                <w:rFonts w:ascii="Segoe UI" w:hAnsi="Segoe UI" w:cs="Segoe UI"/>
                <w:b/>
                <w:bCs/>
                <w:sz w:val="18"/>
                <w:szCs w:val="18"/>
              </w:rPr>
              <w:t>,</w:t>
            </w:r>
            <w:r w:rsidRPr="00CB1E53">
              <w:rPr>
                <w:rFonts w:ascii="Segoe UI" w:hAnsi="Segoe UI" w:cs="Segoe UI"/>
                <w:b/>
                <w:bCs/>
                <w:sz w:val="18"/>
                <w:szCs w:val="18"/>
              </w:rPr>
              <w:t xml:space="preserve"> and livestock production supplied at reduced rate of 8 %</w:t>
            </w:r>
          </w:p>
        </w:tc>
      </w:tr>
      <w:tr w:rsidR="00F77F6D" w:rsidRPr="00CB1E53" w14:paraId="52055CD6" w14:textId="77777777" w:rsidTr="007140AB">
        <w:tc>
          <w:tcPr>
            <w:tcW w:w="2425" w:type="dxa"/>
          </w:tcPr>
          <w:p w14:paraId="6FD399E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3C4DAA9" w14:textId="5C3E0A2A" w:rsidR="00F77F6D" w:rsidRPr="00CB1E53" w:rsidRDefault="00F77F6D" w:rsidP="00FD11D9">
            <w:pPr>
              <w:tabs>
                <w:tab w:val="left" w:pos="2637"/>
              </w:tabs>
              <w:spacing w:before="20" w:after="20"/>
              <w:jc w:val="both"/>
              <w:rPr>
                <w:rFonts w:ascii="Segoe UI" w:hAnsi="Segoe UI" w:cs="Segoe UI"/>
                <w:sz w:val="18"/>
                <w:szCs w:val="18"/>
              </w:rPr>
            </w:pPr>
            <w:r w:rsidRPr="00CB1E53">
              <w:rPr>
                <w:rFonts w:ascii="Segoe UI" w:hAnsi="Segoe UI" w:cs="Segoe UI"/>
                <w:sz w:val="18"/>
                <w:szCs w:val="18"/>
              </w:rPr>
              <w:t>Reduced VAT rate applies for the supply of natural crop, horticulture products</w:t>
            </w:r>
            <w:r w:rsidR="008862E5">
              <w:rPr>
                <w:rFonts w:ascii="Segoe UI" w:hAnsi="Segoe UI" w:cs="Segoe UI"/>
                <w:sz w:val="18"/>
                <w:szCs w:val="18"/>
              </w:rPr>
              <w:t>,</w:t>
            </w:r>
            <w:r w:rsidRPr="00CB1E53">
              <w:rPr>
                <w:rFonts w:ascii="Segoe UI" w:hAnsi="Segoe UI" w:cs="Segoe UI"/>
                <w:sz w:val="18"/>
                <w:szCs w:val="18"/>
              </w:rPr>
              <w:t xml:space="preserve"> and livestock produced and supplied in the territory of Moldova.</w:t>
            </w:r>
          </w:p>
        </w:tc>
      </w:tr>
      <w:tr w:rsidR="00F77F6D" w:rsidRPr="00CB1E53" w14:paraId="0798F14A" w14:textId="77777777" w:rsidTr="007140AB">
        <w:tc>
          <w:tcPr>
            <w:tcW w:w="2425" w:type="dxa"/>
          </w:tcPr>
          <w:p w14:paraId="32C7569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2452627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734E1029" w14:textId="77777777" w:rsidTr="007140AB">
        <w:tc>
          <w:tcPr>
            <w:tcW w:w="2425" w:type="dxa"/>
          </w:tcPr>
          <w:p w14:paraId="116D46E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844D28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Moldovan agricultural producers.</w:t>
            </w:r>
          </w:p>
        </w:tc>
      </w:tr>
      <w:tr w:rsidR="00F77F6D" w:rsidRPr="00CB1E53" w14:paraId="5063E5C2" w14:textId="77777777" w:rsidTr="007140AB">
        <w:tc>
          <w:tcPr>
            <w:tcW w:w="2425" w:type="dxa"/>
          </w:tcPr>
          <w:p w14:paraId="14CEE3C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0058FA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38AAD9C3" w14:textId="77777777" w:rsidTr="007140AB">
        <w:tc>
          <w:tcPr>
            <w:tcW w:w="2425" w:type="dxa"/>
          </w:tcPr>
          <w:p w14:paraId="23722E4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E6520D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52240FBD" w14:textId="77777777" w:rsidTr="007140AB">
        <w:tc>
          <w:tcPr>
            <w:tcW w:w="2425" w:type="dxa"/>
          </w:tcPr>
          <w:p w14:paraId="0D70E41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EEAD617" w14:textId="21B7383B"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 96 </w:t>
            </w:r>
            <w:r w:rsidR="00D82F06">
              <w:rPr>
                <w:rFonts w:ascii="Segoe UI" w:hAnsi="Segoe UI" w:cs="Segoe UI"/>
                <w:sz w:val="18"/>
                <w:szCs w:val="18"/>
              </w:rPr>
              <w:t xml:space="preserve">b) </w:t>
            </w:r>
            <w:r w:rsidRPr="00CB1E53">
              <w:rPr>
                <w:rFonts w:ascii="Segoe UI" w:hAnsi="Segoe UI" w:cs="Segoe UI"/>
                <w:sz w:val="18"/>
                <w:szCs w:val="18"/>
              </w:rPr>
              <w:t>of TC</w:t>
            </w:r>
          </w:p>
        </w:tc>
      </w:tr>
      <w:tr w:rsidR="00F77F6D" w:rsidRPr="00CB1E53" w14:paraId="4C1DAD95" w14:textId="77777777" w:rsidTr="007140AB">
        <w:trPr>
          <w:trHeight w:val="182"/>
        </w:trPr>
        <w:tc>
          <w:tcPr>
            <w:tcW w:w="2425" w:type="dxa"/>
            <w:vMerge w:val="restart"/>
          </w:tcPr>
          <w:p w14:paraId="4C7CA84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6550140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Moldovan agricultural sector and consumers.</w:t>
            </w:r>
          </w:p>
        </w:tc>
      </w:tr>
      <w:tr w:rsidR="00F77F6D" w:rsidRPr="00CB1E53" w14:paraId="03926DE5" w14:textId="77777777" w:rsidTr="007140AB">
        <w:trPr>
          <w:trHeight w:val="182"/>
        </w:trPr>
        <w:tc>
          <w:tcPr>
            <w:tcW w:w="2425" w:type="dxa"/>
            <w:vMerge/>
          </w:tcPr>
          <w:p w14:paraId="299900D3"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6DC1745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319A328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66ECFA00" w14:textId="77777777" w:rsidTr="007140AB">
        <w:tc>
          <w:tcPr>
            <w:tcW w:w="2425" w:type="dxa"/>
          </w:tcPr>
          <w:p w14:paraId="238EAAC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33A842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174F3CF1" w14:textId="77777777" w:rsidTr="007140AB">
        <w:tc>
          <w:tcPr>
            <w:tcW w:w="2425" w:type="dxa"/>
          </w:tcPr>
          <w:p w14:paraId="2C3FBB6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24060DE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4CB84B96" w14:textId="77777777" w:rsidTr="007140AB">
        <w:tc>
          <w:tcPr>
            <w:tcW w:w="2425" w:type="dxa"/>
          </w:tcPr>
          <w:p w14:paraId="55E1B8F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F8216FA"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D4CF497" w14:textId="77777777" w:rsidTr="007140AB">
        <w:tc>
          <w:tcPr>
            <w:tcW w:w="2425" w:type="dxa"/>
          </w:tcPr>
          <w:p w14:paraId="5538A05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86D1F0C" w14:textId="6FAE32D4"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7E19780D" w14:textId="77777777" w:rsidTr="007140AB">
        <w:trPr>
          <w:trHeight w:val="91"/>
        </w:trPr>
        <w:tc>
          <w:tcPr>
            <w:tcW w:w="2425" w:type="dxa"/>
            <w:vMerge w:val="restart"/>
          </w:tcPr>
          <w:p w14:paraId="5C50079D"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05410C2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B7CAA4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89E669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FD3DE5F" w14:textId="0100475D"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1E06989D" w14:textId="37E658CF"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1A9D79B8" w14:textId="77777777" w:rsidTr="009130EE">
        <w:trPr>
          <w:trHeight w:val="91"/>
        </w:trPr>
        <w:tc>
          <w:tcPr>
            <w:tcW w:w="2425" w:type="dxa"/>
            <w:vMerge/>
          </w:tcPr>
          <w:p w14:paraId="321F93B1"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0071C8A4" w14:textId="183358CA"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1,017.</w:t>
            </w:r>
            <w:r w:rsidR="009130EE" w:rsidRPr="009130EE">
              <w:rPr>
                <w:rFonts w:ascii="Segoe UI" w:hAnsi="Segoe UI" w:cs="Segoe UI"/>
                <w:i/>
                <w:iCs/>
                <w:sz w:val="18"/>
                <w:szCs w:val="18"/>
              </w:rPr>
              <w:t>0</w:t>
            </w:r>
          </w:p>
        </w:tc>
        <w:tc>
          <w:tcPr>
            <w:tcW w:w="1385" w:type="dxa"/>
            <w:shd w:val="clear" w:color="auto" w:fill="D9D9D9" w:themeFill="background1" w:themeFillShade="D9"/>
          </w:tcPr>
          <w:p w14:paraId="282AFF2A" w14:textId="4E9525D1"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1,114.9</w:t>
            </w:r>
          </w:p>
        </w:tc>
        <w:tc>
          <w:tcPr>
            <w:tcW w:w="1385" w:type="dxa"/>
            <w:gridSpan w:val="2"/>
            <w:shd w:val="clear" w:color="auto" w:fill="D9D9D9" w:themeFill="background1" w:themeFillShade="D9"/>
          </w:tcPr>
          <w:p w14:paraId="148BC1F5" w14:textId="382C8BD9"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1,084.2</w:t>
            </w:r>
          </w:p>
        </w:tc>
        <w:tc>
          <w:tcPr>
            <w:tcW w:w="1385" w:type="dxa"/>
            <w:shd w:val="clear" w:color="auto" w:fill="D9D9D9" w:themeFill="background1" w:themeFillShade="D9"/>
          </w:tcPr>
          <w:p w14:paraId="509C8EDC" w14:textId="26758F82"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1,320.7</w:t>
            </w:r>
          </w:p>
        </w:tc>
        <w:tc>
          <w:tcPr>
            <w:tcW w:w="1660" w:type="dxa"/>
            <w:shd w:val="clear" w:color="auto" w:fill="D9D9D9" w:themeFill="background1" w:themeFillShade="D9"/>
          </w:tcPr>
          <w:p w14:paraId="21216E9E" w14:textId="7B607A7E"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1,455.0</w:t>
            </w:r>
          </w:p>
        </w:tc>
      </w:tr>
    </w:tbl>
    <w:p w14:paraId="265344EA"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4ED78C04" w14:textId="77777777" w:rsidTr="006C2BDF">
        <w:tc>
          <w:tcPr>
            <w:tcW w:w="9625" w:type="dxa"/>
            <w:gridSpan w:val="7"/>
            <w:shd w:val="clear" w:color="auto" w:fill="D9D9D9" w:themeFill="background1" w:themeFillShade="D9"/>
          </w:tcPr>
          <w:p w14:paraId="7AD169DF" w14:textId="28B66F0E"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6. Reduced rate for beet sugar produced, imported, and supplied in Moldova</w:t>
            </w:r>
            <w:r w:rsidR="00AA08E9">
              <w:rPr>
                <w:rFonts w:ascii="Segoe UI" w:hAnsi="Segoe UI" w:cs="Segoe UI"/>
                <w:b/>
                <w:bCs/>
                <w:sz w:val="18"/>
                <w:szCs w:val="18"/>
              </w:rPr>
              <w:t xml:space="preserve"> </w:t>
            </w:r>
          </w:p>
        </w:tc>
      </w:tr>
      <w:tr w:rsidR="00F77F6D" w:rsidRPr="00CB1E53" w14:paraId="6FF7E335" w14:textId="77777777" w:rsidTr="006C2BDF">
        <w:tc>
          <w:tcPr>
            <w:tcW w:w="2425" w:type="dxa"/>
          </w:tcPr>
          <w:p w14:paraId="3E2366F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F32190C" w14:textId="726F475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Reduced VAT rate of 8% applies for beet sugar </w:t>
            </w:r>
            <w:proofErr w:type="spellStart"/>
            <w:r w:rsidRPr="00CB1E53">
              <w:rPr>
                <w:rFonts w:ascii="Segoe UI" w:hAnsi="Segoe UI" w:cs="Segoe UI"/>
                <w:sz w:val="18"/>
                <w:szCs w:val="18"/>
              </w:rPr>
              <w:t>importedin</w:t>
            </w:r>
            <w:proofErr w:type="spellEnd"/>
            <w:r w:rsidRPr="00CB1E53">
              <w:rPr>
                <w:rFonts w:ascii="Segoe UI" w:hAnsi="Segoe UI" w:cs="Segoe UI"/>
                <w:sz w:val="18"/>
                <w:szCs w:val="18"/>
              </w:rPr>
              <w:t xml:space="preserve"> Moldova.</w:t>
            </w:r>
          </w:p>
        </w:tc>
      </w:tr>
      <w:tr w:rsidR="00F77F6D" w:rsidRPr="00CB1E53" w14:paraId="0EC551A3" w14:textId="77777777" w:rsidTr="006C2BDF">
        <w:tc>
          <w:tcPr>
            <w:tcW w:w="2425" w:type="dxa"/>
          </w:tcPr>
          <w:p w14:paraId="13D4603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57BF07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54ECACFB" w14:textId="77777777" w:rsidTr="006C2BDF">
        <w:tc>
          <w:tcPr>
            <w:tcW w:w="2425" w:type="dxa"/>
          </w:tcPr>
          <w:p w14:paraId="42D9A17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2146ED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Moldovan beet sugar producers and consumers of sugar.</w:t>
            </w:r>
          </w:p>
        </w:tc>
      </w:tr>
      <w:tr w:rsidR="00F77F6D" w:rsidRPr="00CB1E53" w14:paraId="6D951D2A" w14:textId="77777777" w:rsidTr="006C2BDF">
        <w:tc>
          <w:tcPr>
            <w:tcW w:w="2425" w:type="dxa"/>
          </w:tcPr>
          <w:p w14:paraId="16B4FD9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8714C9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59C3133D" w14:textId="77777777" w:rsidTr="006C2BDF">
        <w:tc>
          <w:tcPr>
            <w:tcW w:w="2425" w:type="dxa"/>
          </w:tcPr>
          <w:p w14:paraId="0C8CD75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22CBFB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0BC61410" w14:textId="77777777" w:rsidTr="006C2BDF">
        <w:tc>
          <w:tcPr>
            <w:tcW w:w="2425" w:type="dxa"/>
          </w:tcPr>
          <w:p w14:paraId="2BC5E38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1B58542" w14:textId="58834F45"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 96 </w:t>
            </w:r>
            <w:r w:rsidR="00D82F06">
              <w:rPr>
                <w:rFonts w:ascii="Segoe UI" w:hAnsi="Segoe UI" w:cs="Segoe UI"/>
                <w:sz w:val="18"/>
                <w:szCs w:val="18"/>
              </w:rPr>
              <w:t xml:space="preserve">b) </w:t>
            </w:r>
            <w:r w:rsidRPr="00CB1E53">
              <w:rPr>
                <w:rFonts w:ascii="Segoe UI" w:hAnsi="Segoe UI" w:cs="Segoe UI"/>
                <w:sz w:val="18"/>
                <w:szCs w:val="18"/>
              </w:rPr>
              <w:t>of TC</w:t>
            </w:r>
          </w:p>
        </w:tc>
      </w:tr>
      <w:tr w:rsidR="00F77F6D" w:rsidRPr="00CB1E53" w14:paraId="35BFBBE0" w14:textId="77777777" w:rsidTr="006C2BDF">
        <w:trPr>
          <w:trHeight w:val="182"/>
        </w:trPr>
        <w:tc>
          <w:tcPr>
            <w:tcW w:w="2425" w:type="dxa"/>
            <w:vMerge w:val="restart"/>
          </w:tcPr>
          <w:p w14:paraId="48FC708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776705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Moldovan agricultural sector</w:t>
            </w:r>
          </w:p>
        </w:tc>
      </w:tr>
      <w:tr w:rsidR="00F77F6D" w:rsidRPr="00CB1E53" w14:paraId="578B2C2B" w14:textId="77777777" w:rsidTr="006C2BDF">
        <w:trPr>
          <w:trHeight w:val="182"/>
        </w:trPr>
        <w:tc>
          <w:tcPr>
            <w:tcW w:w="2425" w:type="dxa"/>
            <w:vMerge/>
          </w:tcPr>
          <w:p w14:paraId="17976229"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259D73F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2475D57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1C1217FE" w14:textId="77777777" w:rsidTr="006C2BDF">
        <w:tc>
          <w:tcPr>
            <w:tcW w:w="2425" w:type="dxa"/>
          </w:tcPr>
          <w:p w14:paraId="112A43B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D749202" w14:textId="0315412F"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Customs data only</w:t>
            </w:r>
          </w:p>
        </w:tc>
      </w:tr>
      <w:tr w:rsidR="00F77F6D" w:rsidRPr="00CB1E53" w14:paraId="3235B400" w14:textId="77777777" w:rsidTr="006C2BDF">
        <w:tc>
          <w:tcPr>
            <w:tcW w:w="2425" w:type="dxa"/>
          </w:tcPr>
          <w:p w14:paraId="7D2F26C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4EF0F9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Direct calculation; assumed to be used as final consumption and intermediate input into taxable production in same proportion as other agriculture.</w:t>
            </w:r>
          </w:p>
        </w:tc>
      </w:tr>
      <w:tr w:rsidR="00F77F6D" w:rsidRPr="00CB1E53" w14:paraId="491AB3F2" w14:textId="77777777" w:rsidTr="006C2BDF">
        <w:tc>
          <w:tcPr>
            <w:tcW w:w="2425" w:type="dxa"/>
          </w:tcPr>
          <w:p w14:paraId="51473AE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4AC17D2"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547E7B3" w14:textId="77777777" w:rsidTr="006C2BDF">
        <w:tc>
          <w:tcPr>
            <w:tcW w:w="2425" w:type="dxa"/>
          </w:tcPr>
          <w:p w14:paraId="207630E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13E7CD5" w14:textId="3900E09C"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7B245449" w14:textId="77777777" w:rsidTr="006C2BDF">
        <w:trPr>
          <w:trHeight w:val="91"/>
        </w:trPr>
        <w:tc>
          <w:tcPr>
            <w:tcW w:w="2425" w:type="dxa"/>
            <w:vMerge w:val="restart"/>
          </w:tcPr>
          <w:p w14:paraId="32907C4B"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6BFD20E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8E4786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FEC586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4907E505" w14:textId="7487C0F9"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EE9D1D9" w14:textId="195B5BC1"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0D27DFE1" w14:textId="77777777" w:rsidTr="009130EE">
        <w:trPr>
          <w:trHeight w:val="91"/>
        </w:trPr>
        <w:tc>
          <w:tcPr>
            <w:tcW w:w="2425" w:type="dxa"/>
            <w:vMerge/>
          </w:tcPr>
          <w:p w14:paraId="3BC26849"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2C27846C" w14:textId="6C905C41"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5.</w:t>
            </w:r>
            <w:r w:rsidR="000563DB" w:rsidRPr="009130EE">
              <w:rPr>
                <w:rFonts w:ascii="Segoe UI" w:hAnsi="Segoe UI" w:cs="Segoe UI"/>
                <w:i/>
                <w:iCs/>
                <w:sz w:val="18"/>
                <w:szCs w:val="18"/>
              </w:rPr>
              <w:t>4</w:t>
            </w:r>
          </w:p>
        </w:tc>
        <w:tc>
          <w:tcPr>
            <w:tcW w:w="1385" w:type="dxa"/>
            <w:shd w:val="clear" w:color="auto" w:fill="D9D9D9" w:themeFill="background1" w:themeFillShade="D9"/>
          </w:tcPr>
          <w:p w14:paraId="030FFD27" w14:textId="12D37EAC"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5.5</w:t>
            </w:r>
          </w:p>
        </w:tc>
        <w:tc>
          <w:tcPr>
            <w:tcW w:w="1385" w:type="dxa"/>
            <w:gridSpan w:val="2"/>
            <w:shd w:val="clear" w:color="auto" w:fill="D9D9D9" w:themeFill="background1" w:themeFillShade="D9"/>
          </w:tcPr>
          <w:p w14:paraId="176F7373" w14:textId="32FE1804"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5.3</w:t>
            </w:r>
          </w:p>
        </w:tc>
        <w:tc>
          <w:tcPr>
            <w:tcW w:w="1385" w:type="dxa"/>
            <w:shd w:val="clear" w:color="auto" w:fill="D9D9D9" w:themeFill="background1" w:themeFillShade="D9"/>
          </w:tcPr>
          <w:p w14:paraId="29ACB1B0" w14:textId="2910CFCD"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6.0</w:t>
            </w:r>
          </w:p>
        </w:tc>
        <w:tc>
          <w:tcPr>
            <w:tcW w:w="1660" w:type="dxa"/>
            <w:shd w:val="clear" w:color="auto" w:fill="D9D9D9" w:themeFill="background1" w:themeFillShade="D9"/>
          </w:tcPr>
          <w:p w14:paraId="61296C2D" w14:textId="45D578E8" w:rsidR="00F77F6D" w:rsidRPr="009130EE" w:rsidRDefault="00F77F6D" w:rsidP="00FD11D9">
            <w:pPr>
              <w:spacing w:before="20" w:after="20"/>
              <w:jc w:val="both"/>
              <w:rPr>
                <w:rFonts w:ascii="Segoe UI" w:hAnsi="Segoe UI" w:cs="Segoe UI"/>
                <w:i/>
                <w:iCs/>
                <w:sz w:val="18"/>
                <w:szCs w:val="18"/>
              </w:rPr>
            </w:pPr>
            <w:r w:rsidRPr="009130EE">
              <w:rPr>
                <w:rFonts w:ascii="Segoe UI" w:hAnsi="Segoe UI" w:cs="Segoe UI"/>
                <w:i/>
                <w:iCs/>
                <w:sz w:val="18"/>
                <w:szCs w:val="18"/>
              </w:rPr>
              <w:t>6.6</w:t>
            </w:r>
          </w:p>
        </w:tc>
      </w:tr>
    </w:tbl>
    <w:p w14:paraId="4DC472EF"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0C8E0A48" w14:textId="77777777" w:rsidTr="006C2BDF">
        <w:tc>
          <w:tcPr>
            <w:tcW w:w="9625" w:type="dxa"/>
            <w:gridSpan w:val="7"/>
            <w:shd w:val="clear" w:color="auto" w:fill="D9D9D9" w:themeFill="background1" w:themeFillShade="D9"/>
          </w:tcPr>
          <w:p w14:paraId="3C6BBF13" w14:textId="73EF4CA0"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7. Reduced rate applies for solid biofuel used in the production of electricity</w:t>
            </w:r>
          </w:p>
        </w:tc>
      </w:tr>
      <w:tr w:rsidR="00F77F6D" w:rsidRPr="00CB1E53" w14:paraId="7BB2C95B" w14:textId="77777777" w:rsidTr="006C2BDF">
        <w:tc>
          <w:tcPr>
            <w:tcW w:w="2425" w:type="dxa"/>
          </w:tcPr>
          <w:p w14:paraId="402D1F7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Description</w:t>
            </w:r>
          </w:p>
        </w:tc>
        <w:tc>
          <w:tcPr>
            <w:tcW w:w="7200" w:type="dxa"/>
            <w:gridSpan w:val="6"/>
          </w:tcPr>
          <w:p w14:paraId="70EE2949" w14:textId="7343BBB1" w:rsidR="00F77F6D" w:rsidRPr="00CB1E53" w:rsidRDefault="00F77F6D"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Reduced VAT rate of 8% applies for solid biofuel used in the production of electricity, heat and hot water supplied in Moldova, including raw material delivered for the purpose of producing solid biofuel in the form of agricultural and forestry products, agricultural and forestry residues, residues plant products from the food industry, wood residues, as well as heat produced from solid biofuel</w:t>
            </w:r>
            <w:r w:rsidR="008862E5">
              <w:rPr>
                <w:rFonts w:ascii="Segoe UI" w:hAnsi="Segoe UI" w:cs="Segoe UI"/>
                <w:sz w:val="18"/>
                <w:szCs w:val="18"/>
              </w:rPr>
              <w:t xml:space="preserve"> </w:t>
            </w:r>
            <w:r w:rsidRPr="00CB1E53">
              <w:rPr>
                <w:rFonts w:ascii="Segoe UI" w:hAnsi="Segoe UI" w:cs="Segoe UI"/>
                <w:sz w:val="18"/>
                <w:szCs w:val="18"/>
              </w:rPr>
              <w:t>delivered to public institutions.</w:t>
            </w:r>
          </w:p>
        </w:tc>
      </w:tr>
      <w:tr w:rsidR="00F77F6D" w:rsidRPr="00CB1E53" w14:paraId="077EF26A" w14:textId="77777777" w:rsidTr="006C2BDF">
        <w:tc>
          <w:tcPr>
            <w:tcW w:w="2425" w:type="dxa"/>
          </w:tcPr>
          <w:p w14:paraId="14E3A15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BB26FF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22A78ECB" w14:textId="77777777" w:rsidTr="006C2BDF">
        <w:tc>
          <w:tcPr>
            <w:tcW w:w="2425" w:type="dxa"/>
          </w:tcPr>
          <w:p w14:paraId="2C26744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A484C6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Making Moldova more self-sufficient in electricity generation from biofuels and securing thereby enhanced power generation capacity for all households and industry.</w:t>
            </w:r>
          </w:p>
        </w:tc>
      </w:tr>
      <w:tr w:rsidR="00F77F6D" w:rsidRPr="00CB1E53" w14:paraId="5DF4BBE5" w14:textId="77777777" w:rsidTr="006C2BDF">
        <w:tc>
          <w:tcPr>
            <w:tcW w:w="2425" w:type="dxa"/>
          </w:tcPr>
          <w:p w14:paraId="111DBBE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CBDF1D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Reduced VAT rate of 8% vs standard VAT rate of 20%</w:t>
            </w:r>
          </w:p>
        </w:tc>
      </w:tr>
      <w:tr w:rsidR="00F77F6D" w:rsidRPr="00CB1E53" w14:paraId="583DD972" w14:textId="77777777" w:rsidTr="006C2BDF">
        <w:tc>
          <w:tcPr>
            <w:tcW w:w="2425" w:type="dxa"/>
          </w:tcPr>
          <w:p w14:paraId="10D92FC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70A111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A reduced rate is therefore a TE.</w:t>
            </w:r>
          </w:p>
        </w:tc>
      </w:tr>
      <w:tr w:rsidR="00F77F6D" w:rsidRPr="00CB1E53" w14:paraId="1105232C" w14:textId="77777777" w:rsidTr="006C2BDF">
        <w:tc>
          <w:tcPr>
            <w:tcW w:w="2425" w:type="dxa"/>
          </w:tcPr>
          <w:p w14:paraId="57CBD8A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242A01C" w14:textId="5705DEE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 96 </w:t>
            </w:r>
            <w:r w:rsidR="00D82F06">
              <w:rPr>
                <w:rFonts w:ascii="Segoe UI" w:hAnsi="Segoe UI" w:cs="Segoe UI"/>
                <w:sz w:val="18"/>
                <w:szCs w:val="18"/>
              </w:rPr>
              <w:t xml:space="preserve">b) </w:t>
            </w:r>
            <w:r w:rsidRPr="00CB1E53">
              <w:rPr>
                <w:rFonts w:ascii="Segoe UI" w:hAnsi="Segoe UI" w:cs="Segoe UI"/>
                <w:sz w:val="18"/>
                <w:szCs w:val="18"/>
              </w:rPr>
              <w:t>of TC</w:t>
            </w:r>
          </w:p>
        </w:tc>
      </w:tr>
      <w:tr w:rsidR="00F77F6D" w:rsidRPr="00CB1E53" w14:paraId="1AF577BC" w14:textId="77777777" w:rsidTr="006C2BDF">
        <w:trPr>
          <w:trHeight w:val="182"/>
        </w:trPr>
        <w:tc>
          <w:tcPr>
            <w:tcW w:w="2425" w:type="dxa"/>
            <w:vMerge w:val="restart"/>
          </w:tcPr>
          <w:p w14:paraId="0D23100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52A832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Moldovan energy self-sufficiency/power generation capacity</w:t>
            </w:r>
          </w:p>
        </w:tc>
      </w:tr>
      <w:tr w:rsidR="00F77F6D" w:rsidRPr="00CB1E53" w14:paraId="3B3801BA" w14:textId="77777777" w:rsidTr="006C2BDF">
        <w:trPr>
          <w:trHeight w:val="182"/>
        </w:trPr>
        <w:tc>
          <w:tcPr>
            <w:tcW w:w="2425" w:type="dxa"/>
            <w:vMerge/>
          </w:tcPr>
          <w:p w14:paraId="55FF2C9B"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395F10D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2017</w:t>
            </w:r>
          </w:p>
        </w:tc>
        <w:tc>
          <w:tcPr>
            <w:tcW w:w="3738" w:type="dxa"/>
            <w:gridSpan w:val="3"/>
          </w:tcPr>
          <w:p w14:paraId="0F15325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75A62A57" w14:textId="77777777" w:rsidTr="006C2BDF">
        <w:tc>
          <w:tcPr>
            <w:tcW w:w="2425" w:type="dxa"/>
          </w:tcPr>
          <w:p w14:paraId="6EA70E2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9D75A0B" w14:textId="4CAC09BA"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4AF3D03F" w14:textId="77777777" w:rsidTr="006C2BDF">
        <w:tc>
          <w:tcPr>
            <w:tcW w:w="2425" w:type="dxa"/>
          </w:tcPr>
          <w:p w14:paraId="02B33D5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1454EFB" w14:textId="7EFE03A7"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555161DE" w14:textId="77777777" w:rsidTr="006C2BDF">
        <w:tc>
          <w:tcPr>
            <w:tcW w:w="2425" w:type="dxa"/>
          </w:tcPr>
          <w:p w14:paraId="0688E24C"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C5E362E" w14:textId="77777777" w:rsidR="00E05468" w:rsidRPr="00CB1E53" w:rsidRDefault="00E05468" w:rsidP="00FD11D9">
            <w:pPr>
              <w:spacing w:before="20" w:after="20"/>
              <w:jc w:val="both"/>
              <w:rPr>
                <w:rFonts w:ascii="Segoe UI" w:hAnsi="Segoe UI" w:cs="Segoe UI"/>
                <w:sz w:val="18"/>
                <w:szCs w:val="18"/>
              </w:rPr>
            </w:pPr>
          </w:p>
        </w:tc>
      </w:tr>
      <w:tr w:rsidR="00E05468" w:rsidRPr="00CB1E53" w14:paraId="5F7370C0" w14:textId="77777777" w:rsidTr="006C2BDF">
        <w:tc>
          <w:tcPr>
            <w:tcW w:w="2425" w:type="dxa"/>
          </w:tcPr>
          <w:p w14:paraId="2E2475B7"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7C4AED1" w14:textId="5EFE04DF"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33D1C71B" w14:textId="77777777" w:rsidTr="006C2BDF">
        <w:trPr>
          <w:trHeight w:val="91"/>
        </w:trPr>
        <w:tc>
          <w:tcPr>
            <w:tcW w:w="2425" w:type="dxa"/>
            <w:vMerge w:val="restart"/>
          </w:tcPr>
          <w:p w14:paraId="6AB95402"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62D8BDE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FF9ECFC"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2053D84"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E15ACBF" w14:textId="6F503706"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090F347" w14:textId="682458BF"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4924E75C" w14:textId="77777777" w:rsidTr="006C2BDF">
        <w:trPr>
          <w:trHeight w:val="91"/>
        </w:trPr>
        <w:tc>
          <w:tcPr>
            <w:tcW w:w="2425" w:type="dxa"/>
            <w:vMerge/>
          </w:tcPr>
          <w:p w14:paraId="11D02842"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79A53075"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5140F974"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44AEC835"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004376C5"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37300B0E"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27CCA364"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AA18652" w14:textId="77777777" w:rsidTr="006C2BDF">
        <w:tc>
          <w:tcPr>
            <w:tcW w:w="9625" w:type="dxa"/>
            <w:gridSpan w:val="7"/>
            <w:shd w:val="clear" w:color="auto" w:fill="D9D9D9" w:themeFill="background1" w:themeFillShade="D9"/>
          </w:tcPr>
          <w:p w14:paraId="7399B429" w14:textId="1EECB662" w:rsidR="00F77F6D" w:rsidRPr="00CB1E53" w:rsidRDefault="00F77F6D" w:rsidP="00FD11D9">
            <w:pPr>
              <w:spacing w:before="20" w:after="20"/>
              <w:jc w:val="both"/>
              <w:rPr>
                <w:rFonts w:ascii="Segoe UI" w:hAnsi="Segoe UI" w:cs="Segoe UI"/>
                <w:b/>
                <w:bCs/>
                <w:sz w:val="18"/>
                <w:szCs w:val="18"/>
              </w:rPr>
            </w:pPr>
            <w:bookmarkStart w:id="45" w:name="_Hlk95680274"/>
            <w:r w:rsidRPr="00CB1E53">
              <w:rPr>
                <w:rFonts w:ascii="Segoe UI" w:hAnsi="Segoe UI" w:cs="Segoe UI"/>
                <w:b/>
                <w:bCs/>
                <w:sz w:val="18"/>
                <w:szCs w:val="18"/>
              </w:rPr>
              <w:t>8. The supplies of zero-rated goods and services—i.e., electricity to residential customers</w:t>
            </w:r>
          </w:p>
        </w:tc>
      </w:tr>
      <w:tr w:rsidR="00F77F6D" w:rsidRPr="00CB1E53" w14:paraId="2C90AD5E" w14:textId="77777777" w:rsidTr="006C2BDF">
        <w:tc>
          <w:tcPr>
            <w:tcW w:w="2425" w:type="dxa"/>
          </w:tcPr>
          <w:p w14:paraId="51AAFAB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2760184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Electricity supplied to residential customers is zero-rated or exempt from VAT with a deduction right of input VAT. Electricity supplied to businesses (mostly VAT vendors) is VAT-able at the standard rate of 20%.</w:t>
            </w:r>
          </w:p>
        </w:tc>
      </w:tr>
      <w:tr w:rsidR="00F77F6D" w:rsidRPr="00CB1E53" w14:paraId="41C77BC9" w14:textId="77777777" w:rsidTr="006C2BDF">
        <w:tc>
          <w:tcPr>
            <w:tcW w:w="2425" w:type="dxa"/>
          </w:tcPr>
          <w:p w14:paraId="4557CAD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40E405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722D5BE3" w14:textId="77777777" w:rsidTr="006C2BDF">
        <w:tc>
          <w:tcPr>
            <w:tcW w:w="2425" w:type="dxa"/>
          </w:tcPr>
          <w:p w14:paraId="1CE4A59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AB2387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households benefit from the consumption of residential power supply without VAT.</w:t>
            </w:r>
          </w:p>
        </w:tc>
      </w:tr>
      <w:tr w:rsidR="00F77F6D" w:rsidRPr="00CB1E53" w14:paraId="7FE2D439" w14:textId="77777777" w:rsidTr="006C2BDF">
        <w:tc>
          <w:tcPr>
            <w:tcW w:w="2425" w:type="dxa"/>
          </w:tcPr>
          <w:p w14:paraId="512AFCD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931A06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Non-taxation – exempt supply with the right of deduction</w:t>
            </w:r>
          </w:p>
        </w:tc>
      </w:tr>
      <w:tr w:rsidR="00F77F6D" w:rsidRPr="00CB1E53" w14:paraId="15E46A3E" w14:textId="77777777" w:rsidTr="006C2BDF">
        <w:tc>
          <w:tcPr>
            <w:tcW w:w="2425" w:type="dxa"/>
          </w:tcPr>
          <w:p w14:paraId="3BF47C0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D46F2FC" w14:textId="26483DC6"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a modern VAT, the benchmark tax regime provides that all final consumption of goods and services to final consumers should be at the standard VAT rate. The residential VAT zero-rating is a tax expenditure. Also, only exports should attract zero-rating so that supplies of exports can benefit from the deduction of input VAT </w:t>
            </w:r>
            <w:r w:rsidR="000563DB" w:rsidRPr="00CB1E53">
              <w:rPr>
                <w:rFonts w:ascii="Segoe UI" w:hAnsi="Segoe UI" w:cs="Segoe UI"/>
                <w:sz w:val="18"/>
                <w:szCs w:val="18"/>
              </w:rPr>
              <w:t>to</w:t>
            </w:r>
            <w:r w:rsidRPr="00CB1E53">
              <w:rPr>
                <w:rFonts w:ascii="Segoe UI" w:hAnsi="Segoe UI" w:cs="Segoe UI"/>
                <w:sz w:val="18"/>
                <w:szCs w:val="18"/>
              </w:rPr>
              <w:t xml:space="preserve"> ensure the international competitiveness of Moldovan based exporters.</w:t>
            </w:r>
          </w:p>
        </w:tc>
      </w:tr>
      <w:tr w:rsidR="00F77F6D" w:rsidRPr="00CB1E53" w14:paraId="050C59A9" w14:textId="77777777" w:rsidTr="006C2BDF">
        <w:tc>
          <w:tcPr>
            <w:tcW w:w="2425" w:type="dxa"/>
          </w:tcPr>
          <w:p w14:paraId="76CC84F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F150923" w14:textId="2299F3E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TC, Art. 104</w:t>
            </w:r>
            <w:r w:rsidR="00D82F06">
              <w:rPr>
                <w:rFonts w:ascii="Segoe UI" w:hAnsi="Segoe UI" w:cs="Segoe UI"/>
                <w:sz w:val="18"/>
                <w:szCs w:val="18"/>
              </w:rPr>
              <w:t xml:space="preserve"> </w:t>
            </w:r>
            <w:r w:rsidRPr="00CB1E53">
              <w:rPr>
                <w:rFonts w:ascii="Segoe UI" w:hAnsi="Segoe UI" w:cs="Segoe UI"/>
                <w:sz w:val="18"/>
                <w:szCs w:val="18"/>
              </w:rPr>
              <w:t>(b)</w:t>
            </w:r>
          </w:p>
        </w:tc>
      </w:tr>
      <w:tr w:rsidR="00F77F6D" w:rsidRPr="00CB1E53" w14:paraId="310BB4D5" w14:textId="77777777" w:rsidTr="006C2BDF">
        <w:trPr>
          <w:trHeight w:val="182"/>
        </w:trPr>
        <w:tc>
          <w:tcPr>
            <w:tcW w:w="2425" w:type="dxa"/>
            <w:vMerge w:val="restart"/>
          </w:tcPr>
          <w:p w14:paraId="45D868F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A40550E" w14:textId="77777777" w:rsidR="00F77F6D" w:rsidRPr="00CB1E53" w:rsidRDefault="00F77F6D"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Fiscal support, in particular to lower-income households by reducing expenditure on a major household expenditure category.</w:t>
            </w:r>
          </w:p>
        </w:tc>
      </w:tr>
      <w:tr w:rsidR="00F77F6D" w:rsidRPr="00CB1E53" w14:paraId="5AA38C0D" w14:textId="77777777" w:rsidTr="006C2BDF">
        <w:trPr>
          <w:trHeight w:val="182"/>
        </w:trPr>
        <w:tc>
          <w:tcPr>
            <w:tcW w:w="2425" w:type="dxa"/>
            <w:vMerge/>
          </w:tcPr>
          <w:p w14:paraId="29251271"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0E41425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and effective on 1 Jan 2017</w:t>
            </w:r>
          </w:p>
        </w:tc>
        <w:tc>
          <w:tcPr>
            <w:tcW w:w="3738" w:type="dxa"/>
            <w:gridSpan w:val="3"/>
          </w:tcPr>
          <w:p w14:paraId="789A831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43655FC2" w14:textId="77777777" w:rsidTr="006C2BDF">
        <w:tc>
          <w:tcPr>
            <w:tcW w:w="2425" w:type="dxa"/>
          </w:tcPr>
          <w:p w14:paraId="4F40BD3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1A8CA4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69D9B0B5" w14:textId="77777777" w:rsidTr="006C2BDF">
        <w:tc>
          <w:tcPr>
            <w:tcW w:w="2425" w:type="dxa"/>
          </w:tcPr>
          <w:p w14:paraId="23177E6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7581991" w14:textId="77777777" w:rsidR="00F77F6D" w:rsidRPr="00CB1E53" w:rsidRDefault="00F77F6D" w:rsidP="00FD11D9">
            <w:pPr>
              <w:autoSpaceDE w:val="0"/>
              <w:autoSpaceDN w:val="0"/>
              <w:adjustRightInd w:val="0"/>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1846BEA6" w14:textId="77777777" w:rsidTr="006C2BDF">
        <w:tc>
          <w:tcPr>
            <w:tcW w:w="2425" w:type="dxa"/>
          </w:tcPr>
          <w:p w14:paraId="5F5CF23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0BC4CF0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households, 1.08 million</w:t>
            </w:r>
          </w:p>
        </w:tc>
      </w:tr>
      <w:tr w:rsidR="00F77F6D" w:rsidRPr="00CB1E53" w14:paraId="452BE51D" w14:textId="77777777" w:rsidTr="006C2BDF">
        <w:tc>
          <w:tcPr>
            <w:tcW w:w="2425" w:type="dxa"/>
          </w:tcPr>
          <w:p w14:paraId="6D0C92E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66BEB3B" w14:textId="775068A2"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154E0972" w14:textId="77777777" w:rsidTr="006C2BDF">
        <w:trPr>
          <w:trHeight w:val="91"/>
        </w:trPr>
        <w:tc>
          <w:tcPr>
            <w:tcW w:w="2425" w:type="dxa"/>
            <w:vMerge w:val="restart"/>
          </w:tcPr>
          <w:p w14:paraId="40016998"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13CC0D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2BDC82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5B52D4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297E3B3" w14:textId="0EF9BEB3"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807261E" w14:textId="67B0D549"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466A8FEB" w14:textId="77777777" w:rsidTr="0019525F">
        <w:trPr>
          <w:trHeight w:val="91"/>
        </w:trPr>
        <w:tc>
          <w:tcPr>
            <w:tcW w:w="2425" w:type="dxa"/>
            <w:vMerge/>
          </w:tcPr>
          <w:p w14:paraId="6DCD04E5" w14:textId="77777777" w:rsidR="00F77F6D" w:rsidRPr="00CB1E53" w:rsidRDefault="00F77F6D" w:rsidP="00FD11D9">
            <w:pPr>
              <w:keepNext/>
              <w:keepLines/>
              <w:spacing w:before="20" w:after="20"/>
              <w:jc w:val="both"/>
              <w:rPr>
                <w:rFonts w:ascii="Segoe UI" w:hAnsi="Segoe UI" w:cs="Segoe UI"/>
                <w:b/>
                <w:bCs/>
                <w:sz w:val="18"/>
                <w:szCs w:val="18"/>
              </w:rPr>
            </w:pPr>
          </w:p>
        </w:tc>
        <w:tc>
          <w:tcPr>
            <w:tcW w:w="1385" w:type="dxa"/>
            <w:shd w:val="clear" w:color="auto" w:fill="D9D9D9" w:themeFill="background1" w:themeFillShade="D9"/>
          </w:tcPr>
          <w:p w14:paraId="6D41C504" w14:textId="6B817E09" w:rsidR="00F77F6D" w:rsidRPr="0019525F" w:rsidRDefault="00F77F6D" w:rsidP="00FD11D9">
            <w:pPr>
              <w:keepNext/>
              <w:keepLines/>
              <w:spacing w:before="20" w:after="20"/>
              <w:jc w:val="both"/>
              <w:rPr>
                <w:rFonts w:ascii="Segoe UI" w:hAnsi="Segoe UI" w:cs="Segoe UI"/>
                <w:i/>
                <w:iCs/>
                <w:sz w:val="18"/>
                <w:szCs w:val="18"/>
              </w:rPr>
            </w:pPr>
            <w:r w:rsidRPr="0019525F">
              <w:rPr>
                <w:rFonts w:ascii="Segoe UI" w:hAnsi="Segoe UI" w:cs="Segoe UI"/>
                <w:i/>
                <w:iCs/>
                <w:sz w:val="18"/>
                <w:szCs w:val="18"/>
              </w:rPr>
              <w:t>499.4</w:t>
            </w:r>
          </w:p>
        </w:tc>
        <w:tc>
          <w:tcPr>
            <w:tcW w:w="1385" w:type="dxa"/>
            <w:shd w:val="clear" w:color="auto" w:fill="D9D9D9" w:themeFill="background1" w:themeFillShade="D9"/>
          </w:tcPr>
          <w:p w14:paraId="0F30262A" w14:textId="12E999D7" w:rsidR="00F77F6D" w:rsidRPr="0019525F" w:rsidRDefault="00F77F6D" w:rsidP="00FD11D9">
            <w:pPr>
              <w:keepNext/>
              <w:keepLines/>
              <w:spacing w:before="20" w:after="20"/>
              <w:jc w:val="both"/>
              <w:rPr>
                <w:rFonts w:ascii="Segoe UI" w:hAnsi="Segoe UI" w:cs="Segoe UI"/>
                <w:i/>
                <w:iCs/>
                <w:sz w:val="18"/>
                <w:szCs w:val="18"/>
              </w:rPr>
            </w:pPr>
            <w:r w:rsidRPr="0019525F">
              <w:rPr>
                <w:rFonts w:ascii="Segoe UI" w:hAnsi="Segoe UI" w:cs="Segoe UI"/>
                <w:i/>
                <w:iCs/>
                <w:sz w:val="18"/>
                <w:szCs w:val="18"/>
              </w:rPr>
              <w:t>547.3</w:t>
            </w:r>
          </w:p>
        </w:tc>
        <w:tc>
          <w:tcPr>
            <w:tcW w:w="1385" w:type="dxa"/>
            <w:gridSpan w:val="2"/>
            <w:shd w:val="clear" w:color="auto" w:fill="D9D9D9" w:themeFill="background1" w:themeFillShade="D9"/>
          </w:tcPr>
          <w:p w14:paraId="4534C88A" w14:textId="5C3AB0E8" w:rsidR="00F77F6D" w:rsidRPr="0019525F" w:rsidRDefault="00F77F6D" w:rsidP="00FD11D9">
            <w:pPr>
              <w:keepNext/>
              <w:keepLines/>
              <w:spacing w:before="20" w:after="20"/>
              <w:jc w:val="both"/>
              <w:rPr>
                <w:rFonts w:ascii="Segoe UI" w:hAnsi="Segoe UI" w:cs="Segoe UI"/>
                <w:i/>
                <w:iCs/>
                <w:sz w:val="18"/>
                <w:szCs w:val="18"/>
              </w:rPr>
            </w:pPr>
            <w:r w:rsidRPr="0019525F">
              <w:rPr>
                <w:rFonts w:ascii="Segoe UI" w:hAnsi="Segoe UI" w:cs="Segoe UI"/>
                <w:i/>
                <w:iCs/>
                <w:sz w:val="18"/>
                <w:szCs w:val="18"/>
              </w:rPr>
              <w:t>532.2</w:t>
            </w:r>
          </w:p>
        </w:tc>
        <w:tc>
          <w:tcPr>
            <w:tcW w:w="1385" w:type="dxa"/>
            <w:shd w:val="clear" w:color="auto" w:fill="D9D9D9" w:themeFill="background1" w:themeFillShade="D9"/>
          </w:tcPr>
          <w:p w14:paraId="14FE2137" w14:textId="686A5A38" w:rsidR="00F77F6D" w:rsidRPr="0019525F" w:rsidRDefault="00F77F6D" w:rsidP="00FD11D9">
            <w:pPr>
              <w:keepNext/>
              <w:keepLines/>
              <w:spacing w:before="20" w:after="20"/>
              <w:jc w:val="both"/>
              <w:rPr>
                <w:rFonts w:ascii="Segoe UI" w:hAnsi="Segoe UI" w:cs="Segoe UI"/>
                <w:i/>
                <w:iCs/>
                <w:sz w:val="18"/>
                <w:szCs w:val="18"/>
              </w:rPr>
            </w:pPr>
            <w:r w:rsidRPr="0019525F">
              <w:rPr>
                <w:rFonts w:ascii="Segoe UI" w:hAnsi="Segoe UI" w:cs="Segoe UI"/>
                <w:i/>
                <w:iCs/>
                <w:sz w:val="18"/>
                <w:szCs w:val="18"/>
              </w:rPr>
              <w:t>648.3</w:t>
            </w:r>
          </w:p>
        </w:tc>
        <w:tc>
          <w:tcPr>
            <w:tcW w:w="1660" w:type="dxa"/>
            <w:shd w:val="clear" w:color="auto" w:fill="D9D9D9" w:themeFill="background1" w:themeFillShade="D9"/>
          </w:tcPr>
          <w:p w14:paraId="744CEE9A" w14:textId="45428B8A" w:rsidR="00F77F6D" w:rsidRPr="0019525F" w:rsidRDefault="00F77F6D" w:rsidP="00FD11D9">
            <w:pPr>
              <w:keepNext/>
              <w:keepLines/>
              <w:spacing w:before="20" w:after="20"/>
              <w:jc w:val="both"/>
              <w:rPr>
                <w:rFonts w:ascii="Segoe UI" w:hAnsi="Segoe UI" w:cs="Segoe UI"/>
                <w:i/>
                <w:iCs/>
                <w:sz w:val="18"/>
                <w:szCs w:val="18"/>
              </w:rPr>
            </w:pPr>
            <w:r w:rsidRPr="0019525F">
              <w:rPr>
                <w:rFonts w:ascii="Segoe UI" w:hAnsi="Segoe UI" w:cs="Segoe UI"/>
                <w:i/>
                <w:iCs/>
                <w:sz w:val="18"/>
                <w:szCs w:val="18"/>
              </w:rPr>
              <w:t>714.3</w:t>
            </w:r>
          </w:p>
        </w:tc>
      </w:tr>
      <w:bookmarkEnd w:id="45"/>
    </w:tbl>
    <w:p w14:paraId="61053499"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178A7B20" w14:textId="77777777" w:rsidTr="006C2BDF">
        <w:tc>
          <w:tcPr>
            <w:tcW w:w="9625" w:type="dxa"/>
            <w:gridSpan w:val="7"/>
            <w:shd w:val="clear" w:color="auto" w:fill="D9D9D9" w:themeFill="background1" w:themeFillShade="D9"/>
          </w:tcPr>
          <w:p w14:paraId="1FBFAE32" w14:textId="7A1D8413"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9. Zero-rating of supplies of goods and services consumed by foreign diplomatic mission and representative offices of international organizations</w:t>
            </w:r>
          </w:p>
        </w:tc>
      </w:tr>
      <w:tr w:rsidR="00F77F6D" w:rsidRPr="00CB1E53" w14:paraId="6286D685" w14:textId="77777777" w:rsidTr="006C2BDF">
        <w:tc>
          <w:tcPr>
            <w:tcW w:w="2425" w:type="dxa"/>
          </w:tcPr>
          <w:p w14:paraId="36A22EA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Description</w:t>
            </w:r>
          </w:p>
        </w:tc>
        <w:tc>
          <w:tcPr>
            <w:tcW w:w="7200" w:type="dxa"/>
            <w:gridSpan w:val="6"/>
          </w:tcPr>
          <w:p w14:paraId="06E38C3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Based on reciprocity, the zero-rating of supplies of goods, services into the territory of the Republic of Moldova intended for official use by diplomatic missions and consular offices accredited in Moldova, by representative offices of international organizations accredited in Moldova, intended for personal use or consumption by the staff members of these diplomatic missions and consular offices.</w:t>
            </w:r>
          </w:p>
        </w:tc>
      </w:tr>
      <w:tr w:rsidR="00F77F6D" w:rsidRPr="00CB1E53" w14:paraId="75D38F6B" w14:textId="77777777" w:rsidTr="006C2BDF">
        <w:tc>
          <w:tcPr>
            <w:tcW w:w="2425" w:type="dxa"/>
          </w:tcPr>
          <w:p w14:paraId="69E0A38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9EE4B8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7883FB5C" w14:textId="77777777" w:rsidTr="006C2BDF">
        <w:tc>
          <w:tcPr>
            <w:tcW w:w="2425" w:type="dxa"/>
          </w:tcPr>
          <w:p w14:paraId="5031E9D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5E5B60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Diplomatic and consular staff of foreign diplomatic missions or international organizations</w:t>
            </w:r>
          </w:p>
        </w:tc>
      </w:tr>
      <w:tr w:rsidR="00F77F6D" w:rsidRPr="00CB1E53" w14:paraId="3F9BA446" w14:textId="77777777" w:rsidTr="006C2BDF">
        <w:tc>
          <w:tcPr>
            <w:tcW w:w="2425" w:type="dxa"/>
          </w:tcPr>
          <w:p w14:paraId="7A4EDEB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EC2509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Domestic zero-rating of goods and services</w:t>
            </w:r>
          </w:p>
        </w:tc>
      </w:tr>
      <w:tr w:rsidR="00F77F6D" w:rsidRPr="00CB1E53" w14:paraId="63845B12" w14:textId="77777777" w:rsidTr="006C2BDF">
        <w:tc>
          <w:tcPr>
            <w:tcW w:w="2425" w:type="dxa"/>
          </w:tcPr>
          <w:p w14:paraId="50F9FA5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1054DB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 This zero-rating represents a tax expenditure.</w:t>
            </w:r>
          </w:p>
        </w:tc>
      </w:tr>
      <w:tr w:rsidR="00F77F6D" w:rsidRPr="00CB1E53" w14:paraId="23B1F815" w14:textId="77777777" w:rsidTr="006C2BDF">
        <w:tc>
          <w:tcPr>
            <w:tcW w:w="2425" w:type="dxa"/>
          </w:tcPr>
          <w:p w14:paraId="67A6B4B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16F3E34" w14:textId="66A66F3F" w:rsidR="00F77F6D" w:rsidRPr="00CB1E53" w:rsidRDefault="00D82F06" w:rsidP="00FD11D9">
            <w:pPr>
              <w:spacing w:before="20" w:after="20"/>
              <w:jc w:val="both"/>
              <w:rPr>
                <w:rFonts w:ascii="Segoe UI" w:hAnsi="Segoe UI" w:cs="Segoe UI"/>
                <w:sz w:val="18"/>
                <w:szCs w:val="18"/>
              </w:rPr>
            </w:pPr>
            <w:r w:rsidRPr="00CB1E53">
              <w:rPr>
                <w:rFonts w:ascii="Segoe UI" w:hAnsi="Segoe UI" w:cs="Segoe UI"/>
                <w:sz w:val="18"/>
                <w:szCs w:val="18"/>
              </w:rPr>
              <w:t>Art. 10</w:t>
            </w:r>
            <w:r>
              <w:rPr>
                <w:rFonts w:ascii="Segoe UI" w:hAnsi="Segoe UI" w:cs="Segoe UI"/>
                <w:sz w:val="18"/>
                <w:szCs w:val="18"/>
              </w:rPr>
              <w:t>1</w:t>
            </w:r>
            <w:r>
              <w:rPr>
                <w:rFonts w:ascii="Segoe UI" w:hAnsi="Segoe UI" w:cs="Segoe UI"/>
                <w:sz w:val="18"/>
                <w:szCs w:val="18"/>
                <w:vertAlign w:val="superscript"/>
              </w:rPr>
              <w:t xml:space="preserve">5 </w:t>
            </w:r>
            <w:r>
              <w:rPr>
                <w:rFonts w:ascii="Segoe UI" w:hAnsi="Segoe UI" w:cs="Segoe UI"/>
                <w:sz w:val="18"/>
                <w:szCs w:val="18"/>
              </w:rPr>
              <w:t>(1)</w:t>
            </w:r>
          </w:p>
        </w:tc>
      </w:tr>
      <w:tr w:rsidR="00F77F6D" w:rsidRPr="00CB1E53" w14:paraId="02609C73" w14:textId="77777777" w:rsidTr="006C2BDF">
        <w:trPr>
          <w:trHeight w:val="182"/>
        </w:trPr>
        <w:tc>
          <w:tcPr>
            <w:tcW w:w="2425" w:type="dxa"/>
            <w:vMerge w:val="restart"/>
          </w:tcPr>
          <w:p w14:paraId="7D86F10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CD9961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548D9D4A" w14:textId="77777777" w:rsidTr="006C2BDF">
        <w:trPr>
          <w:trHeight w:val="182"/>
        </w:trPr>
        <w:tc>
          <w:tcPr>
            <w:tcW w:w="2425" w:type="dxa"/>
            <w:vMerge/>
          </w:tcPr>
          <w:p w14:paraId="4F5E86F2"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786BE155" w14:textId="70B6A30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D82F06">
              <w:rPr>
                <w:rFonts w:ascii="Segoe UI" w:hAnsi="Segoe UI" w:cs="Segoe UI"/>
                <w:sz w:val="18"/>
                <w:szCs w:val="18"/>
              </w:rPr>
              <w:t xml:space="preserve"> 2020</w:t>
            </w:r>
          </w:p>
        </w:tc>
        <w:tc>
          <w:tcPr>
            <w:tcW w:w="3738" w:type="dxa"/>
            <w:gridSpan w:val="3"/>
          </w:tcPr>
          <w:p w14:paraId="5DB06E8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6A312E38" w14:textId="77777777" w:rsidTr="006C2BDF">
        <w:tc>
          <w:tcPr>
            <w:tcW w:w="2425" w:type="dxa"/>
          </w:tcPr>
          <w:p w14:paraId="57D81512"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7AD30AD" w14:textId="74DC0B83"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3A3D6620" w14:textId="77777777" w:rsidTr="006C2BDF">
        <w:tc>
          <w:tcPr>
            <w:tcW w:w="2425" w:type="dxa"/>
          </w:tcPr>
          <w:p w14:paraId="7BC6FE38"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C13AF6B" w14:textId="35BE754A"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F77F6D" w:rsidRPr="00CB1E53" w14:paraId="5C578DFA" w14:textId="77777777" w:rsidTr="006C2BDF">
        <w:tc>
          <w:tcPr>
            <w:tcW w:w="2425" w:type="dxa"/>
          </w:tcPr>
          <w:p w14:paraId="6083B3B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7914D84"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A2946E4" w14:textId="77777777" w:rsidTr="006C2BDF">
        <w:tc>
          <w:tcPr>
            <w:tcW w:w="2425" w:type="dxa"/>
          </w:tcPr>
          <w:p w14:paraId="25EEA58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F5139F5" w14:textId="247D4D48"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3ABC050C" w14:textId="77777777" w:rsidTr="006C2BDF">
        <w:trPr>
          <w:trHeight w:val="91"/>
        </w:trPr>
        <w:tc>
          <w:tcPr>
            <w:tcW w:w="2425" w:type="dxa"/>
            <w:vMerge w:val="restart"/>
          </w:tcPr>
          <w:p w14:paraId="1C917F55"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4CEA5F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6C0BBA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AEC033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B43E6AB" w14:textId="69510EC5"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6F4DC80" w14:textId="5F515D62"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8E9B366" w14:textId="77777777" w:rsidTr="006C2BDF">
        <w:trPr>
          <w:trHeight w:val="91"/>
        </w:trPr>
        <w:tc>
          <w:tcPr>
            <w:tcW w:w="2425" w:type="dxa"/>
            <w:vMerge/>
          </w:tcPr>
          <w:p w14:paraId="5A1A8270"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460ADDC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9EBD68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5791660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000355B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1AFAF73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44818C20"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F0D5B70" w14:textId="77777777" w:rsidTr="0095713A">
        <w:tc>
          <w:tcPr>
            <w:tcW w:w="9625" w:type="dxa"/>
            <w:gridSpan w:val="7"/>
            <w:shd w:val="clear" w:color="auto" w:fill="D9D9D9" w:themeFill="background1" w:themeFillShade="D9"/>
          </w:tcPr>
          <w:p w14:paraId="38E973D4" w14:textId="5960B444"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10. Zero-rating the supply of goods and services destined for technical and investment assistance projects conducted in the territory of Moldova</w:t>
            </w:r>
          </w:p>
        </w:tc>
      </w:tr>
      <w:tr w:rsidR="00F77F6D" w:rsidRPr="00CB1E53" w14:paraId="6617A4A3" w14:textId="77777777" w:rsidTr="006C2BDF">
        <w:tc>
          <w:tcPr>
            <w:tcW w:w="2425" w:type="dxa"/>
          </w:tcPr>
          <w:p w14:paraId="6E79C63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50B5B618" w14:textId="70421BD3"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supply of goods and services destined for use by technical and investment assistance projects conducted in Moldova is zero-rated</w:t>
            </w:r>
            <w:r w:rsidR="008862E5">
              <w:rPr>
                <w:rFonts w:ascii="Segoe UI" w:hAnsi="Segoe UI" w:cs="Segoe UI"/>
                <w:sz w:val="18"/>
                <w:szCs w:val="18"/>
              </w:rPr>
              <w:t>.</w:t>
            </w:r>
            <w:r w:rsidRPr="00CB1E53">
              <w:rPr>
                <w:rFonts w:ascii="Segoe UI" w:hAnsi="Segoe UI" w:cs="Segoe UI"/>
                <w:sz w:val="18"/>
                <w:szCs w:val="18"/>
              </w:rPr>
              <w:t xml:space="preserve"> </w:t>
            </w:r>
          </w:p>
        </w:tc>
      </w:tr>
      <w:tr w:rsidR="00F77F6D" w:rsidRPr="00CB1E53" w14:paraId="0B53BCBD" w14:textId="77777777" w:rsidTr="006C2BDF">
        <w:tc>
          <w:tcPr>
            <w:tcW w:w="2425" w:type="dxa"/>
          </w:tcPr>
          <w:p w14:paraId="3413ECF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B767AD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1987F9B" w14:textId="77777777" w:rsidTr="006C2BDF">
        <w:tc>
          <w:tcPr>
            <w:tcW w:w="2425" w:type="dxa"/>
          </w:tcPr>
          <w:p w14:paraId="267C535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A95D85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Countries that finance the technical and investment assistance projects</w:t>
            </w:r>
          </w:p>
        </w:tc>
      </w:tr>
      <w:tr w:rsidR="00F77F6D" w:rsidRPr="00CB1E53" w14:paraId="07F3E1EA" w14:textId="77777777" w:rsidTr="006C2BDF">
        <w:tc>
          <w:tcPr>
            <w:tcW w:w="2425" w:type="dxa"/>
          </w:tcPr>
          <w:p w14:paraId="4264318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18CCE82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Domestic zero-rating of goods and services</w:t>
            </w:r>
          </w:p>
        </w:tc>
      </w:tr>
      <w:tr w:rsidR="00F77F6D" w:rsidRPr="00CB1E53" w14:paraId="58815133" w14:textId="77777777" w:rsidTr="006C2BDF">
        <w:tc>
          <w:tcPr>
            <w:tcW w:w="2425" w:type="dxa"/>
          </w:tcPr>
          <w:p w14:paraId="322E802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CF6860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w:t>
            </w:r>
          </w:p>
        </w:tc>
      </w:tr>
      <w:tr w:rsidR="00F77F6D" w:rsidRPr="00CB1E53" w14:paraId="6098308F" w14:textId="77777777" w:rsidTr="006C2BDF">
        <w:tc>
          <w:tcPr>
            <w:tcW w:w="2425" w:type="dxa"/>
          </w:tcPr>
          <w:p w14:paraId="7414FF5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495C44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104(c)</w:t>
            </w:r>
          </w:p>
        </w:tc>
      </w:tr>
      <w:tr w:rsidR="00F77F6D" w:rsidRPr="00CB1E53" w14:paraId="0F6AFB41" w14:textId="77777777" w:rsidTr="006C2BDF">
        <w:trPr>
          <w:trHeight w:val="182"/>
        </w:trPr>
        <w:tc>
          <w:tcPr>
            <w:tcW w:w="2425" w:type="dxa"/>
            <w:vMerge w:val="restart"/>
          </w:tcPr>
          <w:p w14:paraId="498BCA7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2E251DB"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AED016F" w14:textId="77777777" w:rsidTr="006C2BDF">
        <w:trPr>
          <w:trHeight w:val="182"/>
        </w:trPr>
        <w:tc>
          <w:tcPr>
            <w:tcW w:w="2425" w:type="dxa"/>
            <w:vMerge/>
          </w:tcPr>
          <w:p w14:paraId="1635A50A"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23091B7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2008</w:t>
            </w:r>
          </w:p>
        </w:tc>
        <w:tc>
          <w:tcPr>
            <w:tcW w:w="3738" w:type="dxa"/>
            <w:gridSpan w:val="3"/>
          </w:tcPr>
          <w:p w14:paraId="2F7086B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246EE4B0" w14:textId="77777777" w:rsidTr="006C2BDF">
        <w:tc>
          <w:tcPr>
            <w:tcW w:w="2425" w:type="dxa"/>
          </w:tcPr>
          <w:p w14:paraId="415CC8D4"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F914E20" w14:textId="11EAAE4B"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2D42DF49" w14:textId="77777777" w:rsidTr="006C2BDF">
        <w:tc>
          <w:tcPr>
            <w:tcW w:w="2425" w:type="dxa"/>
          </w:tcPr>
          <w:p w14:paraId="4D47FD38"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DCA198B" w14:textId="274A2C56"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F77F6D" w:rsidRPr="00CB1E53" w14:paraId="37291810" w14:textId="77777777" w:rsidTr="006C2BDF">
        <w:tc>
          <w:tcPr>
            <w:tcW w:w="2425" w:type="dxa"/>
          </w:tcPr>
          <w:p w14:paraId="797CBBA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138B29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359095AA" w14:textId="77777777" w:rsidTr="006C2BDF">
        <w:tc>
          <w:tcPr>
            <w:tcW w:w="2425" w:type="dxa"/>
          </w:tcPr>
          <w:p w14:paraId="3E8CEE4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F9E4382" w14:textId="0CDFFAB9"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7A1B71A9" w14:textId="77777777" w:rsidTr="006C2BDF">
        <w:trPr>
          <w:trHeight w:val="91"/>
        </w:trPr>
        <w:tc>
          <w:tcPr>
            <w:tcW w:w="2425" w:type="dxa"/>
            <w:vMerge w:val="restart"/>
          </w:tcPr>
          <w:p w14:paraId="06CA6085"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CE585E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C4F334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570143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7C597B7" w14:textId="1375EC61"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25A37CD" w14:textId="56CE8169"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6D9C773F" w14:textId="77777777" w:rsidTr="006C2BDF">
        <w:trPr>
          <w:trHeight w:val="91"/>
        </w:trPr>
        <w:tc>
          <w:tcPr>
            <w:tcW w:w="2425" w:type="dxa"/>
            <w:vMerge/>
          </w:tcPr>
          <w:p w14:paraId="09E45776"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17FBEF1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3710C33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191DD7B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8EA67C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439CB36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2697A87F"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7520B823" w14:textId="77777777" w:rsidTr="0095713A">
        <w:tc>
          <w:tcPr>
            <w:tcW w:w="9625" w:type="dxa"/>
            <w:gridSpan w:val="7"/>
            <w:shd w:val="clear" w:color="auto" w:fill="D9D9D9" w:themeFill="background1" w:themeFillShade="D9"/>
          </w:tcPr>
          <w:p w14:paraId="1CEAC1FD" w14:textId="6DF07163"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11. Exempting the supply of residential buildings, land and the lease of such buildings, land and land plots</w:t>
            </w:r>
          </w:p>
        </w:tc>
      </w:tr>
      <w:tr w:rsidR="00F77F6D" w:rsidRPr="00CB1E53" w14:paraId="1215D175" w14:textId="77777777" w:rsidTr="006C2BDF">
        <w:tc>
          <w:tcPr>
            <w:tcW w:w="2425" w:type="dxa"/>
          </w:tcPr>
          <w:p w14:paraId="0344FD8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08BE92E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supply of residential buildings, land and the lease of such buildings, land and land plots is exempt from VAT.</w:t>
            </w:r>
          </w:p>
        </w:tc>
      </w:tr>
      <w:tr w:rsidR="00F77F6D" w:rsidRPr="00CB1E53" w14:paraId="311EB26D" w14:textId="77777777" w:rsidTr="006C2BDF">
        <w:tc>
          <w:tcPr>
            <w:tcW w:w="2425" w:type="dxa"/>
          </w:tcPr>
          <w:p w14:paraId="6A11287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2F497BC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A468F7D" w14:textId="77777777" w:rsidTr="006C2BDF">
        <w:tc>
          <w:tcPr>
            <w:tcW w:w="2425" w:type="dxa"/>
          </w:tcPr>
          <w:p w14:paraId="01AFC25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EC0173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Prospective homeowners and tenants of residential buildings and land</w:t>
            </w:r>
          </w:p>
        </w:tc>
      </w:tr>
      <w:tr w:rsidR="00F77F6D" w:rsidRPr="00CB1E53" w14:paraId="6E5EFEF1" w14:textId="77777777" w:rsidTr="006C2BDF">
        <w:tc>
          <w:tcPr>
            <w:tcW w:w="2425" w:type="dxa"/>
          </w:tcPr>
          <w:p w14:paraId="3FFB935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Measure</w:t>
            </w:r>
          </w:p>
        </w:tc>
        <w:tc>
          <w:tcPr>
            <w:tcW w:w="7200" w:type="dxa"/>
            <w:gridSpan w:val="6"/>
          </w:tcPr>
          <w:p w14:paraId="31503DC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07E6C669" w14:textId="77777777" w:rsidTr="006C2BDF">
        <w:tc>
          <w:tcPr>
            <w:tcW w:w="2425" w:type="dxa"/>
          </w:tcPr>
          <w:p w14:paraId="4D6742D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D7CCD9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including the first sale of new residential dwellings bought by a natural person from a property developer, should attract VAT at the standard rate.</w:t>
            </w:r>
          </w:p>
        </w:tc>
      </w:tr>
      <w:tr w:rsidR="00F77F6D" w:rsidRPr="00CB1E53" w14:paraId="1A264EC1" w14:textId="77777777" w:rsidTr="006C2BDF">
        <w:tc>
          <w:tcPr>
            <w:tcW w:w="2425" w:type="dxa"/>
          </w:tcPr>
          <w:p w14:paraId="3B566D5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DAE134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 of TC</w:t>
            </w:r>
          </w:p>
        </w:tc>
      </w:tr>
      <w:tr w:rsidR="00F77F6D" w:rsidRPr="00CB1E53" w14:paraId="0C4CB173" w14:textId="77777777" w:rsidTr="006C2BDF">
        <w:trPr>
          <w:trHeight w:val="182"/>
        </w:trPr>
        <w:tc>
          <w:tcPr>
            <w:tcW w:w="2425" w:type="dxa"/>
            <w:vMerge w:val="restart"/>
          </w:tcPr>
          <w:p w14:paraId="4AA8125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CD541DE"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85ACF2C" w14:textId="77777777" w:rsidTr="006C2BDF">
        <w:trPr>
          <w:trHeight w:val="182"/>
        </w:trPr>
        <w:tc>
          <w:tcPr>
            <w:tcW w:w="2425" w:type="dxa"/>
            <w:vMerge/>
          </w:tcPr>
          <w:p w14:paraId="75404D69"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3EE69DAB" w14:textId="584788E0"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8C112A">
              <w:rPr>
                <w:rFonts w:ascii="Segoe UI" w:hAnsi="Segoe UI" w:cs="Segoe UI"/>
                <w:sz w:val="18"/>
                <w:szCs w:val="18"/>
              </w:rPr>
              <w:t xml:space="preserve"> 1998</w:t>
            </w:r>
          </w:p>
        </w:tc>
        <w:tc>
          <w:tcPr>
            <w:tcW w:w="3738" w:type="dxa"/>
            <w:gridSpan w:val="3"/>
          </w:tcPr>
          <w:p w14:paraId="303B91F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0A065535" w14:textId="77777777" w:rsidTr="006C2BDF">
        <w:tc>
          <w:tcPr>
            <w:tcW w:w="2425" w:type="dxa"/>
          </w:tcPr>
          <w:p w14:paraId="4ECAB82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207A308" w14:textId="256D63D8"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381BC593" w14:textId="77777777" w:rsidTr="006C2BDF">
        <w:tc>
          <w:tcPr>
            <w:tcW w:w="2425" w:type="dxa"/>
          </w:tcPr>
          <w:p w14:paraId="2FFF89E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95B215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17DF23C8" w14:textId="77777777" w:rsidTr="006C2BDF">
        <w:tc>
          <w:tcPr>
            <w:tcW w:w="2425" w:type="dxa"/>
          </w:tcPr>
          <w:p w14:paraId="1C777BA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ED0B5E7"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64F2E9D" w14:textId="77777777" w:rsidTr="006C2BDF">
        <w:tc>
          <w:tcPr>
            <w:tcW w:w="2425" w:type="dxa"/>
          </w:tcPr>
          <w:p w14:paraId="666C605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6B985CE" w14:textId="75B0583A"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537EA198" w14:textId="77777777" w:rsidTr="006C2BDF">
        <w:trPr>
          <w:trHeight w:val="91"/>
        </w:trPr>
        <w:tc>
          <w:tcPr>
            <w:tcW w:w="2425" w:type="dxa"/>
            <w:vMerge w:val="restart"/>
          </w:tcPr>
          <w:p w14:paraId="56BC23C3"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0AB4CAE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4D7E7D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9E4FAB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0741F3E" w14:textId="6FF2CE13"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1DF6DA8" w14:textId="1088AE69"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EDDF536" w14:textId="77777777" w:rsidTr="0019525F">
        <w:trPr>
          <w:trHeight w:val="91"/>
        </w:trPr>
        <w:tc>
          <w:tcPr>
            <w:tcW w:w="2425" w:type="dxa"/>
            <w:vMerge/>
          </w:tcPr>
          <w:p w14:paraId="3C0A1CB6"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6AFC3972" w14:textId="4E6F1E4C"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233.3</w:t>
            </w:r>
          </w:p>
        </w:tc>
        <w:tc>
          <w:tcPr>
            <w:tcW w:w="1385" w:type="dxa"/>
            <w:shd w:val="clear" w:color="auto" w:fill="D9D9D9" w:themeFill="background1" w:themeFillShade="D9"/>
          </w:tcPr>
          <w:p w14:paraId="6934C79E" w14:textId="7643FF96"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257.1</w:t>
            </w:r>
          </w:p>
        </w:tc>
        <w:tc>
          <w:tcPr>
            <w:tcW w:w="1385" w:type="dxa"/>
            <w:gridSpan w:val="2"/>
            <w:shd w:val="clear" w:color="auto" w:fill="D9D9D9" w:themeFill="background1" w:themeFillShade="D9"/>
          </w:tcPr>
          <w:p w14:paraId="28DAE652" w14:textId="5700CF33"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249.3</w:t>
            </w:r>
          </w:p>
        </w:tc>
        <w:tc>
          <w:tcPr>
            <w:tcW w:w="1385" w:type="dxa"/>
            <w:shd w:val="clear" w:color="auto" w:fill="D9D9D9" w:themeFill="background1" w:themeFillShade="D9"/>
          </w:tcPr>
          <w:p w14:paraId="70C29D2C" w14:textId="504B0EB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304.2</w:t>
            </w:r>
          </w:p>
        </w:tc>
        <w:tc>
          <w:tcPr>
            <w:tcW w:w="1660" w:type="dxa"/>
            <w:shd w:val="clear" w:color="auto" w:fill="D9D9D9" w:themeFill="background1" w:themeFillShade="D9"/>
          </w:tcPr>
          <w:p w14:paraId="75148277" w14:textId="0EFCD465"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336.3</w:t>
            </w:r>
          </w:p>
        </w:tc>
      </w:tr>
    </w:tbl>
    <w:p w14:paraId="1414D457"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165D57C9" w14:textId="77777777" w:rsidTr="0095713A">
        <w:tc>
          <w:tcPr>
            <w:tcW w:w="9625" w:type="dxa"/>
            <w:gridSpan w:val="7"/>
            <w:shd w:val="clear" w:color="auto" w:fill="D9D9D9" w:themeFill="background1" w:themeFillShade="D9"/>
          </w:tcPr>
          <w:p w14:paraId="1505B0D3" w14:textId="3C3AD741"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12. Exempting the supply of baby food and non-food baby products</w:t>
            </w:r>
          </w:p>
        </w:tc>
      </w:tr>
      <w:tr w:rsidR="00F77F6D" w:rsidRPr="00CB1E53" w14:paraId="6802D8D8" w14:textId="77777777" w:rsidTr="006C2BDF">
        <w:tc>
          <w:tcPr>
            <w:tcW w:w="2425" w:type="dxa"/>
          </w:tcPr>
          <w:p w14:paraId="15FD784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7FC603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Exempting the supply</w:t>
            </w:r>
            <w:r w:rsidRPr="00CB1E53">
              <w:rPr>
                <w:rFonts w:ascii="Segoe UI" w:hAnsi="Segoe UI" w:cs="Segoe UI"/>
                <w:b/>
                <w:bCs/>
                <w:sz w:val="18"/>
                <w:szCs w:val="18"/>
              </w:rPr>
              <w:t xml:space="preserve"> </w:t>
            </w:r>
            <w:r w:rsidRPr="00CB1E53">
              <w:rPr>
                <w:rFonts w:ascii="Segoe UI" w:hAnsi="Segoe UI" w:cs="Segoe UI"/>
                <w:sz w:val="18"/>
                <w:szCs w:val="18"/>
              </w:rPr>
              <w:t>of baby food and non-food baby products.</w:t>
            </w:r>
          </w:p>
        </w:tc>
      </w:tr>
      <w:tr w:rsidR="00F77F6D" w:rsidRPr="00CB1E53" w14:paraId="3A3B3A1B" w14:textId="77777777" w:rsidTr="006C2BDF">
        <w:tc>
          <w:tcPr>
            <w:tcW w:w="2425" w:type="dxa"/>
          </w:tcPr>
          <w:p w14:paraId="5045B44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D21F18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D380C2F" w14:textId="77777777" w:rsidTr="006C2BDF">
        <w:tc>
          <w:tcPr>
            <w:tcW w:w="2425" w:type="dxa"/>
          </w:tcPr>
          <w:p w14:paraId="0D30FFE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BD59EC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Households with babies and toddlers</w:t>
            </w:r>
          </w:p>
        </w:tc>
      </w:tr>
      <w:tr w:rsidR="00F77F6D" w:rsidRPr="00CB1E53" w14:paraId="1E53E165" w14:textId="77777777" w:rsidTr="006C2BDF">
        <w:tc>
          <w:tcPr>
            <w:tcW w:w="2425" w:type="dxa"/>
          </w:tcPr>
          <w:p w14:paraId="2A38382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9CED1C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356B5196" w14:textId="77777777" w:rsidTr="006C2BDF">
        <w:tc>
          <w:tcPr>
            <w:tcW w:w="2425" w:type="dxa"/>
          </w:tcPr>
          <w:p w14:paraId="12FAA87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51D059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including residential dwelling, to final consumers should be at the standard VAT rate.</w:t>
            </w:r>
          </w:p>
        </w:tc>
      </w:tr>
      <w:tr w:rsidR="00F77F6D" w:rsidRPr="00CB1E53" w14:paraId="37160151" w14:textId="77777777" w:rsidTr="006C2BDF">
        <w:tc>
          <w:tcPr>
            <w:tcW w:w="2425" w:type="dxa"/>
          </w:tcPr>
          <w:p w14:paraId="7125AD0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D6BAE9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103(2) of TC</w:t>
            </w:r>
          </w:p>
        </w:tc>
      </w:tr>
      <w:tr w:rsidR="00F77F6D" w:rsidRPr="00CB1E53" w14:paraId="331BD941" w14:textId="77777777" w:rsidTr="006C2BDF">
        <w:trPr>
          <w:trHeight w:val="182"/>
        </w:trPr>
        <w:tc>
          <w:tcPr>
            <w:tcW w:w="2425" w:type="dxa"/>
            <w:vMerge w:val="restart"/>
          </w:tcPr>
          <w:p w14:paraId="623D632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6812C4FC" w14:textId="77777777" w:rsidR="00F77F6D" w:rsidRPr="00CB1E53" w:rsidRDefault="00F77F6D" w:rsidP="00FD11D9">
            <w:pPr>
              <w:spacing w:before="20" w:after="20"/>
              <w:jc w:val="both"/>
              <w:rPr>
                <w:rFonts w:ascii="Segoe UI" w:hAnsi="Segoe UI" w:cs="Segoe UI"/>
                <w:sz w:val="18"/>
                <w:szCs w:val="18"/>
              </w:rPr>
            </w:pPr>
          </w:p>
        </w:tc>
      </w:tr>
      <w:tr w:rsidR="00F77F6D" w:rsidRPr="00CB1E53" w14:paraId="69216B44" w14:textId="77777777" w:rsidTr="006C2BDF">
        <w:trPr>
          <w:trHeight w:val="182"/>
        </w:trPr>
        <w:tc>
          <w:tcPr>
            <w:tcW w:w="2425" w:type="dxa"/>
            <w:vMerge/>
          </w:tcPr>
          <w:p w14:paraId="4E6A670F"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6300791F" w14:textId="6494F95E"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8C112A">
              <w:rPr>
                <w:rFonts w:ascii="Segoe UI" w:hAnsi="Segoe UI" w:cs="Segoe UI"/>
                <w:sz w:val="18"/>
                <w:szCs w:val="18"/>
              </w:rPr>
              <w:t xml:space="preserve"> 1998</w:t>
            </w:r>
          </w:p>
        </w:tc>
        <w:tc>
          <w:tcPr>
            <w:tcW w:w="3738" w:type="dxa"/>
            <w:gridSpan w:val="3"/>
          </w:tcPr>
          <w:p w14:paraId="24338FD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76C3D473" w14:textId="77777777" w:rsidTr="006C2BDF">
        <w:tc>
          <w:tcPr>
            <w:tcW w:w="2425" w:type="dxa"/>
          </w:tcPr>
          <w:p w14:paraId="421CF2D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B9CBB2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Customs data</w:t>
            </w:r>
          </w:p>
        </w:tc>
      </w:tr>
      <w:tr w:rsidR="00F77F6D" w:rsidRPr="00CB1E53" w14:paraId="54EDF0D9" w14:textId="77777777" w:rsidTr="006C2BDF">
        <w:tc>
          <w:tcPr>
            <w:tcW w:w="2425" w:type="dxa"/>
          </w:tcPr>
          <w:p w14:paraId="51BA3C8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0B117E0" w14:textId="53D511B0"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Direct calculation; assumed to be used exclusively as final consumption or as </w:t>
            </w:r>
            <w:r w:rsidR="008862E5">
              <w:rPr>
                <w:rFonts w:ascii="Segoe UI" w:hAnsi="Segoe UI" w:cs="Segoe UI"/>
                <w:sz w:val="18"/>
                <w:szCs w:val="18"/>
              </w:rPr>
              <w:t xml:space="preserve">an </w:t>
            </w:r>
            <w:r w:rsidRPr="00CB1E53">
              <w:rPr>
                <w:rFonts w:ascii="Segoe UI" w:hAnsi="Segoe UI" w:cs="Segoe UI"/>
                <w:sz w:val="18"/>
                <w:szCs w:val="18"/>
              </w:rPr>
              <w:t xml:space="preserve">intermediate </w:t>
            </w:r>
            <w:r w:rsidR="008862E5">
              <w:rPr>
                <w:rFonts w:ascii="Segoe UI" w:hAnsi="Segoe UI" w:cs="Segoe UI"/>
                <w:sz w:val="18"/>
                <w:szCs w:val="18"/>
              </w:rPr>
              <w:t xml:space="preserve">good </w:t>
            </w:r>
            <w:r w:rsidRPr="00CB1E53">
              <w:rPr>
                <w:rFonts w:ascii="Segoe UI" w:hAnsi="Segoe UI" w:cs="Segoe UI"/>
                <w:sz w:val="18"/>
                <w:szCs w:val="18"/>
              </w:rPr>
              <w:t>into production of exempt commodities (e.g., education)</w:t>
            </w:r>
            <w:r w:rsidR="008862E5">
              <w:rPr>
                <w:rFonts w:ascii="Segoe UI" w:hAnsi="Segoe UI" w:cs="Segoe UI"/>
                <w:sz w:val="18"/>
                <w:szCs w:val="18"/>
              </w:rPr>
              <w:t>.</w:t>
            </w:r>
          </w:p>
        </w:tc>
      </w:tr>
      <w:tr w:rsidR="00F77F6D" w:rsidRPr="00CB1E53" w14:paraId="09A0560D" w14:textId="77777777" w:rsidTr="006C2BDF">
        <w:tc>
          <w:tcPr>
            <w:tcW w:w="2425" w:type="dxa"/>
          </w:tcPr>
          <w:p w14:paraId="473D941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06624D9"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7CA2B82" w14:textId="77777777" w:rsidTr="006C2BDF">
        <w:tc>
          <w:tcPr>
            <w:tcW w:w="2425" w:type="dxa"/>
          </w:tcPr>
          <w:p w14:paraId="6711F38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6B98FB0" w14:textId="69754224"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04599AD3" w14:textId="77777777" w:rsidTr="006C2BDF">
        <w:trPr>
          <w:trHeight w:val="91"/>
        </w:trPr>
        <w:tc>
          <w:tcPr>
            <w:tcW w:w="2425" w:type="dxa"/>
            <w:vMerge w:val="restart"/>
          </w:tcPr>
          <w:p w14:paraId="71F3C229"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2F6C97F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40F400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0818A0E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3E11BFA" w14:textId="0A1333C0"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DFB14CB" w14:textId="62DC14E1"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5CE4F0D3" w14:textId="77777777" w:rsidTr="0019525F">
        <w:trPr>
          <w:trHeight w:val="91"/>
        </w:trPr>
        <w:tc>
          <w:tcPr>
            <w:tcW w:w="2425" w:type="dxa"/>
            <w:vMerge/>
          </w:tcPr>
          <w:p w14:paraId="7C95336A"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02E27481" w14:textId="6944B7D5"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20.4</w:t>
            </w:r>
          </w:p>
        </w:tc>
        <w:tc>
          <w:tcPr>
            <w:tcW w:w="1385" w:type="dxa"/>
            <w:shd w:val="clear" w:color="auto" w:fill="D9D9D9" w:themeFill="background1" w:themeFillShade="D9"/>
          </w:tcPr>
          <w:p w14:paraId="449C2A3E" w14:textId="15E06EA4"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22.2</w:t>
            </w:r>
          </w:p>
        </w:tc>
        <w:tc>
          <w:tcPr>
            <w:tcW w:w="1385" w:type="dxa"/>
            <w:gridSpan w:val="2"/>
            <w:shd w:val="clear" w:color="auto" w:fill="D9D9D9" w:themeFill="background1" w:themeFillShade="D9"/>
          </w:tcPr>
          <w:p w14:paraId="360D5AE7" w14:textId="2B792A18"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21.5</w:t>
            </w:r>
          </w:p>
        </w:tc>
        <w:tc>
          <w:tcPr>
            <w:tcW w:w="1385" w:type="dxa"/>
            <w:shd w:val="clear" w:color="auto" w:fill="D9D9D9" w:themeFill="background1" w:themeFillShade="D9"/>
          </w:tcPr>
          <w:p w14:paraId="39651A3F" w14:textId="2AE27576"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24.3</w:t>
            </w:r>
          </w:p>
        </w:tc>
        <w:tc>
          <w:tcPr>
            <w:tcW w:w="1660" w:type="dxa"/>
            <w:shd w:val="clear" w:color="auto" w:fill="D9D9D9" w:themeFill="background1" w:themeFillShade="D9"/>
          </w:tcPr>
          <w:p w14:paraId="76ACC3EA" w14:textId="4FB2507C"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26.8</w:t>
            </w:r>
          </w:p>
        </w:tc>
      </w:tr>
    </w:tbl>
    <w:p w14:paraId="4066CFC1"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1CCA5FA5" w14:textId="77777777" w:rsidTr="006C2BDF">
        <w:tc>
          <w:tcPr>
            <w:tcW w:w="9625" w:type="dxa"/>
            <w:gridSpan w:val="7"/>
            <w:shd w:val="clear" w:color="auto" w:fill="D9D9D9" w:themeFill="background1" w:themeFillShade="D9"/>
          </w:tcPr>
          <w:p w14:paraId="690C6D4F" w14:textId="6AC3BA2A"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13. Exempting the supply of educational services</w:t>
            </w:r>
          </w:p>
        </w:tc>
      </w:tr>
      <w:tr w:rsidR="00F77F6D" w:rsidRPr="00CB1E53" w14:paraId="5142E71C" w14:textId="77777777" w:rsidTr="006C2BDF">
        <w:tc>
          <w:tcPr>
            <w:tcW w:w="2425" w:type="dxa"/>
          </w:tcPr>
          <w:p w14:paraId="1AC3FEA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C0D31F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following supply of goods and services is exempt if provided by public and private education institutions, related directly to the educational process according to the Education Code; services for training children and teenagers in coteries, workshops, studios; services for children and teenagers using sports facilities; childcare services in preschool institutions; staff training and development services;</w:t>
            </w:r>
          </w:p>
        </w:tc>
      </w:tr>
      <w:tr w:rsidR="00F77F6D" w:rsidRPr="00CB1E53" w14:paraId="47362E2D" w14:textId="77777777" w:rsidTr="006C2BDF">
        <w:tc>
          <w:tcPr>
            <w:tcW w:w="2425" w:type="dxa"/>
          </w:tcPr>
          <w:p w14:paraId="0EA90C4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06495B0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7DAB1035" w14:textId="77777777" w:rsidTr="006C2BDF">
        <w:tc>
          <w:tcPr>
            <w:tcW w:w="2425" w:type="dxa"/>
          </w:tcPr>
          <w:p w14:paraId="0496604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7F719F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All individuals who are receiving education at various levels from registered educational institutions or operations.</w:t>
            </w:r>
          </w:p>
        </w:tc>
      </w:tr>
      <w:tr w:rsidR="00F77F6D" w:rsidRPr="00CB1E53" w14:paraId="7AD573C3" w14:textId="77777777" w:rsidTr="006C2BDF">
        <w:tc>
          <w:tcPr>
            <w:tcW w:w="2425" w:type="dxa"/>
          </w:tcPr>
          <w:p w14:paraId="2699C36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3EA33E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17527D22" w14:textId="77777777" w:rsidTr="006C2BDF">
        <w:tc>
          <w:tcPr>
            <w:tcW w:w="2425" w:type="dxa"/>
          </w:tcPr>
          <w:p w14:paraId="69C6FA0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173821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Under a modern VAT, the benchmark tax regime provides that all final consumption of goods and services to final consumers should be at the standard VAT rate. Exemption for educational materials, services and equipment is thereby a tax expenditure.  Many countries have a comparable tax expenditure for education-related supplies. The effect of an exempt supply is that the education supplier does not charge VAT on their outputs, </w:t>
            </w:r>
            <w:r w:rsidRPr="00CB1E53">
              <w:rPr>
                <w:rFonts w:ascii="Segoe UI" w:hAnsi="Segoe UI" w:cs="Segoe UI"/>
                <w:sz w:val="18"/>
                <w:szCs w:val="18"/>
              </w:rPr>
              <w:lastRenderedPageBreak/>
              <w:t>nor can they claim input tax credits on expenses that are not directly related to education (for example, rent and utilities) they incurred to produce or distribute the education-related goods or services.</w:t>
            </w:r>
          </w:p>
        </w:tc>
      </w:tr>
      <w:tr w:rsidR="00F77F6D" w:rsidRPr="00CB1E53" w14:paraId="27C5020B" w14:textId="77777777" w:rsidTr="006C2BDF">
        <w:tc>
          <w:tcPr>
            <w:tcW w:w="2425" w:type="dxa"/>
          </w:tcPr>
          <w:p w14:paraId="52972D7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Legal Reference</w:t>
            </w:r>
          </w:p>
        </w:tc>
        <w:tc>
          <w:tcPr>
            <w:tcW w:w="7200" w:type="dxa"/>
            <w:gridSpan w:val="6"/>
          </w:tcPr>
          <w:p w14:paraId="0CB8C75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103(5) of TC</w:t>
            </w:r>
          </w:p>
        </w:tc>
      </w:tr>
      <w:tr w:rsidR="00F77F6D" w:rsidRPr="00CB1E53" w14:paraId="6315F070" w14:textId="77777777" w:rsidTr="006C2BDF">
        <w:trPr>
          <w:trHeight w:val="182"/>
        </w:trPr>
        <w:tc>
          <w:tcPr>
            <w:tcW w:w="2425" w:type="dxa"/>
            <w:vMerge w:val="restart"/>
          </w:tcPr>
          <w:p w14:paraId="4BEC2FD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EF5499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2748B9AE" w14:textId="77777777" w:rsidTr="006C2BDF">
        <w:trPr>
          <w:trHeight w:val="182"/>
        </w:trPr>
        <w:tc>
          <w:tcPr>
            <w:tcW w:w="2425" w:type="dxa"/>
            <w:vMerge/>
          </w:tcPr>
          <w:p w14:paraId="5BB5E1CF"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6BA4BC54" w14:textId="25AF12E9"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4E13B3">
              <w:rPr>
                <w:rFonts w:ascii="Segoe UI" w:hAnsi="Segoe UI" w:cs="Segoe UI"/>
                <w:sz w:val="18"/>
                <w:szCs w:val="18"/>
              </w:rPr>
              <w:t xml:space="preserve"> 1998</w:t>
            </w:r>
          </w:p>
        </w:tc>
        <w:tc>
          <w:tcPr>
            <w:tcW w:w="3738" w:type="dxa"/>
            <w:gridSpan w:val="3"/>
          </w:tcPr>
          <w:p w14:paraId="29D9E59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679AB724" w14:textId="77777777" w:rsidTr="006C2BDF">
        <w:tc>
          <w:tcPr>
            <w:tcW w:w="2425" w:type="dxa"/>
          </w:tcPr>
          <w:p w14:paraId="2C07FF0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9D0BAC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792EF9BB" w14:textId="77777777" w:rsidTr="006C2BDF">
        <w:tc>
          <w:tcPr>
            <w:tcW w:w="2425" w:type="dxa"/>
          </w:tcPr>
          <w:p w14:paraId="3570BF2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16274F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73F6B2C1" w14:textId="77777777" w:rsidTr="006C2BDF">
        <w:tc>
          <w:tcPr>
            <w:tcW w:w="2425" w:type="dxa"/>
          </w:tcPr>
          <w:p w14:paraId="1A2F636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7048889" w14:textId="77777777" w:rsidR="00F77F6D" w:rsidRPr="00CB1E53" w:rsidRDefault="00F77F6D" w:rsidP="00FD11D9">
            <w:pPr>
              <w:spacing w:before="20" w:after="20"/>
              <w:jc w:val="both"/>
              <w:rPr>
                <w:rFonts w:ascii="Segoe UI" w:hAnsi="Segoe UI" w:cs="Segoe UI"/>
                <w:sz w:val="18"/>
                <w:szCs w:val="18"/>
              </w:rPr>
            </w:pPr>
          </w:p>
        </w:tc>
      </w:tr>
      <w:tr w:rsidR="00F77F6D" w:rsidRPr="00CB1E53" w14:paraId="752C5DAC" w14:textId="77777777" w:rsidTr="006C2BDF">
        <w:tc>
          <w:tcPr>
            <w:tcW w:w="2425" w:type="dxa"/>
          </w:tcPr>
          <w:p w14:paraId="5A347EC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AF0DBC8" w14:textId="473ECDF6"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01B7978C" w14:textId="77777777" w:rsidTr="006C2BDF">
        <w:trPr>
          <w:trHeight w:val="91"/>
        </w:trPr>
        <w:tc>
          <w:tcPr>
            <w:tcW w:w="2425" w:type="dxa"/>
            <w:vMerge w:val="restart"/>
          </w:tcPr>
          <w:p w14:paraId="42127D68"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5A61C43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3B2409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865827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94A77A2" w14:textId="0D04A983"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8DC2D04" w14:textId="6E287223"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4C6CD7C" w14:textId="77777777" w:rsidTr="0019525F">
        <w:trPr>
          <w:trHeight w:val="143"/>
        </w:trPr>
        <w:tc>
          <w:tcPr>
            <w:tcW w:w="2425" w:type="dxa"/>
            <w:vMerge/>
          </w:tcPr>
          <w:p w14:paraId="7B3D85F6"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02491FBD" w14:textId="31A7E732"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912.9</w:t>
            </w:r>
          </w:p>
        </w:tc>
        <w:tc>
          <w:tcPr>
            <w:tcW w:w="1385" w:type="dxa"/>
            <w:shd w:val="clear" w:color="auto" w:fill="D9D9D9" w:themeFill="background1" w:themeFillShade="D9"/>
          </w:tcPr>
          <w:p w14:paraId="4A535952" w14:textId="759417B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1,004.1</w:t>
            </w:r>
          </w:p>
        </w:tc>
        <w:tc>
          <w:tcPr>
            <w:tcW w:w="1385" w:type="dxa"/>
            <w:gridSpan w:val="2"/>
            <w:shd w:val="clear" w:color="auto" w:fill="D9D9D9" w:themeFill="background1" w:themeFillShade="D9"/>
          </w:tcPr>
          <w:p w14:paraId="7A967974" w14:textId="38086D2E"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974.7</w:t>
            </w:r>
          </w:p>
        </w:tc>
        <w:tc>
          <w:tcPr>
            <w:tcW w:w="1385" w:type="dxa"/>
            <w:shd w:val="clear" w:color="auto" w:fill="D9D9D9" w:themeFill="background1" w:themeFillShade="D9"/>
          </w:tcPr>
          <w:p w14:paraId="79BE3FBD" w14:textId="2CBBBB13"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1,188.6</w:t>
            </w:r>
          </w:p>
        </w:tc>
        <w:tc>
          <w:tcPr>
            <w:tcW w:w="1660" w:type="dxa"/>
            <w:shd w:val="clear" w:color="auto" w:fill="D9D9D9" w:themeFill="background1" w:themeFillShade="D9"/>
          </w:tcPr>
          <w:p w14:paraId="12A02562" w14:textId="05D483F9"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1,312.4</w:t>
            </w:r>
          </w:p>
        </w:tc>
      </w:tr>
    </w:tbl>
    <w:p w14:paraId="79C5E051"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31E465A5" w14:textId="77777777" w:rsidTr="006C2BDF">
        <w:tc>
          <w:tcPr>
            <w:tcW w:w="9625" w:type="dxa"/>
            <w:gridSpan w:val="7"/>
            <w:shd w:val="clear" w:color="auto" w:fill="D9D9D9" w:themeFill="background1" w:themeFillShade="D9"/>
          </w:tcPr>
          <w:p w14:paraId="4B34566D" w14:textId="7020E404"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14. Exempting services and goods used for the care of the sick and elderly</w:t>
            </w:r>
          </w:p>
        </w:tc>
      </w:tr>
      <w:tr w:rsidR="00F77F6D" w:rsidRPr="00CB1E53" w14:paraId="617249B3" w14:textId="77777777" w:rsidTr="006C2BDF">
        <w:tc>
          <w:tcPr>
            <w:tcW w:w="2425" w:type="dxa"/>
          </w:tcPr>
          <w:p w14:paraId="221C40D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0EF252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Exempting from VAT the care services for sick and elderly people, as well as goods, from the charitable organizations, intended for preparing of packages for needy elderly persons and distributed to them gratuitously.</w:t>
            </w:r>
          </w:p>
        </w:tc>
      </w:tr>
      <w:tr w:rsidR="00F77F6D" w:rsidRPr="00CB1E53" w14:paraId="3ECEA845" w14:textId="77777777" w:rsidTr="006C2BDF">
        <w:tc>
          <w:tcPr>
            <w:tcW w:w="2425" w:type="dxa"/>
          </w:tcPr>
          <w:p w14:paraId="788238C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6C8576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58BFD353" w14:textId="77777777" w:rsidTr="006C2BDF">
        <w:tc>
          <w:tcPr>
            <w:tcW w:w="2425" w:type="dxa"/>
          </w:tcPr>
          <w:p w14:paraId="191A375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DC990A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sick and the elderly</w:t>
            </w:r>
          </w:p>
        </w:tc>
      </w:tr>
      <w:tr w:rsidR="00F77F6D" w:rsidRPr="00CB1E53" w14:paraId="01B986C1" w14:textId="77777777" w:rsidTr="006C2BDF">
        <w:tc>
          <w:tcPr>
            <w:tcW w:w="2425" w:type="dxa"/>
          </w:tcPr>
          <w:p w14:paraId="521B03D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170715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26DBF579" w14:textId="77777777" w:rsidTr="006C2BDF">
        <w:tc>
          <w:tcPr>
            <w:tcW w:w="2425" w:type="dxa"/>
          </w:tcPr>
          <w:p w14:paraId="457353B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46020E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this exemption for care-related supplies is thereby a tax expenditure.  Many countries have a comparable tax expenditure for care-related supplies. The effect of an exempt supply is that the care supplier does not charge VAT on their outputs, nor can they claim input tax credits on expenses that are not directly related to caregiving (for example, rent and utilities) they incurred to produce the care-related goods or services.</w:t>
            </w:r>
          </w:p>
        </w:tc>
      </w:tr>
      <w:tr w:rsidR="00F77F6D" w:rsidRPr="00CB1E53" w14:paraId="6B8A1E27" w14:textId="77777777" w:rsidTr="006C2BDF">
        <w:tc>
          <w:tcPr>
            <w:tcW w:w="2425" w:type="dxa"/>
          </w:tcPr>
          <w:p w14:paraId="5F64E09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C0A206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103(9)</w:t>
            </w:r>
          </w:p>
        </w:tc>
      </w:tr>
      <w:tr w:rsidR="00F77F6D" w:rsidRPr="00CB1E53" w14:paraId="1FF5890B" w14:textId="77777777" w:rsidTr="006C2BDF">
        <w:trPr>
          <w:trHeight w:val="182"/>
        </w:trPr>
        <w:tc>
          <w:tcPr>
            <w:tcW w:w="2425" w:type="dxa"/>
            <w:vMerge w:val="restart"/>
          </w:tcPr>
          <w:p w14:paraId="2CB3BF5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06C07282" w14:textId="77777777" w:rsidR="00F77F6D" w:rsidRPr="00CB1E53" w:rsidRDefault="00F77F6D" w:rsidP="00FD11D9">
            <w:pPr>
              <w:spacing w:before="20" w:after="20"/>
              <w:jc w:val="both"/>
              <w:rPr>
                <w:rFonts w:ascii="Segoe UI" w:hAnsi="Segoe UI" w:cs="Segoe UI"/>
                <w:sz w:val="18"/>
                <w:szCs w:val="18"/>
              </w:rPr>
            </w:pPr>
          </w:p>
        </w:tc>
      </w:tr>
      <w:tr w:rsidR="00F77F6D" w:rsidRPr="00CB1E53" w14:paraId="6F769187" w14:textId="77777777" w:rsidTr="006C2BDF">
        <w:trPr>
          <w:trHeight w:val="182"/>
        </w:trPr>
        <w:tc>
          <w:tcPr>
            <w:tcW w:w="2425" w:type="dxa"/>
            <w:vMerge/>
          </w:tcPr>
          <w:p w14:paraId="29973E18"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585F0EE" w14:textId="3698ABEE" w:rsidR="00F53AD0" w:rsidRPr="00F53AD0"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F53AD0" w:rsidRPr="00F53AD0">
              <w:rPr>
                <w:rFonts w:ascii="Segoe UI" w:hAnsi="Segoe UI" w:cs="Segoe UI"/>
                <w:sz w:val="18"/>
                <w:szCs w:val="18"/>
              </w:rPr>
              <w:t xml:space="preserve"> 01.01.1998 – services;</w:t>
            </w:r>
          </w:p>
          <w:p w14:paraId="2A35E30E" w14:textId="672EC67E" w:rsidR="00F77F6D" w:rsidRPr="00CB1E53" w:rsidRDefault="00F53AD0" w:rsidP="00FD11D9">
            <w:pPr>
              <w:spacing w:before="20" w:after="20"/>
              <w:jc w:val="both"/>
              <w:rPr>
                <w:rFonts w:ascii="Segoe UI" w:hAnsi="Segoe UI" w:cs="Segoe UI"/>
                <w:sz w:val="18"/>
                <w:szCs w:val="18"/>
              </w:rPr>
            </w:pPr>
            <w:r w:rsidRPr="00F53AD0">
              <w:rPr>
                <w:rFonts w:ascii="Segoe UI" w:hAnsi="Segoe UI" w:cs="Segoe UI"/>
                <w:sz w:val="18"/>
                <w:szCs w:val="18"/>
              </w:rPr>
              <w:t>12.10.2000</w:t>
            </w:r>
            <w:r w:rsidR="00B56E94">
              <w:rPr>
                <w:rFonts w:ascii="Segoe UI" w:hAnsi="Segoe UI" w:cs="Segoe UI"/>
                <w:sz w:val="18"/>
                <w:szCs w:val="18"/>
              </w:rPr>
              <w:t xml:space="preserve"> – service and goods</w:t>
            </w:r>
          </w:p>
        </w:tc>
        <w:tc>
          <w:tcPr>
            <w:tcW w:w="3738" w:type="dxa"/>
            <w:gridSpan w:val="3"/>
          </w:tcPr>
          <w:p w14:paraId="70545CB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05F8C6E6" w14:textId="77777777" w:rsidTr="006C2BDF">
        <w:tc>
          <w:tcPr>
            <w:tcW w:w="2425" w:type="dxa"/>
          </w:tcPr>
          <w:p w14:paraId="32B9E45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07A115C" w14:textId="4E4CC6AA"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05B37B91" w14:textId="77777777" w:rsidTr="006C2BDF">
        <w:tc>
          <w:tcPr>
            <w:tcW w:w="2425" w:type="dxa"/>
          </w:tcPr>
          <w:p w14:paraId="33F31C2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08CD426" w14:textId="726E3A07"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6802FB7B" w14:textId="77777777" w:rsidTr="006C2BDF">
        <w:tc>
          <w:tcPr>
            <w:tcW w:w="2425" w:type="dxa"/>
          </w:tcPr>
          <w:p w14:paraId="51982146"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4414BBA" w14:textId="77777777" w:rsidR="00E05468" w:rsidRPr="00CB1E53" w:rsidRDefault="00E05468" w:rsidP="00FD11D9">
            <w:pPr>
              <w:spacing w:before="20" w:after="20"/>
              <w:jc w:val="both"/>
              <w:rPr>
                <w:rFonts w:ascii="Segoe UI" w:hAnsi="Segoe UI" w:cs="Segoe UI"/>
                <w:sz w:val="18"/>
                <w:szCs w:val="18"/>
              </w:rPr>
            </w:pPr>
          </w:p>
        </w:tc>
      </w:tr>
      <w:tr w:rsidR="00E05468" w:rsidRPr="00CB1E53" w14:paraId="6211F5F6" w14:textId="77777777" w:rsidTr="006C2BDF">
        <w:tc>
          <w:tcPr>
            <w:tcW w:w="2425" w:type="dxa"/>
          </w:tcPr>
          <w:p w14:paraId="5576808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E2D11D5" w14:textId="1B69B049"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32D0BA90" w14:textId="77777777" w:rsidTr="006C2BDF">
        <w:trPr>
          <w:trHeight w:val="91"/>
        </w:trPr>
        <w:tc>
          <w:tcPr>
            <w:tcW w:w="2425" w:type="dxa"/>
            <w:vMerge w:val="restart"/>
          </w:tcPr>
          <w:p w14:paraId="6615D98C"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6F47C160"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ED260D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57D9A704"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3E923E9" w14:textId="48A63471"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2138B38" w14:textId="0B3E3029"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4ACC8EF4" w14:textId="77777777" w:rsidTr="006C2BDF">
        <w:trPr>
          <w:trHeight w:val="91"/>
        </w:trPr>
        <w:tc>
          <w:tcPr>
            <w:tcW w:w="2425" w:type="dxa"/>
            <w:vMerge/>
          </w:tcPr>
          <w:p w14:paraId="0C91EA47"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54D54F9A"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165BAE6D"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563F3927"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528077CA"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25806C6E"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2494FC10"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8B754E6" w14:textId="77777777" w:rsidTr="006C2BDF">
        <w:tc>
          <w:tcPr>
            <w:tcW w:w="9625" w:type="dxa"/>
            <w:gridSpan w:val="7"/>
            <w:shd w:val="clear" w:color="auto" w:fill="D9D9D9" w:themeFill="background1" w:themeFillShade="D9"/>
          </w:tcPr>
          <w:p w14:paraId="0296A7FD" w14:textId="71C9D48A"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15. Exempting the supply of medical services and associated goods </w:t>
            </w:r>
          </w:p>
        </w:tc>
      </w:tr>
      <w:tr w:rsidR="00F77F6D" w:rsidRPr="00CB1E53" w14:paraId="0A22C7B2" w14:textId="77777777" w:rsidTr="006C2BDF">
        <w:tc>
          <w:tcPr>
            <w:tcW w:w="2425" w:type="dxa"/>
          </w:tcPr>
          <w:p w14:paraId="5C40DA0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EF9A45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following is exempt from VAT: The supply of medical services, except cosmetic services, air medical ambulance services; medical supplies, materials, articles, primary and secondary packaging used in the preparation and production of drugs authorized by the Ministry of Health, Labor and Social Protection, except for the ethyl alcohol, cosmetics, according to the list approved by the Government; wheelchairs (tariff heading 8713), orthopedic and prosthetic articles and apparatus (tariff heading 9021); treatment tickets (including those without accommodation) and holidays in spas, tourist service packages; the technical means used exclusively for purposes related to the prophylaxis of disability and the rehabilitation of disabled persons</w:t>
            </w:r>
          </w:p>
        </w:tc>
      </w:tr>
      <w:tr w:rsidR="00F77F6D" w:rsidRPr="00CB1E53" w14:paraId="0D6429FE" w14:textId="77777777" w:rsidTr="006C2BDF">
        <w:tc>
          <w:tcPr>
            <w:tcW w:w="2425" w:type="dxa"/>
          </w:tcPr>
          <w:p w14:paraId="7353B79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DB6804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6A8DA1B1" w14:textId="77777777" w:rsidTr="006C2BDF">
        <w:tc>
          <w:tcPr>
            <w:tcW w:w="2425" w:type="dxa"/>
          </w:tcPr>
          <w:p w14:paraId="56ABB50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Beneficiaries</w:t>
            </w:r>
          </w:p>
        </w:tc>
        <w:tc>
          <w:tcPr>
            <w:tcW w:w="7200" w:type="dxa"/>
            <w:gridSpan w:val="6"/>
          </w:tcPr>
          <w:p w14:paraId="144D0A3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Persons receiving medical care and services.</w:t>
            </w:r>
          </w:p>
        </w:tc>
      </w:tr>
      <w:tr w:rsidR="00F77F6D" w:rsidRPr="00CB1E53" w14:paraId="7E370B68" w14:textId="77777777" w:rsidTr="006C2BDF">
        <w:tc>
          <w:tcPr>
            <w:tcW w:w="2425" w:type="dxa"/>
          </w:tcPr>
          <w:p w14:paraId="5680E89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A684BF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4CA7FBE3" w14:textId="77777777" w:rsidTr="006C2BDF">
        <w:tc>
          <w:tcPr>
            <w:tcW w:w="2425" w:type="dxa"/>
          </w:tcPr>
          <w:p w14:paraId="20BD9C5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25230C9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this exemption for health-related supplies is thereby a tax expenditure.  Many countries have a comparable tax expenditure for health-related supplies. The effect of an exempt supply is that the healthcare supplier does not charge VAT on their outputs, nor can they claim input tax credits on expenses that are not directly related to health (for example, rent and utilities) they incurred to produce or distribute the health-related goods or services.</w:t>
            </w:r>
          </w:p>
        </w:tc>
      </w:tr>
      <w:tr w:rsidR="00F77F6D" w:rsidRPr="00CB1E53" w14:paraId="63566680" w14:textId="77777777" w:rsidTr="006C2BDF">
        <w:tc>
          <w:tcPr>
            <w:tcW w:w="2425" w:type="dxa"/>
          </w:tcPr>
          <w:p w14:paraId="6377224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C6B16C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103(10)</w:t>
            </w:r>
          </w:p>
        </w:tc>
      </w:tr>
      <w:tr w:rsidR="00F77F6D" w:rsidRPr="00CB1E53" w14:paraId="577C25E9" w14:textId="77777777" w:rsidTr="006C2BDF">
        <w:trPr>
          <w:trHeight w:val="182"/>
        </w:trPr>
        <w:tc>
          <w:tcPr>
            <w:tcW w:w="2425" w:type="dxa"/>
            <w:vMerge w:val="restart"/>
          </w:tcPr>
          <w:p w14:paraId="04A726F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B8EFC92"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D7C8909" w14:textId="77777777" w:rsidTr="006C2BDF">
        <w:trPr>
          <w:trHeight w:val="182"/>
        </w:trPr>
        <w:tc>
          <w:tcPr>
            <w:tcW w:w="2425" w:type="dxa"/>
            <w:vMerge/>
          </w:tcPr>
          <w:p w14:paraId="50C73050"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049550A5" w14:textId="77426C39"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4224B7">
              <w:rPr>
                <w:rFonts w:ascii="Segoe UI" w:hAnsi="Segoe UI" w:cs="Segoe UI"/>
                <w:sz w:val="18"/>
                <w:szCs w:val="18"/>
              </w:rPr>
              <w:t xml:space="preserve"> 1998</w:t>
            </w:r>
          </w:p>
        </w:tc>
        <w:tc>
          <w:tcPr>
            <w:tcW w:w="3738" w:type="dxa"/>
            <w:gridSpan w:val="3"/>
          </w:tcPr>
          <w:p w14:paraId="6F438CC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45D6A0BD" w14:textId="77777777" w:rsidTr="006C2BDF">
        <w:tc>
          <w:tcPr>
            <w:tcW w:w="2425" w:type="dxa"/>
          </w:tcPr>
          <w:p w14:paraId="7DA1D08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3CA602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1139D8BC" w14:textId="77777777" w:rsidTr="006C2BDF">
        <w:tc>
          <w:tcPr>
            <w:tcW w:w="2425" w:type="dxa"/>
          </w:tcPr>
          <w:p w14:paraId="55E148D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3EB3C28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768AF93C" w14:textId="77777777" w:rsidTr="006C2BDF">
        <w:tc>
          <w:tcPr>
            <w:tcW w:w="2425" w:type="dxa"/>
          </w:tcPr>
          <w:p w14:paraId="733C602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E420A1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6CE1CEFF" w14:textId="77777777" w:rsidTr="006C2BDF">
        <w:tc>
          <w:tcPr>
            <w:tcW w:w="2425" w:type="dxa"/>
          </w:tcPr>
          <w:p w14:paraId="4C8878F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A968E67" w14:textId="540B769B"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577F4A27" w14:textId="77777777" w:rsidTr="006C2BDF">
        <w:trPr>
          <w:trHeight w:val="91"/>
        </w:trPr>
        <w:tc>
          <w:tcPr>
            <w:tcW w:w="2425" w:type="dxa"/>
            <w:vMerge w:val="restart"/>
          </w:tcPr>
          <w:p w14:paraId="2DCEF4B7"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778ECF7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CBB0BC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EBEFC6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FE5B69D" w14:textId="23315AEE"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A9B6BB2" w14:textId="49FF596B"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3BDCC30E" w14:textId="77777777" w:rsidTr="0019525F">
        <w:trPr>
          <w:trHeight w:val="91"/>
        </w:trPr>
        <w:tc>
          <w:tcPr>
            <w:tcW w:w="2425" w:type="dxa"/>
            <w:vMerge/>
          </w:tcPr>
          <w:p w14:paraId="494CA6BD"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1CA58212" w14:textId="43474A55"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787.6</w:t>
            </w:r>
          </w:p>
        </w:tc>
        <w:tc>
          <w:tcPr>
            <w:tcW w:w="1385" w:type="dxa"/>
            <w:shd w:val="clear" w:color="auto" w:fill="D9D9D9" w:themeFill="background1" w:themeFillShade="D9"/>
          </w:tcPr>
          <w:p w14:paraId="147BA51D" w14:textId="053E34D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864.0</w:t>
            </w:r>
          </w:p>
        </w:tc>
        <w:tc>
          <w:tcPr>
            <w:tcW w:w="1385" w:type="dxa"/>
            <w:gridSpan w:val="2"/>
            <w:shd w:val="clear" w:color="auto" w:fill="D9D9D9" w:themeFill="background1" w:themeFillShade="D9"/>
          </w:tcPr>
          <w:p w14:paraId="667A0254" w14:textId="0D8B83CA"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839.8</w:t>
            </w:r>
          </w:p>
        </w:tc>
        <w:tc>
          <w:tcPr>
            <w:tcW w:w="1385" w:type="dxa"/>
            <w:shd w:val="clear" w:color="auto" w:fill="D9D9D9" w:themeFill="background1" w:themeFillShade="D9"/>
          </w:tcPr>
          <w:p w14:paraId="71B84494" w14:textId="46704D6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1,023.3</w:t>
            </w:r>
          </w:p>
        </w:tc>
        <w:tc>
          <w:tcPr>
            <w:tcW w:w="1660" w:type="dxa"/>
            <w:shd w:val="clear" w:color="auto" w:fill="D9D9D9" w:themeFill="background1" w:themeFillShade="D9"/>
          </w:tcPr>
          <w:p w14:paraId="452BC977" w14:textId="3DF81934"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1,128.1</w:t>
            </w:r>
          </w:p>
        </w:tc>
      </w:tr>
    </w:tbl>
    <w:p w14:paraId="1F33CE59"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30C26F4" w14:textId="77777777" w:rsidTr="006C2BDF">
        <w:tc>
          <w:tcPr>
            <w:tcW w:w="9625" w:type="dxa"/>
            <w:gridSpan w:val="7"/>
            <w:shd w:val="clear" w:color="auto" w:fill="D9D9D9" w:themeFill="background1" w:themeFillShade="D9"/>
          </w:tcPr>
          <w:p w14:paraId="34DED131" w14:textId="66EBB8ED"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16. Exempting the supply of goods and services in canteens of educational and healthcare institutions</w:t>
            </w:r>
          </w:p>
        </w:tc>
      </w:tr>
      <w:tr w:rsidR="00F77F6D" w:rsidRPr="00CB1E53" w14:paraId="1C9CBB50" w14:textId="77777777" w:rsidTr="006C2BDF">
        <w:tc>
          <w:tcPr>
            <w:tcW w:w="2425" w:type="dxa"/>
          </w:tcPr>
          <w:p w14:paraId="643F5CE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DDB998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following is exempt from VAT: products of own production of the student canteens, school canteens and canteens of other education institutions, hospitals and pre-school institutions, canteens belonging to other institutions and organizations from the social-cultural sphere financed partly or entirely from the budget, as well as canteens specialized in feeding the needy elderly people on the charitable organizations’ expenses.</w:t>
            </w:r>
          </w:p>
        </w:tc>
      </w:tr>
      <w:tr w:rsidR="00F77F6D" w:rsidRPr="00CB1E53" w14:paraId="1861014D" w14:textId="77777777" w:rsidTr="006C2BDF">
        <w:tc>
          <w:tcPr>
            <w:tcW w:w="2425" w:type="dxa"/>
          </w:tcPr>
          <w:p w14:paraId="43CAB09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1E6A55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61FA966E" w14:textId="77777777" w:rsidTr="006C2BDF">
        <w:tc>
          <w:tcPr>
            <w:tcW w:w="2425" w:type="dxa"/>
          </w:tcPr>
          <w:p w14:paraId="5C7B978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C70E47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Pupils and patients and hospital staff that consume canteen food</w:t>
            </w:r>
          </w:p>
        </w:tc>
      </w:tr>
      <w:tr w:rsidR="00F77F6D" w:rsidRPr="00CB1E53" w14:paraId="66CC341E" w14:textId="77777777" w:rsidTr="006C2BDF">
        <w:tc>
          <w:tcPr>
            <w:tcW w:w="2425" w:type="dxa"/>
          </w:tcPr>
          <w:p w14:paraId="6569DFF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9C0DC3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4AEBECA2" w14:textId="77777777" w:rsidTr="006C2BDF">
        <w:tc>
          <w:tcPr>
            <w:tcW w:w="2425" w:type="dxa"/>
          </w:tcPr>
          <w:p w14:paraId="42F8477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49D9FDD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this exemption for the supply of canteen food is thereby a tax expenditure.  Many countries have a comparable tax expenditure. The effect of an exempt supply is that the supplier of canteen food does not charge VAT on their outputs, nor can they claim input tax credits on expenses.</w:t>
            </w:r>
          </w:p>
        </w:tc>
      </w:tr>
      <w:tr w:rsidR="00F77F6D" w:rsidRPr="00CB1E53" w14:paraId="605C5B99" w14:textId="77777777" w:rsidTr="006C2BDF">
        <w:tc>
          <w:tcPr>
            <w:tcW w:w="2425" w:type="dxa"/>
          </w:tcPr>
          <w:p w14:paraId="57E1E04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F663DC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103(11)</w:t>
            </w:r>
          </w:p>
        </w:tc>
      </w:tr>
      <w:tr w:rsidR="00F77F6D" w:rsidRPr="00CB1E53" w14:paraId="1C01CC61" w14:textId="77777777" w:rsidTr="006C2BDF">
        <w:trPr>
          <w:trHeight w:val="182"/>
        </w:trPr>
        <w:tc>
          <w:tcPr>
            <w:tcW w:w="2425" w:type="dxa"/>
            <w:vMerge w:val="restart"/>
          </w:tcPr>
          <w:p w14:paraId="5232DCC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044D13EB" w14:textId="77777777" w:rsidR="00F77F6D" w:rsidRPr="00CB1E53" w:rsidRDefault="00F77F6D" w:rsidP="00FD11D9">
            <w:pPr>
              <w:spacing w:before="20" w:after="20"/>
              <w:jc w:val="both"/>
              <w:rPr>
                <w:rFonts w:ascii="Segoe UI" w:hAnsi="Segoe UI" w:cs="Segoe UI"/>
                <w:sz w:val="18"/>
                <w:szCs w:val="18"/>
              </w:rPr>
            </w:pPr>
          </w:p>
        </w:tc>
      </w:tr>
      <w:tr w:rsidR="00F77F6D" w:rsidRPr="00CB1E53" w14:paraId="550185EC" w14:textId="77777777" w:rsidTr="006C2BDF">
        <w:trPr>
          <w:trHeight w:val="182"/>
        </w:trPr>
        <w:tc>
          <w:tcPr>
            <w:tcW w:w="2425" w:type="dxa"/>
            <w:vMerge/>
          </w:tcPr>
          <w:p w14:paraId="0C0A6CF3"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0702533D" w14:textId="0B34134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5B213B">
              <w:rPr>
                <w:rFonts w:ascii="Segoe UI" w:hAnsi="Segoe UI" w:cs="Segoe UI"/>
                <w:sz w:val="18"/>
                <w:szCs w:val="18"/>
              </w:rPr>
              <w:t xml:space="preserve"> 1998</w:t>
            </w:r>
          </w:p>
        </w:tc>
        <w:tc>
          <w:tcPr>
            <w:tcW w:w="3738" w:type="dxa"/>
            <w:gridSpan w:val="3"/>
          </w:tcPr>
          <w:p w14:paraId="7F3FFE0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586CDF9A" w14:textId="77777777" w:rsidTr="006C2BDF">
        <w:tc>
          <w:tcPr>
            <w:tcW w:w="2425" w:type="dxa"/>
          </w:tcPr>
          <w:p w14:paraId="367B82E1"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B58CAE7" w14:textId="278D01CE"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2E937C35" w14:textId="77777777" w:rsidTr="006C2BDF">
        <w:tc>
          <w:tcPr>
            <w:tcW w:w="2425" w:type="dxa"/>
          </w:tcPr>
          <w:p w14:paraId="63CAEF0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B4203AA" w14:textId="678B041A"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560B4C2B" w14:textId="77777777" w:rsidTr="006C2BDF">
        <w:tc>
          <w:tcPr>
            <w:tcW w:w="2425" w:type="dxa"/>
          </w:tcPr>
          <w:p w14:paraId="6B10C30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D16280C" w14:textId="77777777" w:rsidR="00E05468" w:rsidRPr="00CB1E53" w:rsidRDefault="00E05468" w:rsidP="00FD11D9">
            <w:pPr>
              <w:spacing w:before="20" w:after="20"/>
              <w:jc w:val="both"/>
              <w:rPr>
                <w:rFonts w:ascii="Segoe UI" w:hAnsi="Segoe UI" w:cs="Segoe UI"/>
                <w:sz w:val="18"/>
                <w:szCs w:val="18"/>
              </w:rPr>
            </w:pPr>
          </w:p>
        </w:tc>
      </w:tr>
      <w:tr w:rsidR="00E05468" w:rsidRPr="00CB1E53" w14:paraId="4E09B598" w14:textId="77777777" w:rsidTr="006C2BDF">
        <w:tc>
          <w:tcPr>
            <w:tcW w:w="2425" w:type="dxa"/>
          </w:tcPr>
          <w:p w14:paraId="0A75F88C"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6ACCCE0D" w14:textId="51F82E4F"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068745D8" w14:textId="77777777" w:rsidTr="006C2BDF">
        <w:trPr>
          <w:trHeight w:val="91"/>
        </w:trPr>
        <w:tc>
          <w:tcPr>
            <w:tcW w:w="2425" w:type="dxa"/>
            <w:vMerge w:val="restart"/>
          </w:tcPr>
          <w:p w14:paraId="65885F35"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3BB97009"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540BE5C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77BF630"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19A06DED" w14:textId="56FFA949"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3AA5D272" w14:textId="4186E842"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6CEEE21D" w14:textId="77777777" w:rsidTr="006C2BDF">
        <w:trPr>
          <w:trHeight w:val="91"/>
        </w:trPr>
        <w:tc>
          <w:tcPr>
            <w:tcW w:w="2425" w:type="dxa"/>
            <w:vMerge/>
          </w:tcPr>
          <w:p w14:paraId="0E8F2E90"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25F9FB8B"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0233C3F0"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16F089C2"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4E19A77"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7DEFA08B"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236568D9" w14:textId="7B3725A1" w:rsidR="00F77F6D"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75E87292" w14:textId="77777777" w:rsidTr="0095713A">
        <w:tc>
          <w:tcPr>
            <w:tcW w:w="9625" w:type="dxa"/>
            <w:gridSpan w:val="7"/>
            <w:shd w:val="clear" w:color="auto" w:fill="D9D9D9" w:themeFill="background1" w:themeFillShade="D9"/>
          </w:tcPr>
          <w:p w14:paraId="04741F7B" w14:textId="6F88FEEB"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17. VAT exemption of financial services</w:t>
            </w:r>
          </w:p>
        </w:tc>
      </w:tr>
      <w:tr w:rsidR="00F77F6D" w:rsidRPr="00CB1E53" w14:paraId="4DE931A4" w14:textId="77777777" w:rsidTr="0095713A">
        <w:tc>
          <w:tcPr>
            <w:tcW w:w="2425" w:type="dxa"/>
          </w:tcPr>
          <w:p w14:paraId="7180306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5DCE4991" w14:textId="75A8807E" w:rsidR="00F77F6D" w:rsidRPr="00CB1E53" w:rsidRDefault="00F77F6D" w:rsidP="00FD11D9">
            <w:pPr>
              <w:pStyle w:val="Default"/>
              <w:spacing w:before="20" w:after="20"/>
              <w:jc w:val="both"/>
              <w:rPr>
                <w:rFonts w:ascii="Segoe UI" w:hAnsi="Segoe UI" w:cs="Segoe UI"/>
                <w:sz w:val="18"/>
                <w:szCs w:val="18"/>
              </w:rPr>
            </w:pPr>
            <w:r w:rsidRPr="00CB1E53">
              <w:rPr>
                <w:rFonts w:ascii="Segoe UI" w:hAnsi="Segoe UI" w:cs="Segoe UI"/>
                <w:sz w:val="18"/>
                <w:szCs w:val="18"/>
              </w:rPr>
              <w:t xml:space="preserve">The following is exempt from VAT: a) granting or transferring credits, credit guarantees, other warranties for cash transactions and crediting, including management of loans, credits or credit guarantees by creditors; b) transactions related to deposit accounts, including savings accounts, settlement and budget accounts, credit transfers, including through payment service providers, debt securities, checks and other financial </w:t>
            </w:r>
            <w:r w:rsidRPr="00CB1E53">
              <w:rPr>
                <w:rFonts w:ascii="Segoe UI" w:hAnsi="Segoe UI" w:cs="Segoe UI"/>
                <w:sz w:val="18"/>
                <w:szCs w:val="18"/>
              </w:rPr>
              <w:lastRenderedPageBreak/>
              <w:t xml:space="preserve">instruments, except for income from the sale of goods in the event of credit default, from the rendering of information, consultancy and expertise services, from the purchase and rent of broker’s places at the stock exchange, from rental, from cash collection and delivery services to clients, from services of receipt, storage and transfer of values, cash, securities and documents, revenues from fiduciary operations of management the clients’ goods, from the liquidation of the assets of the bankrupt companies, fees for providing clients with regulatory documentation; c) import of banknotes and metal coins in national currency, banknotes in foreign currency (including for numismatic purposes) and other operations related to the circulation of national currency and foreign currency, as well as import of goods by the National Bank of Moldova and other deliveries to/by the National Bank of Moldova with these goods; d) transactions related to the issuance of shares, bonds, bills of exchange and other securities, incl. trading and brokering operations on the capital market, transactions of the entity keeping the records of the securities holders; e) transactions related to derivative financial instruments, forward, options agreements and other financial operations; f) services related to investment funds management and qualified non-state pension funds; </w:t>
            </w:r>
            <w:r w:rsidR="009F7472">
              <w:rPr>
                <w:rFonts w:ascii="Segoe UI" w:hAnsi="Segoe UI" w:cs="Segoe UI"/>
                <w:sz w:val="18"/>
                <w:szCs w:val="18"/>
              </w:rPr>
              <w:t xml:space="preserve">and </w:t>
            </w:r>
            <w:r w:rsidRPr="00CB1E53">
              <w:rPr>
                <w:rFonts w:ascii="Segoe UI" w:hAnsi="Segoe UI" w:cs="Segoe UI"/>
                <w:sz w:val="18"/>
                <w:szCs w:val="18"/>
              </w:rPr>
              <w:t>g) insurance and/or reinsurance operations, including brokering services of those</w:t>
            </w:r>
            <w:r w:rsidR="009F7472">
              <w:rPr>
                <w:rFonts w:ascii="Segoe UI" w:hAnsi="Segoe UI" w:cs="Segoe UI"/>
                <w:sz w:val="18"/>
                <w:szCs w:val="18"/>
              </w:rPr>
              <w:t>.</w:t>
            </w:r>
          </w:p>
        </w:tc>
      </w:tr>
      <w:tr w:rsidR="00F77F6D" w:rsidRPr="00CB1E53" w14:paraId="5572BC78" w14:textId="77777777" w:rsidTr="0095713A">
        <w:tc>
          <w:tcPr>
            <w:tcW w:w="2425" w:type="dxa"/>
          </w:tcPr>
          <w:p w14:paraId="062244F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Tax Affected</w:t>
            </w:r>
          </w:p>
        </w:tc>
        <w:tc>
          <w:tcPr>
            <w:tcW w:w="7200" w:type="dxa"/>
            <w:gridSpan w:val="6"/>
          </w:tcPr>
          <w:p w14:paraId="6BBD3A4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4A8C4BA7" w14:textId="77777777" w:rsidTr="0095713A">
        <w:tc>
          <w:tcPr>
            <w:tcW w:w="2425" w:type="dxa"/>
          </w:tcPr>
          <w:p w14:paraId="2DB5246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9436BD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Individuals and businesses using financial services provided in Moldova</w:t>
            </w:r>
          </w:p>
        </w:tc>
      </w:tr>
      <w:tr w:rsidR="00F77F6D" w:rsidRPr="00CB1E53" w14:paraId="6B05E106" w14:textId="77777777" w:rsidTr="0095713A">
        <w:tc>
          <w:tcPr>
            <w:tcW w:w="2425" w:type="dxa"/>
          </w:tcPr>
          <w:p w14:paraId="033F22E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2829EA1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1EB65795" w14:textId="77777777" w:rsidTr="0095713A">
        <w:tc>
          <w:tcPr>
            <w:tcW w:w="2425" w:type="dxa"/>
          </w:tcPr>
          <w:p w14:paraId="5B96994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B82A9B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including financial services. This exemption is therefore a tax expenditure.  With regard to life insurance, one should note that it is primarily a mechanism for long-term savings and estate planning rather than a good or service. Thus, exempting this type of insurance is part of the VAT benchmark tax base.</w:t>
            </w:r>
          </w:p>
        </w:tc>
      </w:tr>
      <w:tr w:rsidR="00F77F6D" w:rsidRPr="00CB1E53" w14:paraId="087BE65E" w14:textId="77777777" w:rsidTr="0095713A">
        <w:tc>
          <w:tcPr>
            <w:tcW w:w="2425" w:type="dxa"/>
          </w:tcPr>
          <w:p w14:paraId="544AB12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07A8CE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103(12)</w:t>
            </w:r>
          </w:p>
        </w:tc>
      </w:tr>
      <w:tr w:rsidR="00F77F6D" w:rsidRPr="00CB1E53" w14:paraId="73B70659" w14:textId="77777777" w:rsidTr="0095713A">
        <w:trPr>
          <w:trHeight w:val="182"/>
        </w:trPr>
        <w:tc>
          <w:tcPr>
            <w:tcW w:w="2425" w:type="dxa"/>
            <w:vMerge w:val="restart"/>
          </w:tcPr>
          <w:p w14:paraId="144147F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772A1D4" w14:textId="77777777" w:rsidR="00F77F6D" w:rsidRPr="00CB1E53" w:rsidRDefault="00F77F6D" w:rsidP="00FD11D9">
            <w:pPr>
              <w:spacing w:before="20" w:after="20"/>
              <w:jc w:val="both"/>
              <w:rPr>
                <w:rFonts w:ascii="Segoe UI" w:hAnsi="Segoe UI" w:cs="Segoe UI"/>
                <w:sz w:val="18"/>
                <w:szCs w:val="18"/>
              </w:rPr>
            </w:pPr>
          </w:p>
        </w:tc>
      </w:tr>
      <w:tr w:rsidR="00F77F6D" w:rsidRPr="00CB1E53" w14:paraId="35DC207B" w14:textId="77777777" w:rsidTr="0095713A">
        <w:trPr>
          <w:trHeight w:val="182"/>
        </w:trPr>
        <w:tc>
          <w:tcPr>
            <w:tcW w:w="2425" w:type="dxa"/>
            <w:vMerge/>
          </w:tcPr>
          <w:p w14:paraId="4F7B7759"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E9E6447" w14:textId="680F82E6"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225306">
              <w:rPr>
                <w:rFonts w:ascii="Segoe UI" w:hAnsi="Segoe UI" w:cs="Segoe UI"/>
                <w:sz w:val="18"/>
                <w:szCs w:val="18"/>
              </w:rPr>
              <w:t xml:space="preserve"> 1998</w:t>
            </w:r>
          </w:p>
        </w:tc>
        <w:tc>
          <w:tcPr>
            <w:tcW w:w="3738" w:type="dxa"/>
            <w:gridSpan w:val="3"/>
          </w:tcPr>
          <w:p w14:paraId="2D79D48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7BE17158" w14:textId="77777777" w:rsidTr="0095713A">
        <w:tc>
          <w:tcPr>
            <w:tcW w:w="2425" w:type="dxa"/>
          </w:tcPr>
          <w:p w14:paraId="58D6E0C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467B1BA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5F059591" w14:textId="77777777" w:rsidTr="0095713A">
        <w:tc>
          <w:tcPr>
            <w:tcW w:w="2425" w:type="dxa"/>
          </w:tcPr>
          <w:p w14:paraId="12C6315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85F672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6B3A730A" w14:textId="77777777" w:rsidTr="0095713A">
        <w:tc>
          <w:tcPr>
            <w:tcW w:w="2425" w:type="dxa"/>
          </w:tcPr>
          <w:p w14:paraId="7447B74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E505785" w14:textId="77777777" w:rsidR="00F77F6D" w:rsidRPr="00CB1E53" w:rsidRDefault="00F77F6D" w:rsidP="00FD11D9">
            <w:pPr>
              <w:spacing w:before="20" w:after="20"/>
              <w:jc w:val="both"/>
              <w:rPr>
                <w:rFonts w:ascii="Segoe UI" w:hAnsi="Segoe UI" w:cs="Segoe UI"/>
                <w:sz w:val="18"/>
                <w:szCs w:val="18"/>
              </w:rPr>
            </w:pPr>
          </w:p>
        </w:tc>
      </w:tr>
      <w:tr w:rsidR="00F77F6D" w:rsidRPr="00CB1E53" w14:paraId="4F3C2021" w14:textId="77777777" w:rsidTr="0095713A">
        <w:tc>
          <w:tcPr>
            <w:tcW w:w="2425" w:type="dxa"/>
          </w:tcPr>
          <w:p w14:paraId="3C5C2BD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70B800C" w14:textId="059E2737"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6E3355D1" w14:textId="77777777" w:rsidTr="0095713A">
        <w:trPr>
          <w:trHeight w:val="91"/>
        </w:trPr>
        <w:tc>
          <w:tcPr>
            <w:tcW w:w="2425" w:type="dxa"/>
            <w:vMerge w:val="restart"/>
          </w:tcPr>
          <w:p w14:paraId="50A96EAD"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0F07B0C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3515722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2C9DE7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5679ACC" w14:textId="7D1786DF"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52AA66B7" w14:textId="0B6C48B4"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2022 </w:t>
            </w:r>
          </w:p>
        </w:tc>
      </w:tr>
      <w:tr w:rsidR="00F77F6D" w:rsidRPr="00CB1E53" w14:paraId="74316E68" w14:textId="77777777" w:rsidTr="0019525F">
        <w:trPr>
          <w:trHeight w:val="91"/>
        </w:trPr>
        <w:tc>
          <w:tcPr>
            <w:tcW w:w="2425" w:type="dxa"/>
            <w:vMerge/>
          </w:tcPr>
          <w:p w14:paraId="42701CE0"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62109138" w14:textId="0CE3DE66"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-2.2</w:t>
            </w:r>
          </w:p>
        </w:tc>
        <w:tc>
          <w:tcPr>
            <w:tcW w:w="1385" w:type="dxa"/>
            <w:shd w:val="clear" w:color="auto" w:fill="D9D9D9" w:themeFill="background1" w:themeFillShade="D9"/>
          </w:tcPr>
          <w:p w14:paraId="309FF500" w14:textId="00D2FD7F"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-2.0</w:t>
            </w:r>
          </w:p>
        </w:tc>
        <w:tc>
          <w:tcPr>
            <w:tcW w:w="1385" w:type="dxa"/>
            <w:gridSpan w:val="2"/>
            <w:shd w:val="clear" w:color="auto" w:fill="D9D9D9" w:themeFill="background1" w:themeFillShade="D9"/>
          </w:tcPr>
          <w:p w14:paraId="0386CACF" w14:textId="5B43E080"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-2.1</w:t>
            </w:r>
          </w:p>
        </w:tc>
        <w:tc>
          <w:tcPr>
            <w:tcW w:w="1385" w:type="dxa"/>
            <w:shd w:val="clear" w:color="auto" w:fill="D9D9D9" w:themeFill="background1" w:themeFillShade="D9"/>
          </w:tcPr>
          <w:p w14:paraId="651F1773" w14:textId="07F2D50D"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-2.5</w:t>
            </w:r>
          </w:p>
        </w:tc>
        <w:tc>
          <w:tcPr>
            <w:tcW w:w="1660" w:type="dxa"/>
            <w:shd w:val="clear" w:color="auto" w:fill="D9D9D9" w:themeFill="background1" w:themeFillShade="D9"/>
          </w:tcPr>
          <w:p w14:paraId="74D39614" w14:textId="6BB519F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-2.4</w:t>
            </w:r>
          </w:p>
        </w:tc>
      </w:tr>
    </w:tbl>
    <w:p w14:paraId="27657069"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51CCF6F2" w14:textId="77777777" w:rsidTr="0095713A">
        <w:tc>
          <w:tcPr>
            <w:tcW w:w="9625" w:type="dxa"/>
            <w:gridSpan w:val="7"/>
            <w:shd w:val="clear" w:color="auto" w:fill="D9D9D9" w:themeFill="background1" w:themeFillShade="D9"/>
          </w:tcPr>
          <w:p w14:paraId="14B729D8" w14:textId="574B1A86"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18. VAT exemption of postal services</w:t>
            </w:r>
          </w:p>
        </w:tc>
      </w:tr>
      <w:tr w:rsidR="00F77F6D" w:rsidRPr="00CB1E53" w14:paraId="71911E53" w14:textId="77777777" w:rsidTr="0095713A">
        <w:tc>
          <w:tcPr>
            <w:tcW w:w="2425" w:type="dxa"/>
          </w:tcPr>
          <w:p w14:paraId="3F2A7396" w14:textId="7777777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5AA11AE1" w14:textId="5467B45E" w:rsidR="00F77F6D" w:rsidRPr="00CB1E53" w:rsidRDefault="00F77F6D" w:rsidP="00FD11D9">
            <w:pPr>
              <w:keepNext/>
              <w:keepLines/>
              <w:spacing w:before="20" w:after="20"/>
              <w:jc w:val="both"/>
              <w:rPr>
                <w:rFonts w:ascii="Segoe UI" w:hAnsi="Segoe UI" w:cs="Segoe UI"/>
                <w:sz w:val="18"/>
                <w:szCs w:val="18"/>
              </w:rPr>
            </w:pPr>
            <w:r w:rsidRPr="00CB1E53">
              <w:rPr>
                <w:rFonts w:ascii="Segoe UI" w:hAnsi="Segoe UI" w:cs="Segoe UI"/>
                <w:sz w:val="18"/>
                <w:szCs w:val="18"/>
              </w:rPr>
              <w:t>The supply of postal services, including the delivery of pensions, subsidies and indemnities is exempt from VAT</w:t>
            </w:r>
            <w:r w:rsidR="009F7472">
              <w:rPr>
                <w:rFonts w:ascii="Segoe UI" w:hAnsi="Segoe UI" w:cs="Segoe UI"/>
                <w:sz w:val="18"/>
                <w:szCs w:val="18"/>
              </w:rPr>
              <w:t>.</w:t>
            </w:r>
          </w:p>
        </w:tc>
      </w:tr>
      <w:tr w:rsidR="00F77F6D" w:rsidRPr="00CB1E53" w14:paraId="5538A5C0" w14:textId="77777777" w:rsidTr="0095713A">
        <w:tc>
          <w:tcPr>
            <w:tcW w:w="2425" w:type="dxa"/>
          </w:tcPr>
          <w:p w14:paraId="6745484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67F24B1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0C597036" w14:textId="77777777" w:rsidTr="0095713A">
        <w:tc>
          <w:tcPr>
            <w:tcW w:w="2425" w:type="dxa"/>
          </w:tcPr>
          <w:p w14:paraId="793B872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BBC92D2" w14:textId="1FF242EB"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Households using postal services and recipients of pensions and subsidies</w:t>
            </w:r>
            <w:r w:rsidR="009F7472">
              <w:rPr>
                <w:rFonts w:ascii="Segoe UI" w:hAnsi="Segoe UI" w:cs="Segoe UI"/>
                <w:sz w:val="18"/>
                <w:szCs w:val="18"/>
              </w:rPr>
              <w:t>.</w:t>
            </w:r>
          </w:p>
        </w:tc>
      </w:tr>
      <w:tr w:rsidR="00F77F6D" w:rsidRPr="00CB1E53" w14:paraId="4143307A" w14:textId="77777777" w:rsidTr="0095713A">
        <w:tc>
          <w:tcPr>
            <w:tcW w:w="2425" w:type="dxa"/>
          </w:tcPr>
          <w:p w14:paraId="5E328D1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45AFA5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46AC43C5" w14:textId="77777777" w:rsidTr="0095713A">
        <w:tc>
          <w:tcPr>
            <w:tcW w:w="2425" w:type="dxa"/>
          </w:tcPr>
          <w:p w14:paraId="49A793B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CDB5DDA" w14:textId="089CA9FC"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including courier or mail delivery services</w:t>
            </w:r>
            <w:r w:rsidR="009F7472">
              <w:rPr>
                <w:rFonts w:ascii="Segoe UI" w:hAnsi="Segoe UI" w:cs="Segoe UI"/>
                <w:sz w:val="18"/>
                <w:szCs w:val="18"/>
              </w:rPr>
              <w:t xml:space="preserve"> should attract VAT at the standard rate of 20%</w:t>
            </w:r>
            <w:r w:rsidRPr="00CB1E53">
              <w:rPr>
                <w:rFonts w:ascii="Segoe UI" w:hAnsi="Segoe UI" w:cs="Segoe UI"/>
                <w:sz w:val="18"/>
                <w:szCs w:val="18"/>
              </w:rPr>
              <w:t xml:space="preserve">. This exemption is therefore a tax expenditure.  </w:t>
            </w:r>
          </w:p>
        </w:tc>
      </w:tr>
      <w:tr w:rsidR="00F77F6D" w:rsidRPr="00CB1E53" w14:paraId="4E15DDFF" w14:textId="77777777" w:rsidTr="0095713A">
        <w:tc>
          <w:tcPr>
            <w:tcW w:w="2425" w:type="dxa"/>
          </w:tcPr>
          <w:p w14:paraId="59B0B2A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6AC2CBE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103(13)</w:t>
            </w:r>
          </w:p>
        </w:tc>
      </w:tr>
      <w:tr w:rsidR="00F77F6D" w:rsidRPr="00CB1E53" w14:paraId="6AA021F6" w14:textId="77777777" w:rsidTr="0095713A">
        <w:trPr>
          <w:trHeight w:val="182"/>
        </w:trPr>
        <w:tc>
          <w:tcPr>
            <w:tcW w:w="2425" w:type="dxa"/>
            <w:vMerge w:val="restart"/>
          </w:tcPr>
          <w:p w14:paraId="37F2617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68930127" w14:textId="77777777" w:rsidR="00F77F6D" w:rsidRPr="00CB1E53" w:rsidRDefault="00F77F6D" w:rsidP="00FD11D9">
            <w:pPr>
              <w:spacing w:before="20" w:after="20"/>
              <w:jc w:val="both"/>
              <w:rPr>
                <w:rFonts w:ascii="Segoe UI" w:hAnsi="Segoe UI" w:cs="Segoe UI"/>
                <w:sz w:val="18"/>
                <w:szCs w:val="18"/>
              </w:rPr>
            </w:pPr>
          </w:p>
        </w:tc>
      </w:tr>
      <w:tr w:rsidR="00F77F6D" w:rsidRPr="00CB1E53" w14:paraId="313F35C3" w14:textId="77777777" w:rsidTr="0095713A">
        <w:trPr>
          <w:trHeight w:val="182"/>
        </w:trPr>
        <w:tc>
          <w:tcPr>
            <w:tcW w:w="2425" w:type="dxa"/>
            <w:vMerge/>
          </w:tcPr>
          <w:p w14:paraId="1C43D0AE"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70A975C7" w14:textId="11CE5842"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215014">
              <w:rPr>
                <w:rFonts w:ascii="Segoe UI" w:hAnsi="Segoe UI" w:cs="Segoe UI"/>
                <w:sz w:val="18"/>
                <w:szCs w:val="18"/>
              </w:rPr>
              <w:t xml:space="preserve"> 1998</w:t>
            </w:r>
          </w:p>
        </w:tc>
        <w:tc>
          <w:tcPr>
            <w:tcW w:w="3738" w:type="dxa"/>
            <w:gridSpan w:val="3"/>
          </w:tcPr>
          <w:p w14:paraId="301859F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027D3C52" w14:textId="77777777" w:rsidTr="0095713A">
        <w:tc>
          <w:tcPr>
            <w:tcW w:w="2425" w:type="dxa"/>
          </w:tcPr>
          <w:p w14:paraId="60FE510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778706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168C265F" w14:textId="77777777" w:rsidTr="0095713A">
        <w:tc>
          <w:tcPr>
            <w:tcW w:w="2425" w:type="dxa"/>
          </w:tcPr>
          <w:p w14:paraId="197FD6E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8642FD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4DE6F82E" w14:textId="77777777" w:rsidTr="0095713A">
        <w:tc>
          <w:tcPr>
            <w:tcW w:w="2425" w:type="dxa"/>
          </w:tcPr>
          <w:p w14:paraId="19A8C72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Number of Beneficiaries</w:t>
            </w:r>
          </w:p>
        </w:tc>
        <w:tc>
          <w:tcPr>
            <w:tcW w:w="7200" w:type="dxa"/>
            <w:gridSpan w:val="6"/>
          </w:tcPr>
          <w:p w14:paraId="7AEC14C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5811F0B4" w14:textId="77777777" w:rsidTr="0095713A">
        <w:tc>
          <w:tcPr>
            <w:tcW w:w="2425" w:type="dxa"/>
          </w:tcPr>
          <w:p w14:paraId="30CBD25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651B824" w14:textId="4FA606A3"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37C414E7" w14:textId="77777777" w:rsidTr="0095713A">
        <w:trPr>
          <w:trHeight w:val="91"/>
        </w:trPr>
        <w:tc>
          <w:tcPr>
            <w:tcW w:w="2425" w:type="dxa"/>
            <w:vMerge w:val="restart"/>
          </w:tcPr>
          <w:p w14:paraId="434C0900"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5702162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06187EC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4C4835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1F07648" w14:textId="0EF37DC9"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0F6666B" w14:textId="78418DD7"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0A95D773" w14:textId="77777777" w:rsidTr="0019525F">
        <w:trPr>
          <w:trHeight w:val="91"/>
        </w:trPr>
        <w:tc>
          <w:tcPr>
            <w:tcW w:w="2425" w:type="dxa"/>
            <w:vMerge/>
          </w:tcPr>
          <w:p w14:paraId="7862A979"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7C0C72B3" w14:textId="4A46836A"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20.</w:t>
            </w:r>
            <w:r w:rsidR="0019525F" w:rsidRPr="0019525F">
              <w:rPr>
                <w:rFonts w:ascii="Segoe UI" w:hAnsi="Segoe UI" w:cs="Segoe UI"/>
                <w:i/>
                <w:iCs/>
                <w:sz w:val="18"/>
                <w:szCs w:val="18"/>
              </w:rPr>
              <w:t>0</w:t>
            </w:r>
          </w:p>
        </w:tc>
        <w:tc>
          <w:tcPr>
            <w:tcW w:w="1385" w:type="dxa"/>
            <w:shd w:val="clear" w:color="auto" w:fill="D9D9D9" w:themeFill="background1" w:themeFillShade="D9"/>
          </w:tcPr>
          <w:p w14:paraId="04994507" w14:textId="7C113E6D"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22.3</w:t>
            </w:r>
          </w:p>
        </w:tc>
        <w:tc>
          <w:tcPr>
            <w:tcW w:w="1385" w:type="dxa"/>
            <w:gridSpan w:val="2"/>
            <w:shd w:val="clear" w:color="auto" w:fill="D9D9D9" w:themeFill="background1" w:themeFillShade="D9"/>
          </w:tcPr>
          <w:p w14:paraId="06F9C4BC" w14:textId="5CAC8413"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21.6</w:t>
            </w:r>
          </w:p>
        </w:tc>
        <w:tc>
          <w:tcPr>
            <w:tcW w:w="1385" w:type="dxa"/>
            <w:shd w:val="clear" w:color="auto" w:fill="D9D9D9" w:themeFill="background1" w:themeFillShade="D9"/>
          </w:tcPr>
          <w:p w14:paraId="36FD13B3" w14:textId="31212782"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26.4</w:t>
            </w:r>
          </w:p>
        </w:tc>
        <w:tc>
          <w:tcPr>
            <w:tcW w:w="1660" w:type="dxa"/>
            <w:shd w:val="clear" w:color="auto" w:fill="D9D9D9" w:themeFill="background1" w:themeFillShade="D9"/>
          </w:tcPr>
          <w:p w14:paraId="25E984BC" w14:textId="0E42B18B"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29.2</w:t>
            </w:r>
          </w:p>
        </w:tc>
      </w:tr>
    </w:tbl>
    <w:p w14:paraId="5E6B9153"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072C6F" w:rsidRPr="00CB1E53" w14:paraId="46E4A376" w14:textId="77777777" w:rsidTr="00072C6F">
        <w:tc>
          <w:tcPr>
            <w:tcW w:w="9625" w:type="dxa"/>
            <w:gridSpan w:val="7"/>
            <w:shd w:val="clear" w:color="auto" w:fill="D9D9D9" w:themeFill="background1" w:themeFillShade="D9"/>
          </w:tcPr>
          <w:p w14:paraId="0039DD1F"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19. VAT exemption of gaming and gambling services</w:t>
            </w:r>
          </w:p>
        </w:tc>
      </w:tr>
      <w:tr w:rsidR="00072C6F" w:rsidRPr="00CB1E53" w14:paraId="4FCA2820" w14:textId="77777777" w:rsidTr="00D75D26">
        <w:tc>
          <w:tcPr>
            <w:tcW w:w="2425" w:type="dxa"/>
          </w:tcPr>
          <w:p w14:paraId="4C5FBE5C"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016A525"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The following supply is exempt from VAT: gambling services rendered by entrepreneurs engaged in the gambling business (including the use of gaming machines), except for the services the value of which is partially or entirely included in the stake or entrance fee, and other services rendered to participants or audience; lotteries.</w:t>
            </w:r>
          </w:p>
        </w:tc>
      </w:tr>
      <w:tr w:rsidR="00072C6F" w:rsidRPr="00CB1E53" w14:paraId="06402E1B" w14:textId="77777777" w:rsidTr="00D75D26">
        <w:tc>
          <w:tcPr>
            <w:tcW w:w="2425" w:type="dxa"/>
          </w:tcPr>
          <w:p w14:paraId="1972297F"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BAEA6C2"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072C6F" w:rsidRPr="00CB1E53" w14:paraId="66299621" w14:textId="77777777" w:rsidTr="00D75D26">
        <w:tc>
          <w:tcPr>
            <w:tcW w:w="2425" w:type="dxa"/>
          </w:tcPr>
          <w:p w14:paraId="67357C2D"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09E9B74C" w14:textId="4C742C58"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People placing wagers or participating in games of chance and lotteries— i.e., gamblers</w:t>
            </w:r>
            <w:r w:rsidR="00B232EC">
              <w:rPr>
                <w:rFonts w:ascii="Segoe UI" w:hAnsi="Segoe UI" w:cs="Segoe UI"/>
                <w:sz w:val="18"/>
                <w:szCs w:val="18"/>
              </w:rPr>
              <w:t>.</w:t>
            </w:r>
          </w:p>
        </w:tc>
      </w:tr>
      <w:tr w:rsidR="00072C6F" w:rsidRPr="00CB1E53" w14:paraId="715930FA" w14:textId="77777777" w:rsidTr="00D75D26">
        <w:tc>
          <w:tcPr>
            <w:tcW w:w="2425" w:type="dxa"/>
          </w:tcPr>
          <w:p w14:paraId="647160AE"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6C96D43E"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072C6F" w:rsidRPr="00CB1E53" w14:paraId="2CF26863" w14:textId="77777777" w:rsidTr="00D75D26">
        <w:tc>
          <w:tcPr>
            <w:tcW w:w="2425" w:type="dxa"/>
          </w:tcPr>
          <w:p w14:paraId="05B8DABD"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FAC3823"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The benchmark VAT base is all goods and services consumed in Moldova, so the exemption for gaming activities is a tax expenditure.</w:t>
            </w:r>
            <w:r w:rsidRPr="00CB1E53">
              <w:rPr>
                <w:rFonts w:ascii="Segoe UI" w:hAnsi="Segoe UI" w:cs="Segoe UI"/>
                <w:color w:val="000000"/>
                <w:sz w:val="18"/>
                <w:szCs w:val="18"/>
              </w:rPr>
              <w:t xml:space="preserve"> Gambling is structurally similar to property and casualty insurance and should be included in the benchmark tax base. </w:t>
            </w:r>
            <w:r w:rsidRPr="00CB1E53">
              <w:rPr>
                <w:rFonts w:ascii="Segoe UI" w:hAnsi="Segoe UI" w:cs="Segoe UI"/>
                <w:sz w:val="18"/>
                <w:szCs w:val="18"/>
              </w:rPr>
              <w:t>The margin of the casino or lottery is calculated as the difference (recorded daily or over some other reasonable period) between the cash received for tokens or lottery tickets and the winnings paid out on the redemption of tokens or tickets.</w:t>
            </w:r>
          </w:p>
        </w:tc>
      </w:tr>
      <w:tr w:rsidR="00072C6F" w:rsidRPr="00CB1E53" w14:paraId="24643846" w14:textId="77777777" w:rsidTr="00D75D26">
        <w:tc>
          <w:tcPr>
            <w:tcW w:w="2425" w:type="dxa"/>
          </w:tcPr>
          <w:p w14:paraId="6A9B775A" w14:textId="77777777" w:rsidR="00072C6F" w:rsidRPr="00CB1E53" w:rsidRDefault="00072C6F" w:rsidP="00FD11D9">
            <w:pPr>
              <w:spacing w:before="20" w:after="20"/>
              <w:jc w:val="both"/>
              <w:rPr>
                <w:rFonts w:ascii="Segoe UI" w:hAnsi="Segoe UI" w:cs="Segoe UI"/>
                <w:b/>
                <w:bCs/>
                <w:sz w:val="18"/>
                <w:szCs w:val="18"/>
              </w:rPr>
            </w:pPr>
          </w:p>
        </w:tc>
        <w:tc>
          <w:tcPr>
            <w:tcW w:w="7200" w:type="dxa"/>
            <w:gridSpan w:val="6"/>
          </w:tcPr>
          <w:p w14:paraId="693EAC48" w14:textId="77777777" w:rsidR="00072C6F" w:rsidRPr="00CB1E53" w:rsidRDefault="00072C6F" w:rsidP="00FD11D9">
            <w:pPr>
              <w:spacing w:before="20" w:after="20"/>
              <w:jc w:val="both"/>
              <w:rPr>
                <w:rFonts w:ascii="Segoe UI" w:hAnsi="Segoe UI" w:cs="Segoe UI"/>
                <w:sz w:val="18"/>
                <w:szCs w:val="18"/>
              </w:rPr>
            </w:pPr>
          </w:p>
        </w:tc>
      </w:tr>
      <w:tr w:rsidR="00072C6F" w:rsidRPr="00CB1E53" w14:paraId="44E39547" w14:textId="77777777" w:rsidTr="00D75D26">
        <w:tc>
          <w:tcPr>
            <w:tcW w:w="2425" w:type="dxa"/>
          </w:tcPr>
          <w:p w14:paraId="33CFA168"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F6FF3AA"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Art. 103(14)</w:t>
            </w:r>
          </w:p>
        </w:tc>
      </w:tr>
      <w:tr w:rsidR="00072C6F" w:rsidRPr="00CB1E53" w14:paraId="2D578A32" w14:textId="77777777" w:rsidTr="00D75D26">
        <w:trPr>
          <w:trHeight w:val="182"/>
        </w:trPr>
        <w:tc>
          <w:tcPr>
            <w:tcW w:w="2425" w:type="dxa"/>
            <w:vMerge w:val="restart"/>
          </w:tcPr>
          <w:p w14:paraId="69E29A6F"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54B85C4" w14:textId="77777777" w:rsidR="00072C6F" w:rsidRPr="00CB1E53" w:rsidRDefault="00072C6F" w:rsidP="00FD11D9">
            <w:pPr>
              <w:spacing w:before="20" w:after="20"/>
              <w:jc w:val="both"/>
              <w:rPr>
                <w:rFonts w:ascii="Segoe UI" w:hAnsi="Segoe UI" w:cs="Segoe UI"/>
                <w:sz w:val="18"/>
                <w:szCs w:val="18"/>
              </w:rPr>
            </w:pPr>
          </w:p>
        </w:tc>
      </w:tr>
      <w:tr w:rsidR="00072C6F" w:rsidRPr="00CB1E53" w14:paraId="39781D6B" w14:textId="77777777" w:rsidTr="00D75D26">
        <w:trPr>
          <w:trHeight w:val="182"/>
        </w:trPr>
        <w:tc>
          <w:tcPr>
            <w:tcW w:w="2425" w:type="dxa"/>
            <w:vMerge/>
          </w:tcPr>
          <w:p w14:paraId="125D596A" w14:textId="77777777" w:rsidR="00072C6F" w:rsidRPr="00CB1E53" w:rsidRDefault="00072C6F" w:rsidP="00FD11D9">
            <w:pPr>
              <w:spacing w:before="20" w:after="20"/>
              <w:jc w:val="both"/>
              <w:rPr>
                <w:rFonts w:ascii="Segoe UI" w:hAnsi="Segoe UI" w:cs="Segoe UI"/>
                <w:b/>
                <w:bCs/>
                <w:sz w:val="18"/>
                <w:szCs w:val="18"/>
              </w:rPr>
            </w:pPr>
          </w:p>
        </w:tc>
        <w:tc>
          <w:tcPr>
            <w:tcW w:w="3462" w:type="dxa"/>
            <w:gridSpan w:val="3"/>
          </w:tcPr>
          <w:p w14:paraId="223BE24B" w14:textId="4F3360AE"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4B2E26">
              <w:rPr>
                <w:rFonts w:ascii="Segoe UI" w:hAnsi="Segoe UI" w:cs="Segoe UI"/>
                <w:sz w:val="18"/>
                <w:szCs w:val="18"/>
              </w:rPr>
              <w:t xml:space="preserve"> 1998</w:t>
            </w:r>
          </w:p>
        </w:tc>
        <w:tc>
          <w:tcPr>
            <w:tcW w:w="3738" w:type="dxa"/>
            <w:gridSpan w:val="3"/>
          </w:tcPr>
          <w:p w14:paraId="6E652638"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072C6F" w:rsidRPr="00CB1E53" w14:paraId="629DA90B" w14:textId="77777777" w:rsidTr="00D75D26">
        <w:tc>
          <w:tcPr>
            <w:tcW w:w="2425" w:type="dxa"/>
          </w:tcPr>
          <w:p w14:paraId="500D5B13"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2B6BD380"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072C6F" w:rsidRPr="00CB1E53" w14:paraId="77E84F44" w14:textId="77777777" w:rsidTr="00D75D26">
        <w:tc>
          <w:tcPr>
            <w:tcW w:w="2425" w:type="dxa"/>
          </w:tcPr>
          <w:p w14:paraId="556AF924"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3E4B45F" w14:textId="77777777"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072C6F" w:rsidRPr="00CB1E53" w14:paraId="7516AAA3" w14:textId="77777777" w:rsidTr="00D75D26">
        <w:tc>
          <w:tcPr>
            <w:tcW w:w="2425" w:type="dxa"/>
          </w:tcPr>
          <w:p w14:paraId="2635CABB"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8AF387A" w14:textId="77777777" w:rsidR="00072C6F" w:rsidRPr="00CB1E53" w:rsidRDefault="00072C6F" w:rsidP="00FD11D9">
            <w:pPr>
              <w:spacing w:before="20" w:after="20"/>
              <w:jc w:val="both"/>
              <w:rPr>
                <w:rFonts w:ascii="Segoe UI" w:hAnsi="Segoe UI" w:cs="Segoe UI"/>
                <w:sz w:val="18"/>
                <w:szCs w:val="18"/>
              </w:rPr>
            </w:pPr>
          </w:p>
        </w:tc>
      </w:tr>
      <w:tr w:rsidR="00072C6F" w:rsidRPr="00CB1E53" w14:paraId="7D470D3E" w14:textId="77777777" w:rsidTr="00D75D26">
        <w:tc>
          <w:tcPr>
            <w:tcW w:w="2425" w:type="dxa"/>
          </w:tcPr>
          <w:p w14:paraId="019D150C"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23D1B25" w14:textId="15A48EFE" w:rsidR="00072C6F" w:rsidRPr="00CB1E53" w:rsidRDefault="00072C6F"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072C6F" w:rsidRPr="00CB1E53" w14:paraId="2184DF43" w14:textId="77777777" w:rsidTr="00D75D26">
        <w:trPr>
          <w:trHeight w:val="91"/>
        </w:trPr>
        <w:tc>
          <w:tcPr>
            <w:tcW w:w="2425" w:type="dxa"/>
            <w:vMerge w:val="restart"/>
          </w:tcPr>
          <w:p w14:paraId="29D3EEB5" w14:textId="77777777" w:rsidR="00072C6F" w:rsidRPr="00CB1E53" w:rsidRDefault="00072C6F" w:rsidP="00FD11D9">
            <w:pPr>
              <w:spacing w:before="20" w:after="20"/>
              <w:jc w:val="both"/>
              <w:rPr>
                <w:rFonts w:ascii="Segoe UI" w:hAnsi="Segoe UI" w:cs="Segoe UI"/>
                <w:b/>
                <w:bCs/>
                <w:sz w:val="18"/>
                <w:szCs w:val="18"/>
              </w:rPr>
            </w:pPr>
          </w:p>
        </w:tc>
        <w:tc>
          <w:tcPr>
            <w:tcW w:w="1385" w:type="dxa"/>
          </w:tcPr>
          <w:p w14:paraId="4279658D"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639BD38"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01CF5DF" w14:textId="77777777"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2112E65" w14:textId="27AEFEA9" w:rsidR="00072C6F" w:rsidRPr="00CB1E53" w:rsidRDefault="00072C6F"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482DD659" w14:textId="34A8D28C" w:rsidR="00072C6F"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072C6F" w:rsidRPr="00CB1E53" w14:paraId="226B6661" w14:textId="77777777" w:rsidTr="0019525F">
        <w:trPr>
          <w:trHeight w:val="91"/>
        </w:trPr>
        <w:tc>
          <w:tcPr>
            <w:tcW w:w="2425" w:type="dxa"/>
            <w:vMerge/>
          </w:tcPr>
          <w:p w14:paraId="0175D965" w14:textId="77777777" w:rsidR="00072C6F" w:rsidRPr="00CB1E53" w:rsidRDefault="00072C6F"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2121B92E" w14:textId="3F55E08D" w:rsidR="00072C6F" w:rsidRPr="0019525F" w:rsidRDefault="00072C6F" w:rsidP="00FD11D9">
            <w:pPr>
              <w:spacing w:before="20" w:after="20"/>
              <w:jc w:val="both"/>
              <w:rPr>
                <w:rFonts w:ascii="Segoe UI" w:hAnsi="Segoe UI" w:cs="Segoe UI"/>
                <w:i/>
                <w:iCs/>
                <w:sz w:val="18"/>
                <w:szCs w:val="18"/>
              </w:rPr>
            </w:pPr>
            <w:r w:rsidRPr="0019525F">
              <w:rPr>
                <w:rFonts w:ascii="Segoe UI" w:hAnsi="Segoe UI" w:cs="Segoe UI"/>
                <w:i/>
                <w:iCs/>
                <w:sz w:val="18"/>
                <w:szCs w:val="18"/>
              </w:rPr>
              <w:t>41.5</w:t>
            </w:r>
          </w:p>
        </w:tc>
        <w:tc>
          <w:tcPr>
            <w:tcW w:w="1385" w:type="dxa"/>
            <w:shd w:val="clear" w:color="auto" w:fill="D9D9D9" w:themeFill="background1" w:themeFillShade="D9"/>
          </w:tcPr>
          <w:p w14:paraId="25C9EA1D" w14:textId="0D243079" w:rsidR="00072C6F" w:rsidRPr="0019525F" w:rsidRDefault="00072C6F" w:rsidP="00FD11D9">
            <w:pPr>
              <w:spacing w:before="20" w:after="20"/>
              <w:jc w:val="both"/>
              <w:rPr>
                <w:rFonts w:ascii="Segoe UI" w:hAnsi="Segoe UI" w:cs="Segoe UI"/>
                <w:i/>
                <w:iCs/>
                <w:sz w:val="18"/>
                <w:szCs w:val="18"/>
              </w:rPr>
            </w:pPr>
            <w:r w:rsidRPr="0019525F">
              <w:rPr>
                <w:rFonts w:ascii="Segoe UI" w:hAnsi="Segoe UI" w:cs="Segoe UI"/>
                <w:i/>
                <w:iCs/>
                <w:sz w:val="18"/>
                <w:szCs w:val="18"/>
              </w:rPr>
              <w:t>48.0</w:t>
            </w:r>
          </w:p>
        </w:tc>
        <w:tc>
          <w:tcPr>
            <w:tcW w:w="1385" w:type="dxa"/>
            <w:gridSpan w:val="2"/>
            <w:shd w:val="clear" w:color="auto" w:fill="D9D9D9" w:themeFill="background1" w:themeFillShade="D9"/>
          </w:tcPr>
          <w:p w14:paraId="4E2715B1" w14:textId="5F1D12A3" w:rsidR="00072C6F" w:rsidRPr="0019525F" w:rsidRDefault="00072C6F" w:rsidP="00FD11D9">
            <w:pPr>
              <w:spacing w:before="20" w:after="20"/>
              <w:jc w:val="both"/>
              <w:rPr>
                <w:rFonts w:ascii="Segoe UI" w:hAnsi="Segoe UI" w:cs="Segoe UI"/>
                <w:i/>
                <w:iCs/>
                <w:sz w:val="18"/>
                <w:szCs w:val="18"/>
              </w:rPr>
            </w:pPr>
            <w:r w:rsidRPr="0019525F">
              <w:rPr>
                <w:rFonts w:ascii="Segoe UI" w:hAnsi="Segoe UI" w:cs="Segoe UI"/>
                <w:i/>
                <w:iCs/>
                <w:sz w:val="18"/>
                <w:szCs w:val="18"/>
              </w:rPr>
              <w:t>45.5</w:t>
            </w:r>
          </w:p>
        </w:tc>
        <w:tc>
          <w:tcPr>
            <w:tcW w:w="1385" w:type="dxa"/>
            <w:shd w:val="clear" w:color="auto" w:fill="D9D9D9" w:themeFill="background1" w:themeFillShade="D9"/>
          </w:tcPr>
          <w:p w14:paraId="4C77FD81" w14:textId="2A30B0A7" w:rsidR="00072C6F" w:rsidRPr="0019525F" w:rsidRDefault="00072C6F" w:rsidP="00FD11D9">
            <w:pPr>
              <w:spacing w:before="20" w:after="20"/>
              <w:jc w:val="both"/>
              <w:rPr>
                <w:rFonts w:ascii="Segoe UI" w:hAnsi="Segoe UI" w:cs="Segoe UI"/>
                <w:i/>
                <w:iCs/>
                <w:sz w:val="18"/>
                <w:szCs w:val="18"/>
              </w:rPr>
            </w:pPr>
            <w:r w:rsidRPr="0019525F">
              <w:rPr>
                <w:rFonts w:ascii="Segoe UI" w:hAnsi="Segoe UI" w:cs="Segoe UI"/>
                <w:i/>
                <w:iCs/>
                <w:sz w:val="18"/>
                <w:szCs w:val="18"/>
              </w:rPr>
              <w:t>56.3</w:t>
            </w:r>
          </w:p>
        </w:tc>
        <w:tc>
          <w:tcPr>
            <w:tcW w:w="1660" w:type="dxa"/>
            <w:shd w:val="clear" w:color="auto" w:fill="D9D9D9" w:themeFill="background1" w:themeFillShade="D9"/>
          </w:tcPr>
          <w:p w14:paraId="32452A10" w14:textId="3756CD93" w:rsidR="00072C6F" w:rsidRPr="0019525F" w:rsidRDefault="00072C6F" w:rsidP="00FD11D9">
            <w:pPr>
              <w:spacing w:before="20" w:after="20"/>
              <w:jc w:val="both"/>
              <w:rPr>
                <w:rFonts w:ascii="Segoe UI" w:hAnsi="Segoe UI" w:cs="Segoe UI"/>
                <w:i/>
                <w:iCs/>
                <w:sz w:val="18"/>
                <w:szCs w:val="18"/>
              </w:rPr>
            </w:pPr>
            <w:r w:rsidRPr="0019525F">
              <w:rPr>
                <w:rFonts w:ascii="Segoe UI" w:hAnsi="Segoe UI" w:cs="Segoe UI"/>
                <w:i/>
                <w:iCs/>
                <w:sz w:val="18"/>
                <w:szCs w:val="18"/>
              </w:rPr>
              <w:t>64.1</w:t>
            </w:r>
          </w:p>
        </w:tc>
      </w:tr>
    </w:tbl>
    <w:p w14:paraId="158F814F" w14:textId="3D607184" w:rsidR="00072C6F" w:rsidRPr="00CB1E53" w:rsidRDefault="00072C6F"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2B78611E" w14:textId="77777777" w:rsidTr="00B33EF0">
        <w:tc>
          <w:tcPr>
            <w:tcW w:w="9625" w:type="dxa"/>
            <w:gridSpan w:val="7"/>
            <w:shd w:val="clear" w:color="auto" w:fill="D9D9D9" w:themeFill="background1" w:themeFillShade="D9"/>
          </w:tcPr>
          <w:p w14:paraId="565C3C0B" w14:textId="3D9728D7"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 VAT exemption for burial and crematorium services of human and animal bodies</w:t>
            </w:r>
          </w:p>
        </w:tc>
      </w:tr>
      <w:tr w:rsidR="00F77F6D" w:rsidRPr="00CB1E53" w14:paraId="5CD0E05D" w14:textId="77777777" w:rsidTr="00B33EF0">
        <w:tc>
          <w:tcPr>
            <w:tcW w:w="2425" w:type="dxa"/>
          </w:tcPr>
          <w:p w14:paraId="44327DB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00C8ED8" w14:textId="77777777" w:rsidR="00F77F6D" w:rsidRPr="00CB1E53" w:rsidRDefault="00F77F6D" w:rsidP="00FD11D9">
            <w:pPr>
              <w:keepNext/>
              <w:keepLines/>
              <w:spacing w:before="20" w:after="20"/>
              <w:jc w:val="both"/>
              <w:rPr>
                <w:rFonts w:ascii="Segoe UI" w:hAnsi="Segoe UI" w:cs="Segoe UI"/>
                <w:sz w:val="18"/>
                <w:szCs w:val="18"/>
              </w:rPr>
            </w:pPr>
            <w:r w:rsidRPr="00CB1E53">
              <w:rPr>
                <w:rFonts w:ascii="Segoe UI" w:hAnsi="Segoe UI" w:cs="Segoe UI"/>
                <w:sz w:val="18"/>
                <w:szCs w:val="18"/>
              </w:rPr>
              <w:t>The following supply is exempt from VAT: burial and incineration services of human and animal bodies, and related activities: preparation of bodies for burial or incineration, embalming and services provided by funeral furnishers; rental of funeral rooms; rental or sale of burial places; maintenance of graves; fitting out and maintenance of cemeteries; transportation of bodies; rituals and ceremonies provided by religious organizations; organization of funerals and incineration ceremonies, manufacturing and/or delivery of coffins, wreaths.</w:t>
            </w:r>
          </w:p>
        </w:tc>
      </w:tr>
      <w:tr w:rsidR="00F77F6D" w:rsidRPr="00CB1E53" w14:paraId="21637C03" w14:textId="77777777" w:rsidTr="00B33EF0">
        <w:tc>
          <w:tcPr>
            <w:tcW w:w="2425" w:type="dxa"/>
          </w:tcPr>
          <w:p w14:paraId="543C3F3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26518B8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656B432F" w14:textId="77777777" w:rsidTr="00B33EF0">
        <w:tc>
          <w:tcPr>
            <w:tcW w:w="2425" w:type="dxa"/>
          </w:tcPr>
          <w:p w14:paraId="0099462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323F49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Families of the deceased</w:t>
            </w:r>
          </w:p>
        </w:tc>
      </w:tr>
      <w:tr w:rsidR="00F77F6D" w:rsidRPr="00CB1E53" w14:paraId="0B5C65FB" w14:textId="77777777" w:rsidTr="00B33EF0">
        <w:tc>
          <w:tcPr>
            <w:tcW w:w="2425" w:type="dxa"/>
          </w:tcPr>
          <w:p w14:paraId="5EFD50D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713BD9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77CEBCBE" w14:textId="77777777" w:rsidTr="00B33EF0">
        <w:tc>
          <w:tcPr>
            <w:tcW w:w="2425" w:type="dxa"/>
          </w:tcPr>
          <w:p w14:paraId="72C0FCC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0AEAA78" w14:textId="231782F4"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The benchmark VAT base is all goods and services consumed in Moldova, so the </w:t>
            </w:r>
            <w:r w:rsidR="00B232EC">
              <w:rPr>
                <w:rFonts w:ascii="Segoe UI" w:hAnsi="Segoe UI" w:cs="Segoe UI"/>
                <w:sz w:val="18"/>
                <w:szCs w:val="18"/>
              </w:rPr>
              <w:t xml:space="preserve">VAT </w:t>
            </w:r>
            <w:r w:rsidRPr="00CB1E53">
              <w:rPr>
                <w:rFonts w:ascii="Segoe UI" w:hAnsi="Segoe UI" w:cs="Segoe UI"/>
                <w:sz w:val="18"/>
                <w:szCs w:val="18"/>
              </w:rPr>
              <w:t xml:space="preserve">exemption </w:t>
            </w:r>
            <w:r w:rsidR="00B232EC">
              <w:rPr>
                <w:rFonts w:ascii="Segoe UI" w:hAnsi="Segoe UI" w:cs="Segoe UI"/>
                <w:sz w:val="18"/>
                <w:szCs w:val="18"/>
              </w:rPr>
              <w:t xml:space="preserve">of </w:t>
            </w:r>
            <w:r w:rsidRPr="00CB1E53">
              <w:rPr>
                <w:rFonts w:ascii="Segoe UI" w:hAnsi="Segoe UI" w:cs="Segoe UI"/>
                <w:sz w:val="18"/>
                <w:szCs w:val="18"/>
              </w:rPr>
              <w:t>burial/crematorium services is a tax expenditure.</w:t>
            </w:r>
          </w:p>
        </w:tc>
      </w:tr>
      <w:tr w:rsidR="00F77F6D" w:rsidRPr="00CB1E53" w14:paraId="70BF3781" w14:textId="77777777" w:rsidTr="00B33EF0">
        <w:tc>
          <w:tcPr>
            <w:tcW w:w="2425" w:type="dxa"/>
          </w:tcPr>
          <w:p w14:paraId="512BCEA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8A4438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103(15)</w:t>
            </w:r>
          </w:p>
        </w:tc>
      </w:tr>
      <w:tr w:rsidR="00F77F6D" w:rsidRPr="00CB1E53" w14:paraId="181CC93B" w14:textId="77777777" w:rsidTr="00B33EF0">
        <w:trPr>
          <w:trHeight w:val="182"/>
        </w:trPr>
        <w:tc>
          <w:tcPr>
            <w:tcW w:w="2425" w:type="dxa"/>
            <w:vMerge w:val="restart"/>
          </w:tcPr>
          <w:p w14:paraId="72C1492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C20F9D1" w14:textId="77777777" w:rsidR="00F77F6D" w:rsidRPr="00CB1E53" w:rsidRDefault="00F77F6D" w:rsidP="00FD11D9">
            <w:pPr>
              <w:spacing w:before="20" w:after="20"/>
              <w:jc w:val="both"/>
              <w:rPr>
                <w:rFonts w:ascii="Segoe UI" w:hAnsi="Segoe UI" w:cs="Segoe UI"/>
                <w:sz w:val="18"/>
                <w:szCs w:val="18"/>
              </w:rPr>
            </w:pPr>
          </w:p>
        </w:tc>
      </w:tr>
      <w:tr w:rsidR="00F77F6D" w:rsidRPr="00CB1E53" w14:paraId="2D75062D" w14:textId="77777777" w:rsidTr="00B33EF0">
        <w:trPr>
          <w:trHeight w:val="182"/>
        </w:trPr>
        <w:tc>
          <w:tcPr>
            <w:tcW w:w="2425" w:type="dxa"/>
            <w:vMerge/>
          </w:tcPr>
          <w:p w14:paraId="23608B1E"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9C5B798" w14:textId="05A1A5A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1F4151">
              <w:rPr>
                <w:rFonts w:ascii="Segoe UI" w:hAnsi="Segoe UI" w:cs="Segoe UI"/>
                <w:sz w:val="18"/>
                <w:szCs w:val="18"/>
              </w:rPr>
              <w:t>1998</w:t>
            </w:r>
          </w:p>
        </w:tc>
        <w:tc>
          <w:tcPr>
            <w:tcW w:w="3738" w:type="dxa"/>
            <w:gridSpan w:val="3"/>
          </w:tcPr>
          <w:p w14:paraId="412116D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400B5C44" w14:textId="77777777" w:rsidTr="00B33EF0">
        <w:tc>
          <w:tcPr>
            <w:tcW w:w="2425" w:type="dxa"/>
          </w:tcPr>
          <w:p w14:paraId="7D7AB34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673D91B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581F736C" w14:textId="77777777" w:rsidTr="00B33EF0">
        <w:tc>
          <w:tcPr>
            <w:tcW w:w="2425" w:type="dxa"/>
          </w:tcPr>
          <w:p w14:paraId="0EDF672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Estimation Method</w:t>
            </w:r>
          </w:p>
        </w:tc>
        <w:tc>
          <w:tcPr>
            <w:tcW w:w="7200" w:type="dxa"/>
            <w:gridSpan w:val="6"/>
          </w:tcPr>
          <w:p w14:paraId="2B863EA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20E133DF" w14:textId="77777777" w:rsidTr="00B33EF0">
        <w:tc>
          <w:tcPr>
            <w:tcW w:w="2425" w:type="dxa"/>
          </w:tcPr>
          <w:p w14:paraId="499BEAB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D898C88" w14:textId="77777777" w:rsidR="00F77F6D" w:rsidRPr="00CB1E53" w:rsidRDefault="00F77F6D" w:rsidP="00FD11D9">
            <w:pPr>
              <w:spacing w:before="20" w:after="20"/>
              <w:jc w:val="both"/>
              <w:rPr>
                <w:rFonts w:ascii="Segoe UI" w:hAnsi="Segoe UI" w:cs="Segoe UI"/>
                <w:sz w:val="18"/>
                <w:szCs w:val="18"/>
              </w:rPr>
            </w:pPr>
          </w:p>
        </w:tc>
      </w:tr>
      <w:tr w:rsidR="00F77F6D" w:rsidRPr="00CB1E53" w14:paraId="4BCEFF2D" w14:textId="77777777" w:rsidTr="00B33EF0">
        <w:tc>
          <w:tcPr>
            <w:tcW w:w="2425" w:type="dxa"/>
          </w:tcPr>
          <w:p w14:paraId="7A8FAC3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4CF3271" w14:textId="76759FCD"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6790B7BE" w14:textId="77777777" w:rsidTr="00B33EF0">
        <w:trPr>
          <w:trHeight w:val="91"/>
        </w:trPr>
        <w:tc>
          <w:tcPr>
            <w:tcW w:w="2425" w:type="dxa"/>
            <w:vMerge w:val="restart"/>
          </w:tcPr>
          <w:p w14:paraId="5F20515D"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75DE4BD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C0FE53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8D89FA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6970D60D" w14:textId="5EF25A2A"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28D0A683" w14:textId="24D13297"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9863B94" w14:textId="77777777" w:rsidTr="0019525F">
        <w:trPr>
          <w:trHeight w:val="91"/>
        </w:trPr>
        <w:tc>
          <w:tcPr>
            <w:tcW w:w="2425" w:type="dxa"/>
            <w:vMerge/>
          </w:tcPr>
          <w:p w14:paraId="35E5F128"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51614C0B" w14:textId="5E2201AD"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5.5</w:t>
            </w:r>
          </w:p>
        </w:tc>
        <w:tc>
          <w:tcPr>
            <w:tcW w:w="1385" w:type="dxa"/>
            <w:shd w:val="clear" w:color="auto" w:fill="D9D9D9" w:themeFill="background1" w:themeFillShade="D9"/>
          </w:tcPr>
          <w:p w14:paraId="1CAF2AE6" w14:textId="5B6BFCBA"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6.1</w:t>
            </w:r>
          </w:p>
        </w:tc>
        <w:tc>
          <w:tcPr>
            <w:tcW w:w="1385" w:type="dxa"/>
            <w:gridSpan w:val="2"/>
            <w:shd w:val="clear" w:color="auto" w:fill="D9D9D9" w:themeFill="background1" w:themeFillShade="D9"/>
          </w:tcPr>
          <w:p w14:paraId="070D786C" w14:textId="7848C8AD"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5.9</w:t>
            </w:r>
          </w:p>
        </w:tc>
        <w:tc>
          <w:tcPr>
            <w:tcW w:w="1385" w:type="dxa"/>
            <w:shd w:val="clear" w:color="auto" w:fill="D9D9D9" w:themeFill="background1" w:themeFillShade="D9"/>
          </w:tcPr>
          <w:p w14:paraId="2AD189EC" w14:textId="7B929426"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7.2</w:t>
            </w:r>
          </w:p>
        </w:tc>
        <w:tc>
          <w:tcPr>
            <w:tcW w:w="1660" w:type="dxa"/>
            <w:shd w:val="clear" w:color="auto" w:fill="D9D9D9" w:themeFill="background1" w:themeFillShade="D9"/>
          </w:tcPr>
          <w:p w14:paraId="43A4EF89" w14:textId="43425805"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8.0</w:t>
            </w:r>
          </w:p>
        </w:tc>
      </w:tr>
    </w:tbl>
    <w:p w14:paraId="6FFE435F"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2042B9EC" w14:textId="77777777" w:rsidTr="00B33EF0">
        <w:tc>
          <w:tcPr>
            <w:tcW w:w="9625" w:type="dxa"/>
            <w:gridSpan w:val="7"/>
            <w:shd w:val="clear" w:color="auto" w:fill="D9D9D9" w:themeFill="background1" w:themeFillShade="D9"/>
          </w:tcPr>
          <w:p w14:paraId="086B87BB" w14:textId="75EDFA5C"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21. VAT exemption for utilities for the general public, rental of dwelling, water supply, sewage, heating, sanitation, elevators</w:t>
            </w:r>
          </w:p>
        </w:tc>
      </w:tr>
      <w:tr w:rsidR="00F77F6D" w:rsidRPr="00CB1E53" w14:paraId="21BC3D44" w14:textId="77777777" w:rsidTr="00B33EF0">
        <w:tc>
          <w:tcPr>
            <w:tcW w:w="2425" w:type="dxa"/>
          </w:tcPr>
          <w:p w14:paraId="3AE353E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E175F9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following supply is exempt from VAT: utilities for the general public: rental of dwelling, technical services for the residential buildings, water supply, sewage, heating, sanitation, elevators;</w:t>
            </w:r>
          </w:p>
        </w:tc>
      </w:tr>
      <w:tr w:rsidR="00F77F6D" w:rsidRPr="00CB1E53" w14:paraId="792170DF" w14:textId="77777777" w:rsidTr="00B33EF0">
        <w:tc>
          <w:tcPr>
            <w:tcW w:w="2425" w:type="dxa"/>
          </w:tcPr>
          <w:p w14:paraId="4D871FC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53DA4F4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1765C164" w14:textId="77777777" w:rsidTr="00B33EF0">
        <w:tc>
          <w:tcPr>
            <w:tcW w:w="2425" w:type="dxa"/>
          </w:tcPr>
          <w:p w14:paraId="12F41FC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3A7436C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Households</w:t>
            </w:r>
          </w:p>
        </w:tc>
      </w:tr>
      <w:tr w:rsidR="00F77F6D" w:rsidRPr="00CB1E53" w14:paraId="64157C37" w14:textId="77777777" w:rsidTr="00B33EF0">
        <w:tc>
          <w:tcPr>
            <w:tcW w:w="2425" w:type="dxa"/>
          </w:tcPr>
          <w:p w14:paraId="35B8D80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F44F91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w:t>
            </w:r>
          </w:p>
        </w:tc>
      </w:tr>
      <w:tr w:rsidR="00F77F6D" w:rsidRPr="00CB1E53" w14:paraId="3DC80BAF" w14:textId="77777777" w:rsidTr="00B33EF0">
        <w:tc>
          <w:tcPr>
            <w:tcW w:w="2425" w:type="dxa"/>
          </w:tcPr>
          <w:p w14:paraId="274B2A0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0998963B" w14:textId="5F5D1F5C"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The benchmark VAT base is all goods and services consumed in Moldova, so the </w:t>
            </w:r>
            <w:r w:rsidR="00B232EC">
              <w:rPr>
                <w:rFonts w:ascii="Segoe UI" w:hAnsi="Segoe UI" w:cs="Segoe UI"/>
                <w:sz w:val="18"/>
                <w:szCs w:val="18"/>
              </w:rPr>
              <w:t xml:space="preserve">VAT </w:t>
            </w:r>
            <w:r w:rsidRPr="00CB1E53">
              <w:rPr>
                <w:rFonts w:ascii="Segoe UI" w:hAnsi="Segoe UI" w:cs="Segoe UI"/>
                <w:sz w:val="18"/>
                <w:szCs w:val="18"/>
              </w:rPr>
              <w:t>exemption of rental accommodation services is a tax expenditure.</w:t>
            </w:r>
          </w:p>
        </w:tc>
      </w:tr>
      <w:tr w:rsidR="00F77F6D" w:rsidRPr="00CB1E53" w14:paraId="101E07A8" w14:textId="77777777" w:rsidTr="00B33EF0">
        <w:tc>
          <w:tcPr>
            <w:tcW w:w="2425" w:type="dxa"/>
          </w:tcPr>
          <w:p w14:paraId="3E74FF8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97BDEC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103(16)</w:t>
            </w:r>
          </w:p>
        </w:tc>
      </w:tr>
      <w:tr w:rsidR="00F77F6D" w:rsidRPr="00CB1E53" w14:paraId="52A5FCCA" w14:textId="77777777" w:rsidTr="00B33EF0">
        <w:trPr>
          <w:trHeight w:val="182"/>
        </w:trPr>
        <w:tc>
          <w:tcPr>
            <w:tcW w:w="2425" w:type="dxa"/>
            <w:vMerge w:val="restart"/>
          </w:tcPr>
          <w:p w14:paraId="6B18749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243CFC41" w14:textId="77777777" w:rsidR="00F77F6D" w:rsidRPr="00CB1E53" w:rsidRDefault="00F77F6D" w:rsidP="00FD11D9">
            <w:pPr>
              <w:spacing w:before="20" w:after="20"/>
              <w:jc w:val="both"/>
              <w:rPr>
                <w:rFonts w:ascii="Segoe UI" w:hAnsi="Segoe UI" w:cs="Segoe UI"/>
                <w:sz w:val="18"/>
                <w:szCs w:val="18"/>
              </w:rPr>
            </w:pPr>
          </w:p>
        </w:tc>
      </w:tr>
      <w:tr w:rsidR="00F77F6D" w:rsidRPr="00CB1E53" w14:paraId="1E88D200" w14:textId="77777777" w:rsidTr="00B33EF0">
        <w:trPr>
          <w:trHeight w:val="182"/>
        </w:trPr>
        <w:tc>
          <w:tcPr>
            <w:tcW w:w="2425" w:type="dxa"/>
            <w:vMerge/>
          </w:tcPr>
          <w:p w14:paraId="44DFAD8B"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5411975E" w14:textId="4E96115A"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w:t>
            </w:r>
            <w:r w:rsidR="003E64CC">
              <w:rPr>
                <w:rFonts w:ascii="Segoe UI" w:hAnsi="Segoe UI" w:cs="Segoe UI"/>
                <w:sz w:val="18"/>
                <w:szCs w:val="18"/>
              </w:rPr>
              <w:t xml:space="preserve"> 1998</w:t>
            </w:r>
          </w:p>
        </w:tc>
        <w:tc>
          <w:tcPr>
            <w:tcW w:w="3738" w:type="dxa"/>
            <w:gridSpan w:val="3"/>
          </w:tcPr>
          <w:p w14:paraId="41E8E43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68E9559A" w14:textId="77777777" w:rsidTr="00B33EF0">
        <w:tc>
          <w:tcPr>
            <w:tcW w:w="2425" w:type="dxa"/>
          </w:tcPr>
          <w:p w14:paraId="01ED1BA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04B6EE1" w14:textId="77777777" w:rsidR="00F77F6D" w:rsidRPr="00CB1E53" w:rsidRDefault="00F77F6D" w:rsidP="00FD11D9">
            <w:pPr>
              <w:spacing w:before="20" w:after="20"/>
              <w:jc w:val="both"/>
              <w:rPr>
                <w:rFonts w:ascii="Segoe UI" w:hAnsi="Segoe UI" w:cs="Segoe UI"/>
                <w:sz w:val="18"/>
                <w:szCs w:val="18"/>
              </w:rPr>
            </w:pPr>
          </w:p>
        </w:tc>
      </w:tr>
      <w:tr w:rsidR="00F77F6D" w:rsidRPr="00CB1E53" w14:paraId="221104F6" w14:textId="77777777" w:rsidTr="00B33EF0">
        <w:tc>
          <w:tcPr>
            <w:tcW w:w="2425" w:type="dxa"/>
          </w:tcPr>
          <w:p w14:paraId="5A85D7B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BB0A0AD" w14:textId="77777777" w:rsidR="00F77F6D" w:rsidRPr="00CB1E53" w:rsidRDefault="00F77F6D" w:rsidP="00FD11D9">
            <w:pPr>
              <w:spacing w:before="20" w:after="20"/>
              <w:jc w:val="both"/>
              <w:rPr>
                <w:rFonts w:ascii="Segoe UI" w:hAnsi="Segoe UI" w:cs="Segoe UI"/>
                <w:sz w:val="18"/>
                <w:szCs w:val="18"/>
              </w:rPr>
            </w:pPr>
          </w:p>
        </w:tc>
      </w:tr>
      <w:tr w:rsidR="00F77F6D" w:rsidRPr="00CB1E53" w14:paraId="4C39CEF5" w14:textId="77777777" w:rsidTr="00B33EF0">
        <w:tc>
          <w:tcPr>
            <w:tcW w:w="2425" w:type="dxa"/>
          </w:tcPr>
          <w:p w14:paraId="01F80B5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23D8B8E4" w14:textId="77777777" w:rsidR="00F77F6D" w:rsidRPr="00CB1E53" w:rsidRDefault="00F77F6D" w:rsidP="00FD11D9">
            <w:pPr>
              <w:spacing w:before="20" w:after="20"/>
              <w:jc w:val="both"/>
              <w:rPr>
                <w:rFonts w:ascii="Segoe UI" w:hAnsi="Segoe UI" w:cs="Segoe UI"/>
                <w:sz w:val="18"/>
                <w:szCs w:val="18"/>
              </w:rPr>
            </w:pPr>
          </w:p>
        </w:tc>
      </w:tr>
      <w:tr w:rsidR="00F77F6D" w:rsidRPr="00CB1E53" w14:paraId="4F88CA44" w14:textId="77777777" w:rsidTr="00B33EF0">
        <w:tc>
          <w:tcPr>
            <w:tcW w:w="2425" w:type="dxa"/>
          </w:tcPr>
          <w:p w14:paraId="60C56C7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0DED472" w14:textId="70AB1274"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4A3EB3CD" w14:textId="77777777" w:rsidTr="00B33EF0">
        <w:trPr>
          <w:trHeight w:val="91"/>
        </w:trPr>
        <w:tc>
          <w:tcPr>
            <w:tcW w:w="2425" w:type="dxa"/>
            <w:vMerge w:val="restart"/>
          </w:tcPr>
          <w:p w14:paraId="4DC47D07"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05FD45B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06864F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FF5DEE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3675EE5C" w14:textId="72AB13E6"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6546051A" w14:textId="60AD90BA"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101EB7F3" w14:textId="77777777" w:rsidTr="0019525F">
        <w:trPr>
          <w:trHeight w:val="91"/>
        </w:trPr>
        <w:tc>
          <w:tcPr>
            <w:tcW w:w="2425" w:type="dxa"/>
            <w:vMerge/>
          </w:tcPr>
          <w:p w14:paraId="628494E4"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1350CB5E" w14:textId="1588B894"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113.3</w:t>
            </w:r>
          </w:p>
        </w:tc>
        <w:tc>
          <w:tcPr>
            <w:tcW w:w="1385" w:type="dxa"/>
            <w:shd w:val="clear" w:color="auto" w:fill="D9D9D9" w:themeFill="background1" w:themeFillShade="D9"/>
          </w:tcPr>
          <w:p w14:paraId="1D969524" w14:textId="2B2EE06C"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124.7</w:t>
            </w:r>
          </w:p>
        </w:tc>
        <w:tc>
          <w:tcPr>
            <w:tcW w:w="1385" w:type="dxa"/>
            <w:gridSpan w:val="2"/>
            <w:shd w:val="clear" w:color="auto" w:fill="D9D9D9" w:themeFill="background1" w:themeFillShade="D9"/>
          </w:tcPr>
          <w:p w14:paraId="34E43E33" w14:textId="22B454D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121.0</w:t>
            </w:r>
          </w:p>
        </w:tc>
        <w:tc>
          <w:tcPr>
            <w:tcW w:w="1385" w:type="dxa"/>
            <w:shd w:val="clear" w:color="auto" w:fill="D9D9D9" w:themeFill="background1" w:themeFillShade="D9"/>
          </w:tcPr>
          <w:p w14:paraId="3333063E" w14:textId="2127724E"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147.6</w:t>
            </w:r>
          </w:p>
        </w:tc>
        <w:tc>
          <w:tcPr>
            <w:tcW w:w="1660" w:type="dxa"/>
            <w:shd w:val="clear" w:color="auto" w:fill="D9D9D9" w:themeFill="background1" w:themeFillShade="D9"/>
          </w:tcPr>
          <w:p w14:paraId="47833896" w14:textId="375D4487"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163.0</w:t>
            </w:r>
          </w:p>
        </w:tc>
      </w:tr>
    </w:tbl>
    <w:p w14:paraId="51379949" w14:textId="77777777" w:rsidR="00F77F6D" w:rsidRPr="00CB1E53" w:rsidRDefault="00F77F6D" w:rsidP="00FD11D9">
      <w:pPr>
        <w:spacing w:before="20" w:after="20" w:line="240" w:lineRule="auto"/>
        <w:jc w:val="both"/>
        <w:rPr>
          <w:rFonts w:ascii="Segoe UI" w:hAnsi="Segoe UI" w:cs="Segoe UI"/>
          <w:b/>
          <w:bCs/>
          <w:sz w:val="18"/>
          <w:szCs w:val="18"/>
        </w:rPr>
      </w:pPr>
    </w:p>
    <w:tbl>
      <w:tblPr>
        <w:tblStyle w:val="TableGrid4"/>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7490447C" w14:textId="77777777" w:rsidTr="00B33EF0">
        <w:tc>
          <w:tcPr>
            <w:tcW w:w="9625" w:type="dxa"/>
            <w:gridSpan w:val="7"/>
            <w:shd w:val="clear" w:color="auto" w:fill="D9D9D9" w:themeFill="background1" w:themeFillShade="D9"/>
          </w:tcPr>
          <w:p w14:paraId="5D006E31" w14:textId="60F6ADBA"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22. Exempting the supply of editing of books and periodicals as well as publishing service with respect to such books/periodicals, copyright services</w:t>
            </w:r>
            <w:r w:rsidR="00B232EC">
              <w:rPr>
                <w:rFonts w:ascii="Segoe UI" w:hAnsi="Segoe UI" w:cs="Segoe UI"/>
                <w:b/>
                <w:bCs/>
                <w:sz w:val="18"/>
                <w:szCs w:val="18"/>
              </w:rPr>
              <w:t>,</w:t>
            </w:r>
            <w:r w:rsidRPr="00CB1E53">
              <w:rPr>
                <w:rFonts w:ascii="Segoe UI" w:hAnsi="Segoe UI" w:cs="Segoe UI"/>
                <w:b/>
                <w:bCs/>
                <w:sz w:val="18"/>
                <w:szCs w:val="18"/>
              </w:rPr>
              <w:t xml:space="preserve"> and other related rights used in the editing of books and periodicals</w:t>
            </w:r>
          </w:p>
        </w:tc>
      </w:tr>
      <w:tr w:rsidR="00F77F6D" w:rsidRPr="00CB1E53" w14:paraId="0DE99FBE" w14:textId="77777777" w:rsidTr="00B33EF0">
        <w:tc>
          <w:tcPr>
            <w:tcW w:w="2425" w:type="dxa"/>
          </w:tcPr>
          <w:p w14:paraId="5DA03E7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789009E" w14:textId="31FB64D2" w:rsidR="00F77F6D" w:rsidRPr="00CB1E53" w:rsidRDefault="00F77F6D" w:rsidP="00FD11D9">
            <w:pPr>
              <w:keepNext/>
              <w:keepLines/>
              <w:spacing w:before="20" w:after="20"/>
              <w:jc w:val="both"/>
              <w:rPr>
                <w:rFonts w:ascii="Segoe UI" w:hAnsi="Segoe UI" w:cs="Segoe UI"/>
                <w:sz w:val="18"/>
                <w:szCs w:val="18"/>
              </w:rPr>
            </w:pPr>
            <w:r w:rsidRPr="00CB1E53">
              <w:rPr>
                <w:rFonts w:ascii="Segoe UI" w:hAnsi="Segoe UI" w:cs="Segoe UI"/>
                <w:sz w:val="18"/>
                <w:szCs w:val="18"/>
              </w:rPr>
              <w:t>Book production and periodical publications (except advertising and erotic ones) under tariff headings 4901, 4902, 490300000, 490400000 and 4905, as well as book and periodicals publishing services</w:t>
            </w:r>
            <w:r w:rsidR="00B232EC">
              <w:rPr>
                <w:rFonts w:ascii="Segoe UI" w:hAnsi="Segoe UI" w:cs="Segoe UI"/>
                <w:sz w:val="18"/>
                <w:szCs w:val="18"/>
              </w:rPr>
              <w:t>,</w:t>
            </w:r>
            <w:r w:rsidRPr="00CB1E53">
              <w:rPr>
                <w:rFonts w:ascii="Segoe UI" w:hAnsi="Segoe UI" w:cs="Segoe UI"/>
                <w:sz w:val="18"/>
                <w:szCs w:val="18"/>
              </w:rPr>
              <w:t xml:space="preserve"> and other related services, except those mentioned above are exempted from VAT deliveries.</w:t>
            </w:r>
          </w:p>
        </w:tc>
      </w:tr>
      <w:tr w:rsidR="00F77F6D" w:rsidRPr="00CB1E53" w14:paraId="1725FA19" w14:textId="77777777" w:rsidTr="00B33EF0">
        <w:tc>
          <w:tcPr>
            <w:tcW w:w="2425" w:type="dxa"/>
          </w:tcPr>
          <w:p w14:paraId="56A1F68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E7C070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5BB53FB5" w14:textId="77777777" w:rsidTr="00B33EF0">
        <w:tc>
          <w:tcPr>
            <w:tcW w:w="2425" w:type="dxa"/>
          </w:tcPr>
          <w:p w14:paraId="26F85C2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0F46AE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Producers of books and periodicals, as well as consumers of these goods</w:t>
            </w:r>
          </w:p>
        </w:tc>
      </w:tr>
      <w:tr w:rsidR="00F77F6D" w:rsidRPr="00CB1E53" w14:paraId="4192C4EC" w14:textId="77777777" w:rsidTr="00B33EF0">
        <w:tc>
          <w:tcPr>
            <w:tcW w:w="2425" w:type="dxa"/>
          </w:tcPr>
          <w:p w14:paraId="5359FA4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DE2D1A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0B0C4CAD" w14:textId="77777777" w:rsidTr="00B33EF0">
        <w:tc>
          <w:tcPr>
            <w:tcW w:w="2425" w:type="dxa"/>
          </w:tcPr>
          <w:p w14:paraId="36995AD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43FB4EA" w14:textId="483AF7F1"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including books and periodicals, as well as publishing service to final consumers should be at the standard VAT rate.</w:t>
            </w:r>
            <w:r w:rsidR="00B232EC">
              <w:rPr>
                <w:rFonts w:ascii="Segoe UI" w:hAnsi="Segoe UI" w:cs="Segoe UI"/>
                <w:sz w:val="18"/>
                <w:szCs w:val="18"/>
              </w:rPr>
              <w:t xml:space="preserve"> This exemption is therefore a tax expenditure.</w:t>
            </w:r>
          </w:p>
        </w:tc>
      </w:tr>
      <w:tr w:rsidR="00F77F6D" w:rsidRPr="00CB1E53" w14:paraId="743A37F5" w14:textId="77777777" w:rsidTr="00B33EF0">
        <w:tc>
          <w:tcPr>
            <w:tcW w:w="2425" w:type="dxa"/>
          </w:tcPr>
          <w:p w14:paraId="71E6504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2BA1AB6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103(20) of TC</w:t>
            </w:r>
          </w:p>
        </w:tc>
      </w:tr>
      <w:tr w:rsidR="00F77F6D" w:rsidRPr="00CB1E53" w14:paraId="318006C6" w14:textId="77777777" w:rsidTr="00B33EF0">
        <w:trPr>
          <w:trHeight w:val="182"/>
        </w:trPr>
        <w:tc>
          <w:tcPr>
            <w:tcW w:w="2425" w:type="dxa"/>
            <w:vMerge w:val="restart"/>
          </w:tcPr>
          <w:p w14:paraId="7881972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E90BBC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to lower-income households by reducing expenditure on using books and periodicals</w:t>
            </w:r>
          </w:p>
        </w:tc>
      </w:tr>
      <w:tr w:rsidR="00F77F6D" w:rsidRPr="00CB1E53" w14:paraId="29FBE4D9" w14:textId="77777777" w:rsidTr="00B33EF0">
        <w:trPr>
          <w:trHeight w:val="182"/>
        </w:trPr>
        <w:tc>
          <w:tcPr>
            <w:tcW w:w="2425" w:type="dxa"/>
            <w:vMerge/>
          </w:tcPr>
          <w:p w14:paraId="1790B917"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2619750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2001</w:t>
            </w:r>
          </w:p>
        </w:tc>
        <w:tc>
          <w:tcPr>
            <w:tcW w:w="3738" w:type="dxa"/>
            <w:gridSpan w:val="3"/>
          </w:tcPr>
          <w:p w14:paraId="39AC81C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0F1EF174" w14:textId="77777777" w:rsidTr="00B33EF0">
        <w:tc>
          <w:tcPr>
            <w:tcW w:w="2425" w:type="dxa"/>
          </w:tcPr>
          <w:p w14:paraId="3F8710B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B999CB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76AFC99E" w14:textId="77777777" w:rsidTr="00B33EF0">
        <w:tc>
          <w:tcPr>
            <w:tcW w:w="2425" w:type="dxa"/>
          </w:tcPr>
          <w:p w14:paraId="3121AD1C"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3FAC6F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388569F1" w14:textId="77777777" w:rsidTr="00B33EF0">
        <w:tc>
          <w:tcPr>
            <w:tcW w:w="2425" w:type="dxa"/>
          </w:tcPr>
          <w:p w14:paraId="50D6B52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57F04B4B"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22A1FEB" w14:textId="77777777" w:rsidTr="00B33EF0">
        <w:tc>
          <w:tcPr>
            <w:tcW w:w="2425" w:type="dxa"/>
          </w:tcPr>
          <w:p w14:paraId="713E196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660FF2C" w14:textId="246B0A69"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0B5DBE84" w14:textId="77777777" w:rsidTr="00B33EF0">
        <w:trPr>
          <w:trHeight w:val="91"/>
        </w:trPr>
        <w:tc>
          <w:tcPr>
            <w:tcW w:w="2425" w:type="dxa"/>
            <w:vMerge w:val="restart"/>
          </w:tcPr>
          <w:p w14:paraId="25172143"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0363C53D"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25925AA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7AAB7F1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2036B24D" w14:textId="2DA1769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6D630904" w14:textId="0149E36E"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293E0CFD" w14:textId="77777777" w:rsidTr="0019525F">
        <w:trPr>
          <w:trHeight w:val="91"/>
        </w:trPr>
        <w:tc>
          <w:tcPr>
            <w:tcW w:w="2425" w:type="dxa"/>
            <w:vMerge/>
          </w:tcPr>
          <w:p w14:paraId="26627C56"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2B48B36E" w14:textId="5815B61E"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98.9</w:t>
            </w:r>
          </w:p>
        </w:tc>
        <w:tc>
          <w:tcPr>
            <w:tcW w:w="1385" w:type="dxa"/>
            <w:shd w:val="clear" w:color="auto" w:fill="D9D9D9" w:themeFill="background1" w:themeFillShade="D9"/>
          </w:tcPr>
          <w:p w14:paraId="1F1841AE" w14:textId="0072AC3B"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108.4</w:t>
            </w:r>
          </w:p>
        </w:tc>
        <w:tc>
          <w:tcPr>
            <w:tcW w:w="1385" w:type="dxa"/>
            <w:gridSpan w:val="2"/>
            <w:shd w:val="clear" w:color="auto" w:fill="D9D9D9" w:themeFill="background1" w:themeFillShade="D9"/>
          </w:tcPr>
          <w:p w14:paraId="009C64F7" w14:textId="7764AB6C"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105.4</w:t>
            </w:r>
          </w:p>
        </w:tc>
        <w:tc>
          <w:tcPr>
            <w:tcW w:w="1385" w:type="dxa"/>
            <w:shd w:val="clear" w:color="auto" w:fill="D9D9D9" w:themeFill="background1" w:themeFillShade="D9"/>
          </w:tcPr>
          <w:p w14:paraId="0ADA066A" w14:textId="3A81E744"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128.4</w:t>
            </w:r>
          </w:p>
        </w:tc>
        <w:tc>
          <w:tcPr>
            <w:tcW w:w="1660" w:type="dxa"/>
            <w:shd w:val="clear" w:color="auto" w:fill="D9D9D9" w:themeFill="background1" w:themeFillShade="D9"/>
          </w:tcPr>
          <w:p w14:paraId="6934CA34" w14:textId="6821A34A"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141.6</w:t>
            </w:r>
          </w:p>
        </w:tc>
      </w:tr>
    </w:tbl>
    <w:p w14:paraId="744DD320"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477EC293" w14:textId="77777777" w:rsidTr="00B33EF0">
        <w:tc>
          <w:tcPr>
            <w:tcW w:w="9625" w:type="dxa"/>
            <w:gridSpan w:val="7"/>
            <w:shd w:val="clear" w:color="auto" w:fill="D9D9D9" w:themeFill="background1" w:themeFillShade="D9"/>
          </w:tcPr>
          <w:p w14:paraId="68A971C7" w14:textId="3DAB14AA"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23. Exempting the supply of fixed assets used as contributions to the owner’s equity of a co</w:t>
            </w:r>
          </w:p>
        </w:tc>
      </w:tr>
      <w:tr w:rsidR="00F77F6D" w:rsidRPr="00CB1E53" w14:paraId="0ADEE2D1" w14:textId="77777777" w:rsidTr="00B33EF0">
        <w:tc>
          <w:tcPr>
            <w:tcW w:w="2425" w:type="dxa"/>
          </w:tcPr>
          <w:p w14:paraId="64FB4EB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80820CC" w14:textId="2441AA2F"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Fixed assets used directly in the manufacture of products, the provision of services and/or the works performed, meant to be included in the statutory (share) capital are exempt from VAT</w:t>
            </w:r>
            <w:r w:rsidR="00B232EC">
              <w:rPr>
                <w:rFonts w:ascii="Segoe UI" w:hAnsi="Segoe UI" w:cs="Segoe UI"/>
                <w:sz w:val="18"/>
                <w:szCs w:val="18"/>
              </w:rPr>
              <w:t>.</w:t>
            </w:r>
          </w:p>
        </w:tc>
      </w:tr>
      <w:tr w:rsidR="00F77F6D" w:rsidRPr="00CB1E53" w14:paraId="787F5006" w14:textId="77777777" w:rsidTr="00B33EF0">
        <w:tc>
          <w:tcPr>
            <w:tcW w:w="2425" w:type="dxa"/>
          </w:tcPr>
          <w:p w14:paraId="23B021F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37133FB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5B154DEB" w14:textId="77777777" w:rsidTr="00B33EF0">
        <w:tc>
          <w:tcPr>
            <w:tcW w:w="2425" w:type="dxa"/>
          </w:tcPr>
          <w:p w14:paraId="472DF78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497CFD7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The economic entities that include in the statutory (share) capital the fixed assets used directly in manufacturing products or providing services/works</w:t>
            </w:r>
          </w:p>
        </w:tc>
      </w:tr>
      <w:tr w:rsidR="00F77F6D" w:rsidRPr="00CB1E53" w14:paraId="27B4A011" w14:textId="77777777" w:rsidTr="00B33EF0">
        <w:tc>
          <w:tcPr>
            <w:tcW w:w="2425" w:type="dxa"/>
          </w:tcPr>
          <w:p w14:paraId="5B5B225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524121A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037838E0" w14:textId="77777777" w:rsidTr="00B33EF0">
        <w:tc>
          <w:tcPr>
            <w:tcW w:w="2425" w:type="dxa"/>
          </w:tcPr>
          <w:p w14:paraId="576D7FF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ED2439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w:t>
            </w:r>
          </w:p>
        </w:tc>
      </w:tr>
      <w:tr w:rsidR="00F77F6D" w:rsidRPr="00CB1E53" w14:paraId="6E88CB49" w14:textId="77777777" w:rsidTr="00B33EF0">
        <w:tc>
          <w:tcPr>
            <w:tcW w:w="2425" w:type="dxa"/>
          </w:tcPr>
          <w:p w14:paraId="362A994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1B462F1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 103 (1) 29) TC</w:t>
            </w:r>
          </w:p>
        </w:tc>
      </w:tr>
      <w:tr w:rsidR="00F77F6D" w:rsidRPr="00CB1E53" w14:paraId="30FEB751" w14:textId="77777777" w:rsidTr="00B33EF0">
        <w:trPr>
          <w:trHeight w:val="182"/>
        </w:trPr>
        <w:tc>
          <w:tcPr>
            <w:tcW w:w="2425" w:type="dxa"/>
            <w:vMerge w:val="restart"/>
          </w:tcPr>
          <w:p w14:paraId="10EB922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851B0F7" w14:textId="77777777" w:rsidR="00F77F6D" w:rsidRPr="00CB1E53" w:rsidRDefault="00F77F6D" w:rsidP="00FD11D9">
            <w:pPr>
              <w:spacing w:before="20" w:after="20"/>
              <w:jc w:val="both"/>
              <w:rPr>
                <w:rFonts w:ascii="Segoe UI" w:hAnsi="Segoe UI" w:cs="Segoe UI"/>
                <w:sz w:val="18"/>
                <w:szCs w:val="18"/>
              </w:rPr>
            </w:pPr>
          </w:p>
        </w:tc>
      </w:tr>
      <w:tr w:rsidR="00F77F6D" w:rsidRPr="00CB1E53" w14:paraId="1FB6044E" w14:textId="77777777" w:rsidTr="00B33EF0">
        <w:trPr>
          <w:trHeight w:val="182"/>
        </w:trPr>
        <w:tc>
          <w:tcPr>
            <w:tcW w:w="2425" w:type="dxa"/>
            <w:vMerge/>
          </w:tcPr>
          <w:p w14:paraId="36CB721F"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35E5E4FB" w14:textId="0AA6AE62"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2014)</w:t>
            </w:r>
          </w:p>
        </w:tc>
        <w:tc>
          <w:tcPr>
            <w:tcW w:w="3738" w:type="dxa"/>
            <w:gridSpan w:val="3"/>
          </w:tcPr>
          <w:p w14:paraId="4F8E433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16177A39" w14:textId="77777777" w:rsidTr="00B33EF0">
        <w:tc>
          <w:tcPr>
            <w:tcW w:w="2425" w:type="dxa"/>
          </w:tcPr>
          <w:p w14:paraId="24CFDDF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582CDA1" w14:textId="724DA080"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4464EEE5" w14:textId="77777777" w:rsidTr="00B33EF0">
        <w:tc>
          <w:tcPr>
            <w:tcW w:w="2425" w:type="dxa"/>
          </w:tcPr>
          <w:p w14:paraId="1DB8A34B"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4F5D2BC4" w14:textId="2713463D"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77EA99CE" w14:textId="77777777" w:rsidTr="00B33EF0">
        <w:tc>
          <w:tcPr>
            <w:tcW w:w="2425" w:type="dxa"/>
          </w:tcPr>
          <w:p w14:paraId="6F2DA839"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59B752A" w14:textId="77777777" w:rsidR="00E05468" w:rsidRPr="00CB1E53" w:rsidRDefault="00E05468" w:rsidP="00FD11D9">
            <w:pPr>
              <w:spacing w:before="20" w:after="20"/>
              <w:jc w:val="both"/>
              <w:rPr>
                <w:rFonts w:ascii="Segoe UI" w:hAnsi="Segoe UI" w:cs="Segoe UI"/>
                <w:sz w:val="18"/>
                <w:szCs w:val="18"/>
              </w:rPr>
            </w:pPr>
          </w:p>
        </w:tc>
      </w:tr>
      <w:tr w:rsidR="00E05468" w:rsidRPr="00CB1E53" w14:paraId="754360A6" w14:textId="77777777" w:rsidTr="00B33EF0">
        <w:tc>
          <w:tcPr>
            <w:tcW w:w="2425" w:type="dxa"/>
          </w:tcPr>
          <w:p w14:paraId="7E1B73F6"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7E3C9595" w14:textId="43C13704"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67C29CA9" w14:textId="77777777" w:rsidTr="00B33EF0">
        <w:trPr>
          <w:trHeight w:val="91"/>
        </w:trPr>
        <w:tc>
          <w:tcPr>
            <w:tcW w:w="2425" w:type="dxa"/>
            <w:vMerge w:val="restart"/>
          </w:tcPr>
          <w:p w14:paraId="34DFB352"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04EF23BD"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53AC00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9E6D458"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476D0617" w14:textId="57DF19C2"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3C8F7D31" w14:textId="4245CEB9"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6B46B5C8" w14:textId="77777777" w:rsidTr="00B33EF0">
        <w:trPr>
          <w:trHeight w:val="91"/>
        </w:trPr>
        <w:tc>
          <w:tcPr>
            <w:tcW w:w="2425" w:type="dxa"/>
            <w:vMerge/>
          </w:tcPr>
          <w:p w14:paraId="3000F3C2"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2F9436B0"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6402D647"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5BE3418D"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38569D4F"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6DDDA66E"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12B8A22F"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1"/>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32CBD69D" w14:textId="77777777" w:rsidTr="00B33EF0">
        <w:tc>
          <w:tcPr>
            <w:tcW w:w="9625" w:type="dxa"/>
            <w:gridSpan w:val="7"/>
            <w:shd w:val="clear" w:color="auto" w:fill="D9D9D9" w:themeFill="background1" w:themeFillShade="D9"/>
          </w:tcPr>
          <w:p w14:paraId="5A2E06E8" w14:textId="6744981F"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24. Exempting the supply of services performed by entities operating in the field of science and innovation technologies</w:t>
            </w:r>
          </w:p>
        </w:tc>
      </w:tr>
      <w:tr w:rsidR="00F77F6D" w:rsidRPr="00CB1E53" w14:paraId="0AE94C99" w14:textId="77777777" w:rsidTr="00B33EF0">
        <w:tc>
          <w:tcPr>
            <w:tcW w:w="2425" w:type="dxa"/>
          </w:tcPr>
          <w:p w14:paraId="50F500D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622D9CE8" w14:textId="77777777" w:rsidR="00F77F6D" w:rsidRPr="00CB1E53" w:rsidRDefault="00F77F6D" w:rsidP="00FD11D9">
            <w:pPr>
              <w:keepNext/>
              <w:keepLines/>
              <w:spacing w:before="20" w:after="20"/>
              <w:jc w:val="both"/>
              <w:rPr>
                <w:rFonts w:ascii="Segoe UI" w:hAnsi="Segoe UI" w:cs="Segoe UI"/>
                <w:sz w:val="18"/>
                <w:szCs w:val="18"/>
              </w:rPr>
            </w:pPr>
            <w:r w:rsidRPr="00CB1E53">
              <w:rPr>
                <w:rFonts w:ascii="Segoe UI" w:hAnsi="Segoe UI" w:cs="Segoe UI"/>
                <w:sz w:val="18"/>
                <w:szCs w:val="18"/>
              </w:rPr>
              <w:t>The supply of services performed by entities operating in the field of science and innovation technologies is exempt from VAT.</w:t>
            </w:r>
          </w:p>
        </w:tc>
      </w:tr>
      <w:tr w:rsidR="00F77F6D" w:rsidRPr="00CB1E53" w14:paraId="47073CE6" w14:textId="77777777" w:rsidTr="00B33EF0">
        <w:tc>
          <w:tcPr>
            <w:tcW w:w="2425" w:type="dxa"/>
          </w:tcPr>
          <w:p w14:paraId="332C34A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1ED489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5C9C3A72" w14:textId="77777777" w:rsidTr="00B33EF0">
        <w:tc>
          <w:tcPr>
            <w:tcW w:w="2425" w:type="dxa"/>
          </w:tcPr>
          <w:p w14:paraId="7BB80E2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F04F79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Entities operating in the field of science and innovation technologies</w:t>
            </w:r>
          </w:p>
        </w:tc>
      </w:tr>
      <w:tr w:rsidR="00F77F6D" w:rsidRPr="00CB1E53" w14:paraId="564099C7" w14:textId="77777777" w:rsidTr="00B33EF0">
        <w:tc>
          <w:tcPr>
            <w:tcW w:w="2425" w:type="dxa"/>
          </w:tcPr>
          <w:p w14:paraId="707AFD4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953932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35765058" w14:textId="77777777" w:rsidTr="00B33EF0">
        <w:tc>
          <w:tcPr>
            <w:tcW w:w="2425" w:type="dxa"/>
          </w:tcPr>
          <w:p w14:paraId="07584EF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1DB4F19" w14:textId="5F037B80"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including</w:t>
            </w:r>
            <w:r w:rsidRPr="00CB1E53">
              <w:rPr>
                <w:rFonts w:ascii="Segoe UI" w:hAnsi="Segoe UI" w:cs="Segoe UI"/>
                <w:b/>
                <w:bCs/>
                <w:sz w:val="18"/>
                <w:szCs w:val="18"/>
              </w:rPr>
              <w:t xml:space="preserve"> </w:t>
            </w:r>
            <w:r w:rsidRPr="00CB1E53">
              <w:rPr>
                <w:rFonts w:ascii="Segoe UI" w:hAnsi="Segoe UI" w:cs="Segoe UI"/>
                <w:bCs/>
                <w:sz w:val="18"/>
                <w:szCs w:val="18"/>
              </w:rPr>
              <w:t>services performed by entities operating in the field of science and innovation technologies</w:t>
            </w:r>
            <w:r w:rsidRPr="00CB1E53">
              <w:rPr>
                <w:rFonts w:ascii="Segoe UI" w:hAnsi="Segoe UI" w:cs="Segoe UI"/>
                <w:sz w:val="18"/>
                <w:szCs w:val="18"/>
              </w:rPr>
              <w:t>, to final consumers should be at the standard VAT rate.</w:t>
            </w:r>
            <w:r w:rsidR="00B232EC">
              <w:rPr>
                <w:rFonts w:ascii="Segoe UI" w:hAnsi="Segoe UI" w:cs="Segoe UI"/>
                <w:sz w:val="18"/>
                <w:szCs w:val="18"/>
              </w:rPr>
              <w:t xml:space="preserve"> </w:t>
            </w:r>
          </w:p>
        </w:tc>
      </w:tr>
      <w:tr w:rsidR="00F77F6D" w:rsidRPr="00CB1E53" w14:paraId="32E7932D" w14:textId="77777777" w:rsidTr="00B33EF0">
        <w:tc>
          <w:tcPr>
            <w:tcW w:w="2425" w:type="dxa"/>
          </w:tcPr>
          <w:p w14:paraId="16F506C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111CCB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Art.103 (1) 27) of TC</w:t>
            </w:r>
          </w:p>
        </w:tc>
      </w:tr>
      <w:tr w:rsidR="00F77F6D" w:rsidRPr="00CB1E53" w14:paraId="61747B7B" w14:textId="77777777" w:rsidTr="00B33EF0">
        <w:trPr>
          <w:trHeight w:val="182"/>
        </w:trPr>
        <w:tc>
          <w:tcPr>
            <w:tcW w:w="2425" w:type="dxa"/>
            <w:vMerge w:val="restart"/>
          </w:tcPr>
          <w:p w14:paraId="7905E12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19AF9F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science and innovation sphere in the Republic of Moldova in terms of facilitating the services provided by accredited organizations in this field.</w:t>
            </w:r>
          </w:p>
        </w:tc>
      </w:tr>
      <w:tr w:rsidR="00F77F6D" w:rsidRPr="00CB1E53" w14:paraId="6F1C1D91" w14:textId="77777777" w:rsidTr="00B33EF0">
        <w:trPr>
          <w:trHeight w:val="182"/>
        </w:trPr>
        <w:tc>
          <w:tcPr>
            <w:tcW w:w="2425" w:type="dxa"/>
            <w:vMerge/>
          </w:tcPr>
          <w:p w14:paraId="4CB1F62C"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623DE3A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Until 2006, the exemption was applied for imported services</w:t>
            </w:r>
          </w:p>
        </w:tc>
        <w:tc>
          <w:tcPr>
            <w:tcW w:w="3738" w:type="dxa"/>
            <w:gridSpan w:val="3"/>
          </w:tcPr>
          <w:p w14:paraId="7B54610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F77F6D" w:rsidRPr="00CB1E53" w14:paraId="58094534" w14:textId="77777777" w:rsidTr="00B33EF0">
        <w:tc>
          <w:tcPr>
            <w:tcW w:w="2425" w:type="dxa"/>
          </w:tcPr>
          <w:p w14:paraId="24A7289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BCD8F8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National accounts data</w:t>
            </w:r>
          </w:p>
        </w:tc>
      </w:tr>
      <w:tr w:rsidR="00F77F6D" w:rsidRPr="00CB1E53" w14:paraId="7B36BDBA" w14:textId="77777777" w:rsidTr="00B33EF0">
        <w:tc>
          <w:tcPr>
            <w:tcW w:w="2425" w:type="dxa"/>
          </w:tcPr>
          <w:p w14:paraId="76B0B71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746C564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model</w:t>
            </w:r>
          </w:p>
        </w:tc>
      </w:tr>
      <w:tr w:rsidR="00F77F6D" w:rsidRPr="00CB1E53" w14:paraId="09FD8548" w14:textId="77777777" w:rsidTr="00B33EF0">
        <w:tc>
          <w:tcPr>
            <w:tcW w:w="2425" w:type="dxa"/>
          </w:tcPr>
          <w:p w14:paraId="7E1983F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33E8EDF4" w14:textId="77777777" w:rsidR="00F77F6D" w:rsidRPr="00CB1E53" w:rsidRDefault="00F77F6D" w:rsidP="00FD11D9">
            <w:pPr>
              <w:spacing w:before="20" w:after="20"/>
              <w:jc w:val="both"/>
              <w:rPr>
                <w:rFonts w:ascii="Segoe UI" w:hAnsi="Segoe UI" w:cs="Segoe UI"/>
                <w:sz w:val="18"/>
                <w:szCs w:val="18"/>
              </w:rPr>
            </w:pPr>
          </w:p>
        </w:tc>
      </w:tr>
      <w:tr w:rsidR="00F77F6D" w:rsidRPr="00CB1E53" w14:paraId="086169DF" w14:textId="77777777" w:rsidTr="00B33EF0">
        <w:tc>
          <w:tcPr>
            <w:tcW w:w="2425" w:type="dxa"/>
          </w:tcPr>
          <w:p w14:paraId="5DEED44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2E5184D3" w14:textId="509836B1" w:rsidR="00F77F6D" w:rsidRPr="00CB1E53" w:rsidRDefault="00CF3A5E" w:rsidP="00FD11D9">
            <w:pPr>
              <w:spacing w:before="20" w:after="20"/>
              <w:jc w:val="both"/>
              <w:rPr>
                <w:rFonts w:ascii="Segoe UI" w:hAnsi="Segoe UI" w:cs="Segoe UI"/>
                <w:sz w:val="18"/>
                <w:szCs w:val="18"/>
              </w:rPr>
            </w:pPr>
            <w:r w:rsidRPr="00CB1E53">
              <w:rPr>
                <w:rFonts w:ascii="Segoe UI" w:hAnsi="Segoe UI" w:cs="Segoe UI"/>
                <w:sz w:val="18"/>
                <w:szCs w:val="18"/>
              </w:rPr>
              <w:t xml:space="preserve">Million </w:t>
            </w:r>
            <w:r w:rsidR="006C24F9" w:rsidRPr="00CB1E53">
              <w:rPr>
                <w:rFonts w:ascii="Segoe UI" w:hAnsi="Segoe UI" w:cs="Segoe UI"/>
                <w:sz w:val="18"/>
                <w:szCs w:val="18"/>
              </w:rPr>
              <w:t>MDL</w:t>
            </w:r>
          </w:p>
        </w:tc>
      </w:tr>
      <w:tr w:rsidR="00F77F6D" w:rsidRPr="00CB1E53" w14:paraId="4444516F" w14:textId="77777777" w:rsidTr="00B33EF0">
        <w:trPr>
          <w:trHeight w:val="91"/>
        </w:trPr>
        <w:tc>
          <w:tcPr>
            <w:tcW w:w="2425" w:type="dxa"/>
            <w:vMerge w:val="restart"/>
          </w:tcPr>
          <w:p w14:paraId="1C2753F9" w14:textId="77777777" w:rsidR="00F77F6D" w:rsidRPr="00CB1E53" w:rsidRDefault="00F77F6D" w:rsidP="00FD11D9">
            <w:pPr>
              <w:spacing w:before="20" w:after="20"/>
              <w:jc w:val="both"/>
              <w:rPr>
                <w:rFonts w:ascii="Segoe UI" w:hAnsi="Segoe UI" w:cs="Segoe UI"/>
                <w:b/>
                <w:bCs/>
                <w:sz w:val="18"/>
                <w:szCs w:val="18"/>
              </w:rPr>
            </w:pPr>
          </w:p>
        </w:tc>
        <w:tc>
          <w:tcPr>
            <w:tcW w:w="1385" w:type="dxa"/>
          </w:tcPr>
          <w:p w14:paraId="2BCD47A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7D41D2F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14721A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0E2C7EF" w14:textId="6E23E7FA"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 xml:space="preserve">2021 </w:t>
            </w:r>
          </w:p>
        </w:tc>
        <w:tc>
          <w:tcPr>
            <w:tcW w:w="1660" w:type="dxa"/>
          </w:tcPr>
          <w:p w14:paraId="171CBB26" w14:textId="432C5B67" w:rsidR="00F77F6D" w:rsidRPr="00CB1E53" w:rsidRDefault="002E05E5"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F77F6D" w:rsidRPr="00CB1E53" w14:paraId="39F7BA7E" w14:textId="77777777" w:rsidTr="0019525F">
        <w:trPr>
          <w:trHeight w:val="91"/>
        </w:trPr>
        <w:tc>
          <w:tcPr>
            <w:tcW w:w="2425" w:type="dxa"/>
            <w:vMerge/>
          </w:tcPr>
          <w:p w14:paraId="0BF4F03F" w14:textId="77777777" w:rsidR="00F77F6D" w:rsidRPr="00CB1E53" w:rsidRDefault="00F77F6D" w:rsidP="00FD11D9">
            <w:pPr>
              <w:spacing w:before="20" w:after="20"/>
              <w:jc w:val="both"/>
              <w:rPr>
                <w:rFonts w:ascii="Segoe UI" w:hAnsi="Segoe UI" w:cs="Segoe UI"/>
                <w:b/>
                <w:bCs/>
                <w:sz w:val="18"/>
                <w:szCs w:val="18"/>
              </w:rPr>
            </w:pPr>
          </w:p>
        </w:tc>
        <w:tc>
          <w:tcPr>
            <w:tcW w:w="1385" w:type="dxa"/>
            <w:shd w:val="clear" w:color="auto" w:fill="D9D9D9" w:themeFill="background1" w:themeFillShade="D9"/>
          </w:tcPr>
          <w:p w14:paraId="4EB165AC" w14:textId="0D660F5C"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1.6</w:t>
            </w:r>
          </w:p>
        </w:tc>
        <w:tc>
          <w:tcPr>
            <w:tcW w:w="1385" w:type="dxa"/>
            <w:shd w:val="clear" w:color="auto" w:fill="D9D9D9" w:themeFill="background1" w:themeFillShade="D9"/>
          </w:tcPr>
          <w:p w14:paraId="06964796" w14:textId="18C68B75"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1.8</w:t>
            </w:r>
          </w:p>
        </w:tc>
        <w:tc>
          <w:tcPr>
            <w:tcW w:w="1385" w:type="dxa"/>
            <w:gridSpan w:val="2"/>
            <w:shd w:val="clear" w:color="auto" w:fill="D9D9D9" w:themeFill="background1" w:themeFillShade="D9"/>
          </w:tcPr>
          <w:p w14:paraId="4E44FFA3" w14:textId="77795182"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1.8</w:t>
            </w:r>
          </w:p>
        </w:tc>
        <w:tc>
          <w:tcPr>
            <w:tcW w:w="1385" w:type="dxa"/>
            <w:shd w:val="clear" w:color="auto" w:fill="D9D9D9" w:themeFill="background1" w:themeFillShade="D9"/>
          </w:tcPr>
          <w:p w14:paraId="480FE841" w14:textId="191A9AD0"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2.2</w:t>
            </w:r>
          </w:p>
        </w:tc>
        <w:tc>
          <w:tcPr>
            <w:tcW w:w="1660" w:type="dxa"/>
            <w:shd w:val="clear" w:color="auto" w:fill="D9D9D9" w:themeFill="background1" w:themeFillShade="D9"/>
          </w:tcPr>
          <w:p w14:paraId="254DEFDD" w14:textId="17AC5EA1" w:rsidR="00F77F6D" w:rsidRPr="0019525F" w:rsidRDefault="00F77F6D" w:rsidP="00FD11D9">
            <w:pPr>
              <w:spacing w:before="20" w:after="20"/>
              <w:jc w:val="both"/>
              <w:rPr>
                <w:rFonts w:ascii="Segoe UI" w:hAnsi="Segoe UI" w:cs="Segoe UI"/>
                <w:i/>
                <w:iCs/>
                <w:sz w:val="18"/>
                <w:szCs w:val="18"/>
              </w:rPr>
            </w:pPr>
            <w:r w:rsidRPr="0019525F">
              <w:rPr>
                <w:rFonts w:ascii="Segoe UI" w:hAnsi="Segoe UI" w:cs="Segoe UI"/>
                <w:i/>
                <w:iCs/>
                <w:sz w:val="18"/>
                <w:szCs w:val="18"/>
              </w:rPr>
              <w:t>2.4</w:t>
            </w:r>
          </w:p>
        </w:tc>
      </w:tr>
    </w:tbl>
    <w:p w14:paraId="5646E64A"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2"/>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31FB9979" w14:textId="77777777" w:rsidTr="00B33EF0">
        <w:tc>
          <w:tcPr>
            <w:tcW w:w="9625" w:type="dxa"/>
            <w:gridSpan w:val="7"/>
            <w:shd w:val="clear" w:color="auto" w:fill="D9D9D9" w:themeFill="background1" w:themeFillShade="D9"/>
          </w:tcPr>
          <w:p w14:paraId="78FD8C48" w14:textId="4D8CB959"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25. Exempting the supply of aircraft, helicopters and trains for passenger transportation, and related leasing services</w:t>
            </w:r>
          </w:p>
        </w:tc>
      </w:tr>
      <w:tr w:rsidR="00F77F6D" w:rsidRPr="00CB1E53" w14:paraId="0EE3E26A" w14:textId="77777777" w:rsidTr="00B33EF0">
        <w:tc>
          <w:tcPr>
            <w:tcW w:w="2425" w:type="dxa"/>
          </w:tcPr>
          <w:p w14:paraId="1C3B7F6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3193D1C9"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bCs/>
                <w:sz w:val="18"/>
                <w:szCs w:val="18"/>
              </w:rPr>
              <w:t xml:space="preserve">The supply of aircraft, helicopters and trains for passenger transportation, and related leasing services </w:t>
            </w:r>
            <w:r w:rsidRPr="00CB1E53">
              <w:rPr>
                <w:rFonts w:ascii="Segoe UI" w:hAnsi="Segoe UI" w:cs="Segoe UI"/>
                <w:sz w:val="18"/>
                <w:szCs w:val="18"/>
              </w:rPr>
              <w:t>is exempt from VAT.</w:t>
            </w:r>
          </w:p>
        </w:tc>
      </w:tr>
      <w:tr w:rsidR="00F77F6D" w:rsidRPr="00CB1E53" w14:paraId="58D22F92" w14:textId="77777777" w:rsidTr="00B33EF0">
        <w:tc>
          <w:tcPr>
            <w:tcW w:w="2425" w:type="dxa"/>
          </w:tcPr>
          <w:p w14:paraId="5771C08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41F46BA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6868B39F" w14:textId="77777777" w:rsidTr="00B33EF0">
        <w:tc>
          <w:tcPr>
            <w:tcW w:w="2425" w:type="dxa"/>
          </w:tcPr>
          <w:p w14:paraId="1277C85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184D4BF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Entities that realize the import/supply of aircraft, helicopters and trains for passenger transportation and entities that offer related leasing services </w:t>
            </w:r>
          </w:p>
        </w:tc>
      </w:tr>
      <w:tr w:rsidR="00F77F6D" w:rsidRPr="00CB1E53" w14:paraId="13D5733B" w14:textId="77777777" w:rsidTr="00B33EF0">
        <w:tc>
          <w:tcPr>
            <w:tcW w:w="2425" w:type="dxa"/>
          </w:tcPr>
          <w:p w14:paraId="13BFD9F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421AA915"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6877AA09" w14:textId="77777777" w:rsidTr="00B33EF0">
        <w:tc>
          <w:tcPr>
            <w:tcW w:w="2425" w:type="dxa"/>
          </w:tcPr>
          <w:p w14:paraId="7EB267C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1D44838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w:t>
            </w:r>
          </w:p>
        </w:tc>
      </w:tr>
      <w:tr w:rsidR="00F77F6D" w:rsidRPr="00CB1E53" w14:paraId="0D33D6CD" w14:textId="77777777" w:rsidTr="00B33EF0">
        <w:tc>
          <w:tcPr>
            <w:tcW w:w="2425" w:type="dxa"/>
          </w:tcPr>
          <w:p w14:paraId="51C3181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44806873"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Art.103 (1) (32) and (33) of TC</w:t>
            </w:r>
          </w:p>
        </w:tc>
      </w:tr>
      <w:tr w:rsidR="00F77F6D" w:rsidRPr="00CB1E53" w14:paraId="026D7D3D" w14:textId="77777777" w:rsidTr="00B33EF0">
        <w:trPr>
          <w:trHeight w:val="182"/>
        </w:trPr>
        <w:tc>
          <w:tcPr>
            <w:tcW w:w="2425" w:type="dxa"/>
            <w:vMerge w:val="restart"/>
          </w:tcPr>
          <w:p w14:paraId="18C433D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3A058FE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Fiscal support in the field of passenger transportation, in particular to the domain related to aircraft, helicopters and trains </w:t>
            </w:r>
          </w:p>
        </w:tc>
      </w:tr>
      <w:tr w:rsidR="00F77F6D" w:rsidRPr="00CB1E53" w14:paraId="62751DA9" w14:textId="77777777" w:rsidTr="00B33EF0">
        <w:trPr>
          <w:trHeight w:val="182"/>
        </w:trPr>
        <w:tc>
          <w:tcPr>
            <w:tcW w:w="2425" w:type="dxa"/>
            <w:vMerge/>
          </w:tcPr>
          <w:p w14:paraId="3D6A401D"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302A5FC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1 May 2015</w:t>
            </w:r>
          </w:p>
        </w:tc>
        <w:tc>
          <w:tcPr>
            <w:tcW w:w="3738" w:type="dxa"/>
            <w:gridSpan w:val="3"/>
          </w:tcPr>
          <w:p w14:paraId="64A9D59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0DB7CD5E" w14:textId="77777777" w:rsidTr="00B33EF0">
        <w:tc>
          <w:tcPr>
            <w:tcW w:w="2425" w:type="dxa"/>
          </w:tcPr>
          <w:p w14:paraId="41FFC19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BB3D9D1" w14:textId="027E27F6"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566B7454" w14:textId="77777777" w:rsidTr="00B33EF0">
        <w:tc>
          <w:tcPr>
            <w:tcW w:w="2425" w:type="dxa"/>
          </w:tcPr>
          <w:p w14:paraId="5F4E4997"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96A19C5" w14:textId="3CCFAC42"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47A3716E" w14:textId="77777777" w:rsidTr="00B33EF0">
        <w:tc>
          <w:tcPr>
            <w:tcW w:w="2425" w:type="dxa"/>
          </w:tcPr>
          <w:p w14:paraId="735AAB94"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87550A3" w14:textId="77777777" w:rsidR="00E05468" w:rsidRPr="00CB1E53" w:rsidRDefault="00E05468" w:rsidP="00FD11D9">
            <w:pPr>
              <w:spacing w:before="20" w:after="20"/>
              <w:jc w:val="both"/>
              <w:rPr>
                <w:rFonts w:ascii="Segoe UI" w:hAnsi="Segoe UI" w:cs="Segoe UI"/>
                <w:sz w:val="18"/>
                <w:szCs w:val="18"/>
              </w:rPr>
            </w:pPr>
          </w:p>
        </w:tc>
      </w:tr>
      <w:tr w:rsidR="00E05468" w:rsidRPr="00CB1E53" w14:paraId="381F9024" w14:textId="77777777" w:rsidTr="00B33EF0">
        <w:tc>
          <w:tcPr>
            <w:tcW w:w="2425" w:type="dxa"/>
          </w:tcPr>
          <w:p w14:paraId="6443584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069FB641" w14:textId="42FD715F"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0DA318A0" w14:textId="77777777" w:rsidTr="00B33EF0">
        <w:trPr>
          <w:trHeight w:val="91"/>
        </w:trPr>
        <w:tc>
          <w:tcPr>
            <w:tcW w:w="2425" w:type="dxa"/>
            <w:vMerge w:val="restart"/>
          </w:tcPr>
          <w:p w14:paraId="2DE97538"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7042AB66"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8B661E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17D628CB"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0DE7B9BC" w14:textId="2BEAD88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0DCD0770" w14:textId="5A8EBF19"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6B166D22" w14:textId="77777777" w:rsidTr="00B33EF0">
        <w:trPr>
          <w:trHeight w:val="91"/>
        </w:trPr>
        <w:tc>
          <w:tcPr>
            <w:tcW w:w="2425" w:type="dxa"/>
            <w:vMerge/>
          </w:tcPr>
          <w:p w14:paraId="44F469CC"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6F8B8F5F"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58082EAA"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4CF3130A"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42E33F6"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1B8C293B"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5665B41A"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689F57A7" w14:textId="77777777" w:rsidTr="00B33EF0">
        <w:tc>
          <w:tcPr>
            <w:tcW w:w="9625" w:type="dxa"/>
            <w:gridSpan w:val="7"/>
            <w:shd w:val="clear" w:color="auto" w:fill="D9D9D9" w:themeFill="background1" w:themeFillShade="D9"/>
          </w:tcPr>
          <w:p w14:paraId="41335060" w14:textId="2AAF6E3D" w:rsidR="00F77F6D" w:rsidRPr="00CB1E53" w:rsidRDefault="00F77F6D"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26. Exempting the supply of air medical services</w:t>
            </w:r>
          </w:p>
        </w:tc>
      </w:tr>
      <w:tr w:rsidR="00F77F6D" w:rsidRPr="00CB1E53" w14:paraId="059370C8" w14:textId="77777777" w:rsidTr="00B33EF0">
        <w:tc>
          <w:tcPr>
            <w:tcW w:w="2425" w:type="dxa"/>
          </w:tcPr>
          <w:p w14:paraId="43F2874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4A3C4798" w14:textId="77777777" w:rsidR="00F77F6D" w:rsidRPr="00CB1E53" w:rsidRDefault="00F77F6D" w:rsidP="00FD11D9">
            <w:pPr>
              <w:keepNext/>
              <w:keepLines/>
              <w:spacing w:before="20" w:after="20"/>
              <w:jc w:val="both"/>
              <w:rPr>
                <w:rFonts w:ascii="Segoe UI" w:hAnsi="Segoe UI" w:cs="Segoe UI"/>
                <w:sz w:val="18"/>
                <w:szCs w:val="18"/>
              </w:rPr>
            </w:pPr>
            <w:r w:rsidRPr="00CB1E53">
              <w:rPr>
                <w:rFonts w:ascii="Segoe UI" w:hAnsi="Segoe UI" w:cs="Segoe UI"/>
                <w:sz w:val="18"/>
                <w:szCs w:val="18"/>
              </w:rPr>
              <w:t>Air medical ambulance services are exempt from VAT.</w:t>
            </w:r>
          </w:p>
        </w:tc>
      </w:tr>
      <w:tr w:rsidR="00F77F6D" w:rsidRPr="00CB1E53" w14:paraId="329ECCAB" w14:textId="77777777" w:rsidTr="00B33EF0">
        <w:tc>
          <w:tcPr>
            <w:tcW w:w="2425" w:type="dxa"/>
          </w:tcPr>
          <w:p w14:paraId="045A64F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AE086C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60EB0F71" w14:textId="77777777" w:rsidTr="00B33EF0">
        <w:tc>
          <w:tcPr>
            <w:tcW w:w="2425" w:type="dxa"/>
          </w:tcPr>
          <w:p w14:paraId="111E903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C8E79F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People receiving aerial medical services</w:t>
            </w:r>
          </w:p>
        </w:tc>
      </w:tr>
      <w:tr w:rsidR="00F77F6D" w:rsidRPr="00CB1E53" w14:paraId="493F51F3" w14:textId="77777777" w:rsidTr="00B33EF0">
        <w:tc>
          <w:tcPr>
            <w:tcW w:w="2425" w:type="dxa"/>
          </w:tcPr>
          <w:p w14:paraId="34BC39C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3401EF1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196385B5" w14:textId="77777777" w:rsidTr="00B33EF0">
        <w:tc>
          <w:tcPr>
            <w:tcW w:w="2425" w:type="dxa"/>
          </w:tcPr>
          <w:p w14:paraId="1D37C16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F026181" w14:textId="1CA5A3CE"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Medical services are </w:t>
            </w:r>
            <w:proofErr w:type="gramStart"/>
            <w:r w:rsidRPr="00CB1E53">
              <w:rPr>
                <w:rFonts w:ascii="Segoe UI" w:hAnsi="Segoe UI" w:cs="Segoe UI"/>
                <w:sz w:val="18"/>
                <w:szCs w:val="18"/>
              </w:rPr>
              <w:t xml:space="preserve">essential </w:t>
            </w:r>
            <w:r w:rsidR="00B232EC">
              <w:rPr>
                <w:rFonts w:ascii="Segoe UI" w:hAnsi="Segoe UI" w:cs="Segoe UI"/>
                <w:sz w:val="18"/>
                <w:szCs w:val="18"/>
              </w:rPr>
              <w:t>;</w:t>
            </w:r>
            <w:proofErr w:type="gramEnd"/>
            <w:r w:rsidR="00B232EC">
              <w:rPr>
                <w:rFonts w:ascii="Segoe UI" w:hAnsi="Segoe UI" w:cs="Segoe UI"/>
                <w:sz w:val="18"/>
                <w:szCs w:val="18"/>
              </w:rPr>
              <w:t xml:space="preserve"> it is</w:t>
            </w:r>
            <w:r w:rsidRPr="00CB1E53">
              <w:rPr>
                <w:rFonts w:ascii="Segoe UI" w:hAnsi="Segoe UI" w:cs="Segoe UI"/>
                <w:sz w:val="18"/>
                <w:szCs w:val="18"/>
              </w:rPr>
              <w:t xml:space="preserve"> a</w:t>
            </w:r>
            <w:r w:rsidR="00B232EC">
              <w:rPr>
                <w:rFonts w:ascii="Segoe UI" w:hAnsi="Segoe UI" w:cs="Segoe UI"/>
                <w:sz w:val="18"/>
                <w:szCs w:val="18"/>
              </w:rPr>
              <w:t xml:space="preserve"> common</w:t>
            </w:r>
            <w:r w:rsidRPr="00CB1E53">
              <w:rPr>
                <w:rFonts w:ascii="Segoe UI" w:hAnsi="Segoe UI" w:cs="Segoe UI"/>
                <w:sz w:val="18"/>
                <w:szCs w:val="18"/>
              </w:rPr>
              <w:t xml:space="preserve"> exemption </w:t>
            </w:r>
            <w:r w:rsidR="00B232EC">
              <w:rPr>
                <w:rFonts w:ascii="Segoe UI" w:hAnsi="Segoe UI" w:cs="Segoe UI"/>
                <w:sz w:val="18"/>
                <w:szCs w:val="18"/>
              </w:rPr>
              <w:t>as it is</w:t>
            </w:r>
            <w:r w:rsidRPr="00CB1E53">
              <w:rPr>
                <w:rFonts w:ascii="Segoe UI" w:hAnsi="Segoe UI" w:cs="Segoe UI"/>
                <w:sz w:val="18"/>
                <w:szCs w:val="18"/>
              </w:rPr>
              <w:t xml:space="preserve"> justified</w:t>
            </w:r>
            <w:r w:rsidR="00B232EC">
              <w:rPr>
                <w:rFonts w:ascii="Segoe UI" w:hAnsi="Segoe UI" w:cs="Segoe UI"/>
                <w:sz w:val="18"/>
                <w:szCs w:val="18"/>
              </w:rPr>
              <w:t>. However,</w:t>
            </w:r>
            <w:r w:rsidRPr="00CB1E53">
              <w:rPr>
                <w:rFonts w:ascii="Segoe UI" w:hAnsi="Segoe UI" w:cs="Segoe UI"/>
                <w:sz w:val="18"/>
                <w:szCs w:val="18"/>
              </w:rPr>
              <w:t xml:space="preserve"> </w:t>
            </w:r>
            <w:r w:rsidR="00B232EC">
              <w:rPr>
                <w:rFonts w:ascii="Segoe UI" w:hAnsi="Segoe UI" w:cs="Segoe UI"/>
                <w:sz w:val="18"/>
                <w:szCs w:val="18"/>
              </w:rPr>
              <w:t>u</w:t>
            </w:r>
            <w:r w:rsidR="00B232EC" w:rsidRPr="00CB1E53">
              <w:rPr>
                <w:rFonts w:ascii="Segoe UI" w:hAnsi="Segoe UI" w:cs="Segoe UI"/>
                <w:sz w:val="18"/>
                <w:szCs w:val="18"/>
              </w:rPr>
              <w:t xml:space="preserve">nder a modern VAT, the benchmark tax regime provides that all final consumption of goods and services, </w:t>
            </w:r>
            <w:r w:rsidR="00B232EC" w:rsidRPr="00B232EC">
              <w:rPr>
                <w:rFonts w:ascii="Segoe UI" w:hAnsi="Segoe UI" w:cs="Segoe UI"/>
                <w:sz w:val="18"/>
                <w:szCs w:val="18"/>
              </w:rPr>
              <w:t>including</w:t>
            </w:r>
            <w:r w:rsidR="00B232EC" w:rsidRPr="002E05E5">
              <w:rPr>
                <w:rFonts w:ascii="Segoe UI" w:hAnsi="Segoe UI" w:cs="Segoe UI"/>
                <w:sz w:val="18"/>
                <w:szCs w:val="18"/>
              </w:rPr>
              <w:t xml:space="preserve"> these </w:t>
            </w:r>
            <w:r w:rsidR="00B232EC">
              <w:rPr>
                <w:rFonts w:ascii="Segoe UI" w:hAnsi="Segoe UI" w:cs="Segoe UI"/>
                <w:sz w:val="18"/>
                <w:szCs w:val="18"/>
              </w:rPr>
              <w:t>special ambulance</w:t>
            </w:r>
            <w:r w:rsidR="00B232EC">
              <w:rPr>
                <w:rFonts w:ascii="Segoe UI" w:hAnsi="Segoe UI" w:cs="Segoe UI"/>
                <w:b/>
                <w:bCs/>
                <w:sz w:val="18"/>
                <w:szCs w:val="18"/>
              </w:rPr>
              <w:t xml:space="preserve"> </w:t>
            </w:r>
            <w:r w:rsidR="00B232EC" w:rsidRPr="00CB1E53">
              <w:rPr>
                <w:rFonts w:ascii="Segoe UI" w:hAnsi="Segoe UI" w:cs="Segoe UI"/>
                <w:bCs/>
                <w:sz w:val="18"/>
                <w:szCs w:val="18"/>
              </w:rPr>
              <w:t>services</w:t>
            </w:r>
            <w:r w:rsidR="00B232EC">
              <w:rPr>
                <w:rFonts w:ascii="Segoe UI" w:hAnsi="Segoe UI" w:cs="Segoe UI"/>
                <w:bCs/>
                <w:sz w:val="18"/>
                <w:szCs w:val="18"/>
              </w:rPr>
              <w:t xml:space="preserve">, should attract VAT at the standard rate. Consequently, </w:t>
            </w:r>
            <w:r w:rsidRPr="00CB1E53">
              <w:rPr>
                <w:rFonts w:ascii="Segoe UI" w:hAnsi="Segoe UI" w:cs="Segoe UI"/>
                <w:sz w:val="18"/>
                <w:szCs w:val="18"/>
              </w:rPr>
              <w:t>it should be scored as a tax expenditure.</w:t>
            </w:r>
          </w:p>
        </w:tc>
      </w:tr>
      <w:tr w:rsidR="00F77F6D" w:rsidRPr="00CB1E53" w14:paraId="0B9C8043" w14:textId="77777777" w:rsidTr="00B33EF0">
        <w:tc>
          <w:tcPr>
            <w:tcW w:w="2425" w:type="dxa"/>
          </w:tcPr>
          <w:p w14:paraId="1A0D1D5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042B490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Art.103 </w:t>
            </w:r>
            <w:proofErr w:type="spellStart"/>
            <w:r w:rsidRPr="00CB1E53">
              <w:rPr>
                <w:rFonts w:ascii="Segoe UI" w:hAnsi="Segoe UI" w:cs="Segoe UI"/>
                <w:sz w:val="18"/>
                <w:szCs w:val="18"/>
              </w:rPr>
              <w:t>alin</w:t>
            </w:r>
            <w:proofErr w:type="spellEnd"/>
            <w:r w:rsidRPr="00CB1E53">
              <w:rPr>
                <w:rFonts w:ascii="Segoe UI" w:hAnsi="Segoe UI" w:cs="Segoe UI"/>
                <w:sz w:val="18"/>
                <w:szCs w:val="18"/>
              </w:rPr>
              <w:t>. (1) pct.10) of TC</w:t>
            </w:r>
          </w:p>
        </w:tc>
      </w:tr>
      <w:tr w:rsidR="00F77F6D" w:rsidRPr="00CB1E53" w14:paraId="387BC83C" w14:textId="77777777" w:rsidTr="00B33EF0">
        <w:trPr>
          <w:trHeight w:val="182"/>
        </w:trPr>
        <w:tc>
          <w:tcPr>
            <w:tcW w:w="2425" w:type="dxa"/>
            <w:vMerge w:val="restart"/>
          </w:tcPr>
          <w:p w14:paraId="0DF1361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79B539E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in support of healthcare, consumers should not face an additional tax burden when being ill or falling sick.</w:t>
            </w:r>
          </w:p>
        </w:tc>
      </w:tr>
      <w:tr w:rsidR="00F77F6D" w:rsidRPr="00CB1E53" w14:paraId="3575F1E5" w14:textId="77777777" w:rsidTr="00B33EF0">
        <w:trPr>
          <w:trHeight w:val="182"/>
        </w:trPr>
        <w:tc>
          <w:tcPr>
            <w:tcW w:w="2425" w:type="dxa"/>
            <w:vMerge/>
          </w:tcPr>
          <w:p w14:paraId="7FBD73F2"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2215F61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1 May 2015</w:t>
            </w:r>
          </w:p>
        </w:tc>
        <w:tc>
          <w:tcPr>
            <w:tcW w:w="3738" w:type="dxa"/>
            <w:gridSpan w:val="3"/>
          </w:tcPr>
          <w:p w14:paraId="3F8D941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5D5485CE" w14:textId="77777777" w:rsidTr="00B33EF0">
        <w:tc>
          <w:tcPr>
            <w:tcW w:w="2425" w:type="dxa"/>
          </w:tcPr>
          <w:p w14:paraId="08CDADF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5598ADE8" w14:textId="5DDD4DAE"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4EDE2EF2" w14:textId="77777777" w:rsidTr="00B33EF0">
        <w:tc>
          <w:tcPr>
            <w:tcW w:w="2425" w:type="dxa"/>
          </w:tcPr>
          <w:p w14:paraId="0E9E1897"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622209C8" w14:textId="0DFA067F"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3CD9F88C" w14:textId="77777777" w:rsidTr="00B33EF0">
        <w:tc>
          <w:tcPr>
            <w:tcW w:w="2425" w:type="dxa"/>
          </w:tcPr>
          <w:p w14:paraId="3CBBEC5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10663A5F" w14:textId="77777777" w:rsidR="00E05468" w:rsidRPr="00CB1E53" w:rsidRDefault="00E05468" w:rsidP="00FD11D9">
            <w:pPr>
              <w:spacing w:before="20" w:after="20"/>
              <w:jc w:val="both"/>
              <w:rPr>
                <w:rFonts w:ascii="Segoe UI" w:hAnsi="Segoe UI" w:cs="Segoe UI"/>
                <w:sz w:val="18"/>
                <w:szCs w:val="18"/>
              </w:rPr>
            </w:pPr>
          </w:p>
        </w:tc>
      </w:tr>
      <w:tr w:rsidR="00E05468" w:rsidRPr="00CB1E53" w14:paraId="37F473FE" w14:textId="77777777" w:rsidTr="00B33EF0">
        <w:tc>
          <w:tcPr>
            <w:tcW w:w="2425" w:type="dxa"/>
          </w:tcPr>
          <w:p w14:paraId="1120E8E1"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692C74C" w14:textId="7AF9A3E3"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7FE373D4" w14:textId="77777777" w:rsidTr="00B33EF0">
        <w:trPr>
          <w:trHeight w:val="91"/>
        </w:trPr>
        <w:tc>
          <w:tcPr>
            <w:tcW w:w="2425" w:type="dxa"/>
            <w:vMerge w:val="restart"/>
          </w:tcPr>
          <w:p w14:paraId="3812B8C2"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4146AA04"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EF5367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0384DD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B0F6202" w14:textId="09EC02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182FE150" w14:textId="66682CB0"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17570315" w14:textId="77777777" w:rsidTr="00B33EF0">
        <w:trPr>
          <w:trHeight w:val="91"/>
        </w:trPr>
        <w:tc>
          <w:tcPr>
            <w:tcW w:w="2425" w:type="dxa"/>
            <w:vMerge/>
          </w:tcPr>
          <w:p w14:paraId="53DF8DF1"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42552F31"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59004011"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79A6C123"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0D4C4A50"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42CB966F"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5E4C5119"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3BB3100A" w14:textId="77777777" w:rsidTr="00B33EF0">
        <w:tc>
          <w:tcPr>
            <w:tcW w:w="9625" w:type="dxa"/>
            <w:gridSpan w:val="7"/>
            <w:shd w:val="clear" w:color="auto" w:fill="D9D9D9" w:themeFill="background1" w:themeFillShade="D9"/>
          </w:tcPr>
          <w:p w14:paraId="30D021F2" w14:textId="2724EB02"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27. Exempting the supply of samples the value of which does not exceed MDL22,000</w:t>
            </w:r>
          </w:p>
        </w:tc>
      </w:tr>
      <w:tr w:rsidR="00F77F6D" w:rsidRPr="00CB1E53" w14:paraId="0A187F80" w14:textId="77777777" w:rsidTr="00B33EF0">
        <w:tc>
          <w:tcPr>
            <w:tcW w:w="2425" w:type="dxa"/>
          </w:tcPr>
          <w:p w14:paraId="5F7B2247"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1DEE50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The import of goods samples with the intrinsic value not exceeding euro 22 for </w:t>
            </w:r>
          </w:p>
          <w:p w14:paraId="2F05BC6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an import shall be exempt from VAT without deduction right.</w:t>
            </w:r>
          </w:p>
        </w:tc>
      </w:tr>
      <w:tr w:rsidR="00F77F6D" w:rsidRPr="00CB1E53" w14:paraId="60A1563C" w14:textId="77777777" w:rsidTr="00B33EF0">
        <w:tc>
          <w:tcPr>
            <w:tcW w:w="2425" w:type="dxa"/>
          </w:tcPr>
          <w:p w14:paraId="68E0160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77BB1F0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DAE2902" w14:textId="77777777" w:rsidTr="00B33EF0">
        <w:tc>
          <w:tcPr>
            <w:tcW w:w="2425" w:type="dxa"/>
          </w:tcPr>
          <w:p w14:paraId="287612C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54BBA4C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Sample importers and final consumers</w:t>
            </w:r>
          </w:p>
        </w:tc>
      </w:tr>
      <w:tr w:rsidR="00F77F6D" w:rsidRPr="00CB1E53" w14:paraId="632DC276" w14:textId="77777777" w:rsidTr="00B33EF0">
        <w:tc>
          <w:tcPr>
            <w:tcW w:w="2425" w:type="dxa"/>
          </w:tcPr>
          <w:p w14:paraId="5D68181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Type of Measure</w:t>
            </w:r>
          </w:p>
        </w:tc>
        <w:tc>
          <w:tcPr>
            <w:tcW w:w="7200" w:type="dxa"/>
            <w:gridSpan w:val="6"/>
          </w:tcPr>
          <w:p w14:paraId="7D7095B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2770CBC5" w14:textId="77777777" w:rsidTr="00B33EF0">
        <w:tc>
          <w:tcPr>
            <w:tcW w:w="2425" w:type="dxa"/>
          </w:tcPr>
          <w:p w14:paraId="6D8A0F4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647995B2"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w:t>
            </w:r>
          </w:p>
        </w:tc>
      </w:tr>
      <w:tr w:rsidR="00F77F6D" w:rsidRPr="00CB1E53" w14:paraId="75D7EB41" w14:textId="77777777" w:rsidTr="00B33EF0">
        <w:tc>
          <w:tcPr>
            <w:tcW w:w="2425" w:type="dxa"/>
          </w:tcPr>
          <w:p w14:paraId="2D4612F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7451813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Art.103 </w:t>
            </w:r>
            <w:proofErr w:type="spellStart"/>
            <w:r w:rsidRPr="00CB1E53">
              <w:rPr>
                <w:rFonts w:ascii="Segoe UI" w:hAnsi="Segoe UI" w:cs="Segoe UI"/>
                <w:sz w:val="18"/>
                <w:szCs w:val="18"/>
              </w:rPr>
              <w:t>alin</w:t>
            </w:r>
            <w:proofErr w:type="spellEnd"/>
            <w:r w:rsidRPr="00CB1E53">
              <w:rPr>
                <w:rFonts w:ascii="Segoe UI" w:hAnsi="Segoe UI" w:cs="Segoe UI"/>
                <w:sz w:val="18"/>
                <w:szCs w:val="18"/>
              </w:rPr>
              <w:t>. (9</w:t>
            </w:r>
            <w:r w:rsidRPr="00CB1E53">
              <w:rPr>
                <w:rFonts w:ascii="Segoe UI" w:hAnsi="Segoe UI" w:cs="Segoe UI"/>
                <w:sz w:val="18"/>
                <w:szCs w:val="18"/>
                <w:vertAlign w:val="superscript"/>
              </w:rPr>
              <w:t>7</w:t>
            </w:r>
            <w:r w:rsidRPr="00CB1E53">
              <w:rPr>
                <w:rFonts w:ascii="Segoe UI" w:hAnsi="Segoe UI" w:cs="Segoe UI"/>
                <w:sz w:val="18"/>
                <w:szCs w:val="18"/>
              </w:rPr>
              <w:t>)  of TC</w:t>
            </w:r>
          </w:p>
        </w:tc>
      </w:tr>
      <w:tr w:rsidR="00F77F6D" w:rsidRPr="00CB1E53" w14:paraId="132F5E8D" w14:textId="77777777" w:rsidTr="00B33EF0">
        <w:trPr>
          <w:trHeight w:val="182"/>
        </w:trPr>
        <w:tc>
          <w:tcPr>
            <w:tcW w:w="2425" w:type="dxa"/>
            <w:vMerge w:val="restart"/>
          </w:tcPr>
          <w:p w14:paraId="7769249B"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17AE423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Non-taxation of imported objects for testing purposes</w:t>
            </w:r>
          </w:p>
        </w:tc>
      </w:tr>
      <w:tr w:rsidR="00F77F6D" w:rsidRPr="00CB1E53" w14:paraId="108AD2FF" w14:textId="77777777" w:rsidTr="00B33EF0">
        <w:trPr>
          <w:trHeight w:val="182"/>
        </w:trPr>
        <w:tc>
          <w:tcPr>
            <w:tcW w:w="2425" w:type="dxa"/>
            <w:vMerge/>
          </w:tcPr>
          <w:p w14:paraId="1B4AF289"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254724CC"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01 May 2015</w:t>
            </w:r>
          </w:p>
        </w:tc>
        <w:tc>
          <w:tcPr>
            <w:tcW w:w="3738" w:type="dxa"/>
            <w:gridSpan w:val="3"/>
          </w:tcPr>
          <w:p w14:paraId="355B745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3D0022E4" w14:textId="77777777" w:rsidTr="00B33EF0">
        <w:tc>
          <w:tcPr>
            <w:tcW w:w="2425" w:type="dxa"/>
          </w:tcPr>
          <w:p w14:paraId="38CD4C9D"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370103EB" w14:textId="7174A587"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68EFF642" w14:textId="77777777" w:rsidTr="00B33EF0">
        <w:tc>
          <w:tcPr>
            <w:tcW w:w="2425" w:type="dxa"/>
          </w:tcPr>
          <w:p w14:paraId="49475A79"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1669F09" w14:textId="22FF1266"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0ACF8A8E" w14:textId="77777777" w:rsidTr="00B33EF0">
        <w:tc>
          <w:tcPr>
            <w:tcW w:w="2425" w:type="dxa"/>
          </w:tcPr>
          <w:p w14:paraId="58C7219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A6048A3" w14:textId="77777777" w:rsidR="00E05468" w:rsidRPr="00CB1E53" w:rsidRDefault="00E05468" w:rsidP="00FD11D9">
            <w:pPr>
              <w:spacing w:before="20" w:after="20"/>
              <w:jc w:val="both"/>
              <w:rPr>
                <w:rFonts w:ascii="Segoe UI" w:hAnsi="Segoe UI" w:cs="Segoe UI"/>
                <w:sz w:val="18"/>
                <w:szCs w:val="18"/>
              </w:rPr>
            </w:pPr>
          </w:p>
        </w:tc>
      </w:tr>
      <w:tr w:rsidR="00E05468" w:rsidRPr="00CB1E53" w14:paraId="05EE514B" w14:textId="77777777" w:rsidTr="00B33EF0">
        <w:tc>
          <w:tcPr>
            <w:tcW w:w="2425" w:type="dxa"/>
          </w:tcPr>
          <w:p w14:paraId="57032E4B"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3013E2BE" w14:textId="6A5F4C94"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570EBAE8" w14:textId="77777777" w:rsidTr="00B33EF0">
        <w:trPr>
          <w:trHeight w:val="91"/>
        </w:trPr>
        <w:tc>
          <w:tcPr>
            <w:tcW w:w="2425" w:type="dxa"/>
            <w:vMerge w:val="restart"/>
          </w:tcPr>
          <w:p w14:paraId="22B15B8D"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0911F7A2"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1155B94D"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0B28256"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B3EDC07" w14:textId="6CEB1CF5"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w:t>
            </w:r>
            <w:r>
              <w:rPr>
                <w:rFonts w:ascii="Segoe UI" w:hAnsi="Segoe UI" w:cs="Segoe UI"/>
                <w:b/>
                <w:bCs/>
                <w:sz w:val="18"/>
                <w:szCs w:val="18"/>
              </w:rPr>
              <w:t>1</w:t>
            </w:r>
          </w:p>
        </w:tc>
        <w:tc>
          <w:tcPr>
            <w:tcW w:w="1660" w:type="dxa"/>
          </w:tcPr>
          <w:p w14:paraId="358C00FD" w14:textId="70B672FC"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19F87E79" w14:textId="77777777" w:rsidTr="00B33EF0">
        <w:trPr>
          <w:trHeight w:val="91"/>
        </w:trPr>
        <w:tc>
          <w:tcPr>
            <w:tcW w:w="2425" w:type="dxa"/>
            <w:vMerge/>
          </w:tcPr>
          <w:p w14:paraId="6B253DAE"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0EBC2F87"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6478167F"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6E03F8C6"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96BC0B0"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25CBE40D"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6D18A0D3"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2716D083" w14:textId="77777777" w:rsidTr="0095713A">
        <w:tc>
          <w:tcPr>
            <w:tcW w:w="9625" w:type="dxa"/>
            <w:gridSpan w:val="7"/>
            <w:shd w:val="clear" w:color="auto" w:fill="D9D9D9" w:themeFill="background1" w:themeFillShade="D9"/>
          </w:tcPr>
          <w:p w14:paraId="5F1E43AB" w14:textId="4E588531"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28. Exempting the supply (and importation) of tractors and other agricultural machinery, provided that these are not rented or leased during 3 years from the date of importation or acquisition</w:t>
            </w:r>
          </w:p>
        </w:tc>
      </w:tr>
      <w:tr w:rsidR="00F77F6D" w:rsidRPr="00CB1E53" w14:paraId="18B3A320" w14:textId="77777777" w:rsidTr="0095713A">
        <w:tc>
          <w:tcPr>
            <w:tcW w:w="2425" w:type="dxa"/>
          </w:tcPr>
          <w:p w14:paraId="3149FFD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EE7C0A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Agricultural tractors under tariff headings 870191100, 870192100, 870193100, </w:t>
            </w:r>
          </w:p>
          <w:p w14:paraId="1BD79F3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870194100, 870195100 and agricultural machinery under tariff headings 842449100, </w:t>
            </w:r>
          </w:p>
          <w:p w14:paraId="3A02D578"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842482100, 8432, 843320, 843330000, 843340000, 843351000, 843352000, 843353, </w:t>
            </w:r>
          </w:p>
          <w:p w14:paraId="19C43F0D"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843359, 8436, 8437 and parts thereof under tariff headings 8432, 8433 and 8437 are exempt from VAT</w:t>
            </w:r>
          </w:p>
        </w:tc>
      </w:tr>
      <w:tr w:rsidR="00F77F6D" w:rsidRPr="00CB1E53" w14:paraId="030C27C2" w14:textId="77777777" w:rsidTr="0095713A">
        <w:tc>
          <w:tcPr>
            <w:tcW w:w="2425" w:type="dxa"/>
          </w:tcPr>
          <w:p w14:paraId="3E85CE7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2E4E0B16"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w:t>
            </w:r>
          </w:p>
        </w:tc>
      </w:tr>
      <w:tr w:rsidR="00F77F6D" w:rsidRPr="00CB1E53" w14:paraId="3A5FAAAA" w14:textId="77777777" w:rsidTr="0095713A">
        <w:tc>
          <w:tcPr>
            <w:tcW w:w="2425" w:type="dxa"/>
          </w:tcPr>
          <w:p w14:paraId="045DEC03"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233DADA"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Farmers and final consumers</w:t>
            </w:r>
          </w:p>
        </w:tc>
      </w:tr>
      <w:tr w:rsidR="00F77F6D" w:rsidRPr="00CB1E53" w14:paraId="26A3F899" w14:textId="77777777" w:rsidTr="0095713A">
        <w:tc>
          <w:tcPr>
            <w:tcW w:w="2425" w:type="dxa"/>
          </w:tcPr>
          <w:p w14:paraId="0322FF4F"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0A936B0"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VAT Exemptions</w:t>
            </w:r>
          </w:p>
        </w:tc>
      </w:tr>
      <w:tr w:rsidR="00F77F6D" w:rsidRPr="00CB1E53" w14:paraId="27FB1FE2" w14:textId="77777777" w:rsidTr="0095713A">
        <w:tc>
          <w:tcPr>
            <w:tcW w:w="2425" w:type="dxa"/>
          </w:tcPr>
          <w:p w14:paraId="7B84DD5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332B8787" w14:textId="5FED963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Under a modern VAT, the benchmark tax regime provides that all final consumption of goods and services to final consumers should be at the standard VAT rate.</w:t>
            </w:r>
            <w:r w:rsidR="00DC7A63">
              <w:rPr>
                <w:rFonts w:ascii="Segoe UI" w:hAnsi="Segoe UI" w:cs="Segoe UI"/>
                <w:sz w:val="18"/>
                <w:szCs w:val="18"/>
              </w:rPr>
              <w:t xml:space="preserve"> The input VAT on agricultural implements could have been fully claimed by the vendor (farmer) that supplies agricultural produce</w:t>
            </w:r>
            <w:r w:rsidR="003675E2">
              <w:rPr>
                <w:rFonts w:ascii="Segoe UI" w:hAnsi="Segoe UI" w:cs="Segoe UI"/>
                <w:sz w:val="18"/>
                <w:szCs w:val="18"/>
              </w:rPr>
              <w:t xml:space="preserve"> at</w:t>
            </w:r>
            <w:r w:rsidR="00DC7A63">
              <w:rPr>
                <w:rFonts w:ascii="Segoe UI" w:hAnsi="Segoe UI" w:cs="Segoe UI"/>
                <w:sz w:val="18"/>
                <w:szCs w:val="18"/>
              </w:rPr>
              <w:t xml:space="preserve"> the standard VAT rate (no exemption).</w:t>
            </w:r>
          </w:p>
        </w:tc>
      </w:tr>
      <w:tr w:rsidR="00F77F6D" w:rsidRPr="00CB1E53" w14:paraId="2E436B04" w14:textId="77777777" w:rsidTr="0095713A">
        <w:tc>
          <w:tcPr>
            <w:tcW w:w="2425" w:type="dxa"/>
          </w:tcPr>
          <w:p w14:paraId="6802F2C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4286F51"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 xml:space="preserve">Art.103 </w:t>
            </w:r>
          </w:p>
        </w:tc>
      </w:tr>
      <w:tr w:rsidR="00F77F6D" w:rsidRPr="00CB1E53" w14:paraId="45AAC577" w14:textId="77777777" w:rsidTr="0095713A">
        <w:trPr>
          <w:trHeight w:val="182"/>
        </w:trPr>
        <w:tc>
          <w:tcPr>
            <w:tcW w:w="2425" w:type="dxa"/>
            <w:vMerge w:val="restart"/>
          </w:tcPr>
          <w:p w14:paraId="6B6D443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7200" w:type="dxa"/>
            <w:gridSpan w:val="6"/>
          </w:tcPr>
          <w:p w14:paraId="59DE713B"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Fiscal support for farmers and final consumers</w:t>
            </w:r>
          </w:p>
        </w:tc>
      </w:tr>
      <w:tr w:rsidR="00F77F6D" w:rsidRPr="00CB1E53" w14:paraId="2B589345" w14:textId="77777777" w:rsidTr="0095713A">
        <w:trPr>
          <w:trHeight w:val="182"/>
        </w:trPr>
        <w:tc>
          <w:tcPr>
            <w:tcW w:w="2425" w:type="dxa"/>
            <w:vMerge/>
          </w:tcPr>
          <w:p w14:paraId="436648B0"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45FF5557"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1 January 2014</w:t>
            </w:r>
          </w:p>
        </w:tc>
        <w:tc>
          <w:tcPr>
            <w:tcW w:w="3738" w:type="dxa"/>
            <w:gridSpan w:val="3"/>
          </w:tcPr>
          <w:p w14:paraId="6F79B66E"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2ED0A5A9" w14:textId="77777777" w:rsidTr="0095713A">
        <w:tc>
          <w:tcPr>
            <w:tcW w:w="2425" w:type="dxa"/>
          </w:tcPr>
          <w:p w14:paraId="00169AE8"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7E416BC7" w14:textId="3559B359"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55D51D09" w14:textId="77777777" w:rsidTr="0095713A">
        <w:tc>
          <w:tcPr>
            <w:tcW w:w="2425" w:type="dxa"/>
          </w:tcPr>
          <w:p w14:paraId="157008F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06145A33" w14:textId="4D421AEC"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03B1C934" w14:textId="77777777" w:rsidTr="0095713A">
        <w:tc>
          <w:tcPr>
            <w:tcW w:w="2425" w:type="dxa"/>
          </w:tcPr>
          <w:p w14:paraId="6BC7B92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681834E3" w14:textId="77777777" w:rsidR="00E05468" w:rsidRPr="00CB1E53" w:rsidRDefault="00E05468" w:rsidP="00FD11D9">
            <w:pPr>
              <w:spacing w:before="20" w:after="20"/>
              <w:jc w:val="both"/>
              <w:rPr>
                <w:rFonts w:ascii="Segoe UI" w:hAnsi="Segoe UI" w:cs="Segoe UI"/>
                <w:sz w:val="18"/>
                <w:szCs w:val="18"/>
              </w:rPr>
            </w:pPr>
          </w:p>
        </w:tc>
      </w:tr>
      <w:tr w:rsidR="00E05468" w:rsidRPr="00CB1E53" w14:paraId="4629C9C7" w14:textId="77777777" w:rsidTr="0095713A">
        <w:tc>
          <w:tcPr>
            <w:tcW w:w="2425" w:type="dxa"/>
          </w:tcPr>
          <w:p w14:paraId="5680701C"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1859C00F" w14:textId="4096834C"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52C0038B" w14:textId="77777777" w:rsidTr="0095713A">
        <w:trPr>
          <w:trHeight w:val="91"/>
        </w:trPr>
        <w:tc>
          <w:tcPr>
            <w:tcW w:w="2425" w:type="dxa"/>
            <w:vMerge w:val="restart"/>
          </w:tcPr>
          <w:p w14:paraId="4C2EB853"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37622A9C"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4C09701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211D54BB"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7D485CE0" w14:textId="747AEEAC"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5C200080" w14:textId="45494CAC"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3CD87A77" w14:textId="77777777" w:rsidTr="0095713A">
        <w:trPr>
          <w:trHeight w:val="91"/>
        </w:trPr>
        <w:tc>
          <w:tcPr>
            <w:tcW w:w="2425" w:type="dxa"/>
            <w:vMerge/>
          </w:tcPr>
          <w:p w14:paraId="2B54CB8E"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6F11DB2D"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1B125053"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gridSpan w:val="2"/>
          </w:tcPr>
          <w:p w14:paraId="28A0471C"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27D4D78A"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660" w:type="dxa"/>
          </w:tcPr>
          <w:p w14:paraId="2B5D7EDC"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r>
    </w:tbl>
    <w:p w14:paraId="57DEF814"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0A7D2D01" w14:textId="77777777" w:rsidTr="0095713A">
        <w:tc>
          <w:tcPr>
            <w:tcW w:w="9625" w:type="dxa"/>
            <w:gridSpan w:val="7"/>
            <w:shd w:val="clear" w:color="auto" w:fill="D9D9D9" w:themeFill="background1" w:themeFillShade="D9"/>
          </w:tcPr>
          <w:p w14:paraId="261B9057" w14:textId="6A28AC32" w:rsidR="00F77F6D" w:rsidRPr="00CB1E53" w:rsidRDefault="003675E2" w:rsidP="00FD11D9">
            <w:pPr>
              <w:spacing w:before="20" w:after="20"/>
              <w:jc w:val="both"/>
              <w:rPr>
                <w:rFonts w:ascii="Segoe UI" w:hAnsi="Segoe UI" w:cs="Segoe UI"/>
                <w:b/>
                <w:bCs/>
                <w:sz w:val="18"/>
                <w:szCs w:val="18"/>
              </w:rPr>
            </w:pPr>
            <w:r>
              <w:rPr>
                <w:rFonts w:ascii="Segoe UI" w:hAnsi="Segoe UI" w:cs="Segoe UI"/>
                <w:b/>
                <w:bCs/>
                <w:sz w:val="18"/>
                <w:szCs w:val="18"/>
              </w:rPr>
              <w:t>29</w:t>
            </w:r>
            <w:r w:rsidR="00F77F6D" w:rsidRPr="00CB1E53">
              <w:rPr>
                <w:rFonts w:ascii="Segoe UI" w:hAnsi="Segoe UI" w:cs="Segoe UI"/>
                <w:b/>
                <w:bCs/>
                <w:sz w:val="18"/>
                <w:szCs w:val="18"/>
              </w:rPr>
              <w:t>. Exempting the supply of goods and services for no consideration for the promotion of trade in the amount of 0.5% of sales return for the previous year</w:t>
            </w:r>
          </w:p>
        </w:tc>
      </w:tr>
      <w:tr w:rsidR="00F77F6D" w:rsidRPr="00CB1E53" w14:paraId="7E235B76" w14:textId="77777777" w:rsidTr="0095713A">
        <w:tc>
          <w:tcPr>
            <w:tcW w:w="2425" w:type="dxa"/>
          </w:tcPr>
          <w:p w14:paraId="7F34393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118388CA" w14:textId="452083E8"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Supply of goods and services made free of charge for the purpose of advertising and/or promoting</w:t>
            </w:r>
            <w:r w:rsidR="003675E2">
              <w:rPr>
                <w:rFonts w:ascii="Segoe UI" w:hAnsi="Segoe UI" w:cs="Segoe UI"/>
                <w:bCs/>
                <w:sz w:val="18"/>
                <w:szCs w:val="18"/>
              </w:rPr>
              <w:t>.</w:t>
            </w:r>
          </w:p>
        </w:tc>
      </w:tr>
      <w:tr w:rsidR="00F77F6D" w:rsidRPr="00CB1E53" w14:paraId="286D310A" w14:textId="77777777" w:rsidTr="0095713A">
        <w:tc>
          <w:tcPr>
            <w:tcW w:w="2425" w:type="dxa"/>
          </w:tcPr>
          <w:p w14:paraId="2D78B2E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0A743DA2"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VAT</w:t>
            </w:r>
          </w:p>
        </w:tc>
      </w:tr>
      <w:tr w:rsidR="00F77F6D" w:rsidRPr="00CB1E53" w14:paraId="4DB1E159" w14:textId="77777777" w:rsidTr="0095713A">
        <w:tc>
          <w:tcPr>
            <w:tcW w:w="2425" w:type="dxa"/>
          </w:tcPr>
          <w:p w14:paraId="7FFF278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7A9BFFD1"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the economic entities that supply goods and services made free of charge for the purpose of advertising and/or promoting</w:t>
            </w:r>
          </w:p>
        </w:tc>
      </w:tr>
      <w:tr w:rsidR="00F77F6D" w:rsidRPr="00CB1E53" w14:paraId="7FEF819A" w14:textId="77777777" w:rsidTr="0095713A">
        <w:tc>
          <w:tcPr>
            <w:tcW w:w="2425" w:type="dxa"/>
          </w:tcPr>
          <w:p w14:paraId="3C1EE6E1"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088C0D8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sz w:val="18"/>
                <w:szCs w:val="18"/>
              </w:rPr>
              <w:t>VAT exemptions</w:t>
            </w:r>
          </w:p>
        </w:tc>
      </w:tr>
      <w:tr w:rsidR="00F77F6D" w:rsidRPr="00CB1E53" w14:paraId="5A83E299" w14:textId="77777777" w:rsidTr="0095713A">
        <w:tc>
          <w:tcPr>
            <w:tcW w:w="2425" w:type="dxa"/>
          </w:tcPr>
          <w:p w14:paraId="224BEC6E"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lastRenderedPageBreak/>
              <w:t>Reason why this Measure is not part of the Benchmark Tax System</w:t>
            </w:r>
          </w:p>
        </w:tc>
        <w:tc>
          <w:tcPr>
            <w:tcW w:w="7200" w:type="dxa"/>
            <w:gridSpan w:val="6"/>
          </w:tcPr>
          <w:p w14:paraId="55B9F8A0"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Under a modern VAT, the benchmark tax regime provides that all final consumption of goods and services to final consumers should be at the standard VAT rate.</w:t>
            </w:r>
          </w:p>
        </w:tc>
      </w:tr>
      <w:tr w:rsidR="00F77F6D" w:rsidRPr="00CB1E53" w14:paraId="1F6BA615" w14:textId="77777777" w:rsidTr="0095713A">
        <w:tc>
          <w:tcPr>
            <w:tcW w:w="2425" w:type="dxa"/>
          </w:tcPr>
          <w:p w14:paraId="1098E49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5485787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sz w:val="18"/>
                <w:szCs w:val="18"/>
              </w:rPr>
              <w:t>Art. 95 (2) c) TC</w:t>
            </w:r>
          </w:p>
        </w:tc>
      </w:tr>
      <w:tr w:rsidR="00F77F6D" w:rsidRPr="00CB1E53" w14:paraId="606F3226" w14:textId="77777777" w:rsidTr="0095713A">
        <w:trPr>
          <w:trHeight w:val="182"/>
        </w:trPr>
        <w:tc>
          <w:tcPr>
            <w:tcW w:w="2425" w:type="dxa"/>
            <w:vMerge w:val="restart"/>
          </w:tcPr>
          <w:p w14:paraId="7FCF2B39"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49BA215E" w14:textId="77777777" w:rsidR="00F77F6D" w:rsidRPr="00CB1E53" w:rsidRDefault="00F77F6D" w:rsidP="00FD11D9">
            <w:pPr>
              <w:spacing w:before="20" w:after="20"/>
              <w:jc w:val="both"/>
              <w:rPr>
                <w:rFonts w:ascii="Segoe UI" w:hAnsi="Segoe UI" w:cs="Segoe UI"/>
                <w:b/>
                <w:bCs/>
                <w:sz w:val="18"/>
                <w:szCs w:val="18"/>
              </w:rPr>
            </w:pPr>
          </w:p>
        </w:tc>
        <w:tc>
          <w:tcPr>
            <w:tcW w:w="3738" w:type="dxa"/>
            <w:gridSpan w:val="3"/>
          </w:tcPr>
          <w:p w14:paraId="049EF023" w14:textId="77777777" w:rsidR="00F77F6D" w:rsidRPr="00CB1E53" w:rsidRDefault="00F77F6D" w:rsidP="00FD11D9">
            <w:pPr>
              <w:spacing w:before="20" w:after="20"/>
              <w:jc w:val="both"/>
              <w:rPr>
                <w:rFonts w:ascii="Segoe UI" w:hAnsi="Segoe UI" w:cs="Segoe UI"/>
                <w:b/>
                <w:bCs/>
                <w:sz w:val="18"/>
                <w:szCs w:val="18"/>
              </w:rPr>
            </w:pPr>
          </w:p>
        </w:tc>
      </w:tr>
      <w:tr w:rsidR="00F77F6D" w:rsidRPr="00CB1E53" w14:paraId="0C44214D" w14:textId="77777777" w:rsidTr="0095713A">
        <w:trPr>
          <w:trHeight w:val="182"/>
        </w:trPr>
        <w:tc>
          <w:tcPr>
            <w:tcW w:w="2425" w:type="dxa"/>
            <w:vMerge/>
          </w:tcPr>
          <w:p w14:paraId="24E3C7EE"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5179AD0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Law 108/2009 (in force 1 January 2010)- 0,1%;  Law 288/2017 (in force 1 January 2018) – 0,5%</w:t>
            </w:r>
          </w:p>
        </w:tc>
        <w:tc>
          <w:tcPr>
            <w:tcW w:w="3738" w:type="dxa"/>
            <w:gridSpan w:val="3"/>
          </w:tcPr>
          <w:p w14:paraId="43F0E9B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7425FB0B" w14:textId="77777777" w:rsidTr="0095713A">
        <w:tc>
          <w:tcPr>
            <w:tcW w:w="2425" w:type="dxa"/>
          </w:tcPr>
          <w:p w14:paraId="2CBE4371"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1A2E0FEF" w14:textId="117CE804" w:rsidR="00E05468" w:rsidRPr="00CB1E53" w:rsidRDefault="00E05468" w:rsidP="00FD11D9">
            <w:pPr>
              <w:spacing w:before="20" w:after="20"/>
              <w:jc w:val="both"/>
              <w:rPr>
                <w:rFonts w:ascii="Segoe UI" w:hAnsi="Segoe UI" w:cs="Segoe UI"/>
                <w:b/>
                <w:bCs/>
                <w:sz w:val="18"/>
                <w:szCs w:val="18"/>
              </w:rPr>
            </w:pPr>
            <w:r>
              <w:rPr>
                <w:rFonts w:ascii="Segoe UI" w:hAnsi="Segoe UI" w:cs="Segoe UI"/>
                <w:sz w:val="18"/>
                <w:szCs w:val="18"/>
              </w:rPr>
              <w:t>No data available</w:t>
            </w:r>
          </w:p>
        </w:tc>
      </w:tr>
      <w:tr w:rsidR="00E05468" w:rsidRPr="00CB1E53" w14:paraId="597DE251" w14:textId="77777777" w:rsidTr="0095713A">
        <w:tc>
          <w:tcPr>
            <w:tcW w:w="2425" w:type="dxa"/>
          </w:tcPr>
          <w:p w14:paraId="701CD02D"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1C6B3FDE" w14:textId="7FDDA99B" w:rsidR="00E05468" w:rsidRPr="00CB1E53" w:rsidRDefault="00E05468" w:rsidP="00FD11D9">
            <w:pPr>
              <w:spacing w:before="20" w:after="20"/>
              <w:jc w:val="both"/>
              <w:rPr>
                <w:rFonts w:ascii="Segoe UI" w:hAnsi="Segoe UI" w:cs="Segoe UI"/>
                <w:b/>
                <w:bCs/>
                <w:sz w:val="18"/>
                <w:szCs w:val="18"/>
              </w:rPr>
            </w:pPr>
            <w:r>
              <w:rPr>
                <w:rFonts w:ascii="Segoe UI" w:hAnsi="Segoe UI" w:cs="Segoe UI"/>
                <w:sz w:val="18"/>
                <w:szCs w:val="18"/>
              </w:rPr>
              <w:t>Not estimated</w:t>
            </w:r>
          </w:p>
        </w:tc>
      </w:tr>
      <w:tr w:rsidR="00E05468" w:rsidRPr="00CB1E53" w14:paraId="40D196B1" w14:textId="77777777" w:rsidTr="0095713A">
        <w:tc>
          <w:tcPr>
            <w:tcW w:w="2425" w:type="dxa"/>
          </w:tcPr>
          <w:p w14:paraId="4D601FE2"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7BB3EE80" w14:textId="77777777" w:rsidR="00E05468" w:rsidRPr="00CB1E53" w:rsidRDefault="00E05468" w:rsidP="00FD11D9">
            <w:pPr>
              <w:spacing w:before="20" w:after="20"/>
              <w:jc w:val="both"/>
              <w:rPr>
                <w:rFonts w:ascii="Segoe UI" w:hAnsi="Segoe UI" w:cs="Segoe UI"/>
                <w:b/>
                <w:bCs/>
                <w:sz w:val="18"/>
                <w:szCs w:val="18"/>
              </w:rPr>
            </w:pPr>
          </w:p>
        </w:tc>
      </w:tr>
      <w:tr w:rsidR="00E05468" w:rsidRPr="00CB1E53" w14:paraId="2A8F7D33" w14:textId="77777777" w:rsidTr="0095713A">
        <w:tc>
          <w:tcPr>
            <w:tcW w:w="2425" w:type="dxa"/>
          </w:tcPr>
          <w:p w14:paraId="438ED73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59E468A6" w14:textId="1BF8474F"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349B1A68" w14:textId="77777777" w:rsidTr="0095713A">
        <w:trPr>
          <w:trHeight w:val="91"/>
        </w:trPr>
        <w:tc>
          <w:tcPr>
            <w:tcW w:w="2425" w:type="dxa"/>
            <w:vMerge w:val="restart"/>
          </w:tcPr>
          <w:p w14:paraId="5DC2DFA6"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180AC025"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F7A00F0"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3682EB8D"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57935D82" w14:textId="342B0916"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4B772389" w14:textId="6ACF363A"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48FFF63F" w14:textId="77777777" w:rsidTr="0095713A">
        <w:trPr>
          <w:trHeight w:val="91"/>
        </w:trPr>
        <w:tc>
          <w:tcPr>
            <w:tcW w:w="2425" w:type="dxa"/>
            <w:vMerge/>
          </w:tcPr>
          <w:p w14:paraId="3D50E73E" w14:textId="77777777" w:rsidR="00E05468" w:rsidRPr="00CB1E53" w:rsidRDefault="00E05468" w:rsidP="00FD11D9">
            <w:pPr>
              <w:spacing w:before="20" w:after="20"/>
              <w:jc w:val="both"/>
              <w:rPr>
                <w:rFonts w:ascii="Segoe UI" w:hAnsi="Segoe UI" w:cs="Segoe UI"/>
                <w:b/>
                <w:bCs/>
                <w:sz w:val="18"/>
                <w:szCs w:val="18"/>
              </w:rPr>
            </w:pPr>
          </w:p>
        </w:tc>
        <w:tc>
          <w:tcPr>
            <w:tcW w:w="1385" w:type="dxa"/>
          </w:tcPr>
          <w:p w14:paraId="63C3F8BB" w14:textId="77777777" w:rsidR="00E05468" w:rsidRPr="00CB1E53" w:rsidRDefault="00E05468" w:rsidP="00FD11D9">
            <w:pPr>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702A1B8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c>
          <w:tcPr>
            <w:tcW w:w="1385" w:type="dxa"/>
            <w:gridSpan w:val="2"/>
          </w:tcPr>
          <w:p w14:paraId="1A6E5AE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c>
          <w:tcPr>
            <w:tcW w:w="1385" w:type="dxa"/>
          </w:tcPr>
          <w:p w14:paraId="16A29342"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c>
          <w:tcPr>
            <w:tcW w:w="1660" w:type="dxa"/>
          </w:tcPr>
          <w:p w14:paraId="75F8130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r>
    </w:tbl>
    <w:p w14:paraId="1E96B9F6" w14:textId="77777777" w:rsidR="00F77F6D" w:rsidRPr="00CB1E53" w:rsidRDefault="00F77F6D" w:rsidP="00FD11D9">
      <w:pPr>
        <w:spacing w:before="20" w:after="20" w:line="240" w:lineRule="auto"/>
        <w:jc w:val="both"/>
        <w:rPr>
          <w:rFonts w:ascii="Segoe UI" w:hAnsi="Segoe UI" w:cs="Segoe UI"/>
          <w:sz w:val="18"/>
          <w:szCs w:val="18"/>
        </w:rPr>
      </w:pPr>
    </w:p>
    <w:tbl>
      <w:tblPr>
        <w:tblStyle w:val="TableGrid"/>
        <w:tblW w:w="9625" w:type="dxa"/>
        <w:tblBorders>
          <w:left w:val="none" w:sz="0" w:space="0" w:color="auto"/>
          <w:right w:val="none" w:sz="0" w:space="0" w:color="auto"/>
        </w:tblBorders>
        <w:tblLook w:val="04A0" w:firstRow="1" w:lastRow="0" w:firstColumn="1" w:lastColumn="0" w:noHBand="0" w:noVBand="1"/>
      </w:tblPr>
      <w:tblGrid>
        <w:gridCol w:w="2425"/>
        <w:gridCol w:w="1385"/>
        <w:gridCol w:w="1385"/>
        <w:gridCol w:w="692"/>
        <w:gridCol w:w="693"/>
        <w:gridCol w:w="1385"/>
        <w:gridCol w:w="1660"/>
      </w:tblGrid>
      <w:tr w:rsidR="00F77F6D" w:rsidRPr="00CB1E53" w14:paraId="7172C6FA" w14:textId="77777777" w:rsidTr="00B33EF0">
        <w:tc>
          <w:tcPr>
            <w:tcW w:w="9625" w:type="dxa"/>
            <w:gridSpan w:val="7"/>
            <w:shd w:val="clear" w:color="auto" w:fill="D9D9D9" w:themeFill="background1" w:themeFillShade="D9"/>
          </w:tcPr>
          <w:p w14:paraId="06E745F0" w14:textId="4313447A" w:rsidR="00F77F6D" w:rsidRPr="00CB1E53" w:rsidRDefault="003675E2" w:rsidP="00FD11D9">
            <w:pPr>
              <w:spacing w:before="20" w:after="20"/>
              <w:jc w:val="both"/>
              <w:rPr>
                <w:rFonts w:ascii="Segoe UI" w:hAnsi="Segoe UI" w:cs="Segoe UI"/>
                <w:b/>
                <w:bCs/>
                <w:sz w:val="18"/>
                <w:szCs w:val="18"/>
              </w:rPr>
            </w:pPr>
            <w:r w:rsidRPr="00CB1E53">
              <w:rPr>
                <w:rFonts w:ascii="Segoe UI" w:hAnsi="Segoe UI" w:cs="Segoe UI"/>
                <w:b/>
                <w:bCs/>
                <w:sz w:val="18"/>
                <w:szCs w:val="18"/>
              </w:rPr>
              <w:t>3</w:t>
            </w:r>
            <w:r>
              <w:rPr>
                <w:rFonts w:ascii="Segoe UI" w:hAnsi="Segoe UI" w:cs="Segoe UI"/>
                <w:b/>
                <w:bCs/>
                <w:sz w:val="18"/>
                <w:szCs w:val="18"/>
              </w:rPr>
              <w:t>0</w:t>
            </w:r>
            <w:r w:rsidR="00F77F6D" w:rsidRPr="00CB1E53">
              <w:rPr>
                <w:rFonts w:ascii="Segoe UI" w:hAnsi="Segoe UI" w:cs="Segoe UI"/>
                <w:b/>
                <w:bCs/>
                <w:sz w:val="18"/>
                <w:szCs w:val="18"/>
              </w:rPr>
              <w:t>. Exempting property transferred as a result of a company reorganization</w:t>
            </w:r>
          </w:p>
        </w:tc>
      </w:tr>
      <w:tr w:rsidR="00F77F6D" w:rsidRPr="00CB1E53" w14:paraId="472BE469" w14:textId="77777777" w:rsidTr="00B33EF0">
        <w:tc>
          <w:tcPr>
            <w:tcW w:w="2425" w:type="dxa"/>
          </w:tcPr>
          <w:p w14:paraId="5B4846E6"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Description</w:t>
            </w:r>
          </w:p>
        </w:tc>
        <w:tc>
          <w:tcPr>
            <w:tcW w:w="7200" w:type="dxa"/>
            <w:gridSpan w:val="6"/>
          </w:tcPr>
          <w:p w14:paraId="7ED4DCE9"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The property transferred as a result of a company reorganization is exempt from VAT.</w:t>
            </w:r>
          </w:p>
        </w:tc>
      </w:tr>
      <w:tr w:rsidR="00F77F6D" w:rsidRPr="00CB1E53" w14:paraId="0FB1AAB1" w14:textId="77777777" w:rsidTr="00B33EF0">
        <w:tc>
          <w:tcPr>
            <w:tcW w:w="2425" w:type="dxa"/>
          </w:tcPr>
          <w:p w14:paraId="79E65D1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Tax Affected</w:t>
            </w:r>
          </w:p>
        </w:tc>
        <w:tc>
          <w:tcPr>
            <w:tcW w:w="7200" w:type="dxa"/>
            <w:gridSpan w:val="6"/>
          </w:tcPr>
          <w:p w14:paraId="158E5077"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VAT</w:t>
            </w:r>
          </w:p>
        </w:tc>
      </w:tr>
      <w:tr w:rsidR="00F77F6D" w:rsidRPr="00CB1E53" w14:paraId="54ACCFCC" w14:textId="77777777" w:rsidTr="00B33EF0">
        <w:tc>
          <w:tcPr>
            <w:tcW w:w="2425" w:type="dxa"/>
          </w:tcPr>
          <w:p w14:paraId="2DEE0A64"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Beneficiaries</w:t>
            </w:r>
          </w:p>
        </w:tc>
        <w:tc>
          <w:tcPr>
            <w:tcW w:w="7200" w:type="dxa"/>
            <w:gridSpan w:val="6"/>
          </w:tcPr>
          <w:p w14:paraId="201159C0"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The companies that realize the reorganization.</w:t>
            </w:r>
          </w:p>
        </w:tc>
      </w:tr>
      <w:tr w:rsidR="00F77F6D" w:rsidRPr="00CB1E53" w14:paraId="75BB26FD" w14:textId="77777777" w:rsidTr="00B33EF0">
        <w:tc>
          <w:tcPr>
            <w:tcW w:w="2425" w:type="dxa"/>
          </w:tcPr>
          <w:p w14:paraId="04ACB608"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Type of Measure</w:t>
            </w:r>
          </w:p>
        </w:tc>
        <w:tc>
          <w:tcPr>
            <w:tcW w:w="7200" w:type="dxa"/>
            <w:gridSpan w:val="6"/>
          </w:tcPr>
          <w:p w14:paraId="70CFFA1D"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VAT exemptions</w:t>
            </w:r>
          </w:p>
        </w:tc>
      </w:tr>
      <w:tr w:rsidR="00F77F6D" w:rsidRPr="00CB1E53" w14:paraId="3B6158EA" w14:textId="77777777" w:rsidTr="00B33EF0">
        <w:tc>
          <w:tcPr>
            <w:tcW w:w="2425" w:type="dxa"/>
          </w:tcPr>
          <w:p w14:paraId="27D3ACE0"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Reason why this Measure is not part of the Benchmark Tax System</w:t>
            </w:r>
          </w:p>
        </w:tc>
        <w:tc>
          <w:tcPr>
            <w:tcW w:w="7200" w:type="dxa"/>
            <w:gridSpan w:val="6"/>
          </w:tcPr>
          <w:p w14:paraId="7E9BD5AD"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Under a modern VAT, the benchmark tax regime provides that all final consumption of goods and services to final consumers should be at the standard VAT rate.</w:t>
            </w:r>
          </w:p>
        </w:tc>
      </w:tr>
      <w:tr w:rsidR="00F77F6D" w:rsidRPr="00CB1E53" w14:paraId="52FE5741" w14:textId="77777777" w:rsidTr="00B33EF0">
        <w:tc>
          <w:tcPr>
            <w:tcW w:w="2425" w:type="dxa"/>
          </w:tcPr>
          <w:p w14:paraId="209CE7A5"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Legal Reference</w:t>
            </w:r>
          </w:p>
        </w:tc>
        <w:tc>
          <w:tcPr>
            <w:tcW w:w="7200" w:type="dxa"/>
            <w:gridSpan w:val="6"/>
          </w:tcPr>
          <w:p w14:paraId="3E6F683A"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Art.95 (2) d) of TC</w:t>
            </w:r>
          </w:p>
        </w:tc>
      </w:tr>
      <w:tr w:rsidR="00F77F6D" w:rsidRPr="00CB1E53" w14:paraId="65AD7395" w14:textId="77777777" w:rsidTr="00B33EF0">
        <w:trPr>
          <w:trHeight w:val="182"/>
        </w:trPr>
        <w:tc>
          <w:tcPr>
            <w:tcW w:w="2425" w:type="dxa"/>
            <w:vMerge w:val="restart"/>
          </w:tcPr>
          <w:p w14:paraId="02663ED2"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
                <w:bCs/>
                <w:sz w:val="18"/>
                <w:szCs w:val="18"/>
              </w:rPr>
              <w:t>Implementation, Objectives, and History</w:t>
            </w:r>
          </w:p>
        </w:tc>
        <w:tc>
          <w:tcPr>
            <w:tcW w:w="3462" w:type="dxa"/>
            <w:gridSpan w:val="3"/>
          </w:tcPr>
          <w:p w14:paraId="2784A87A" w14:textId="77777777" w:rsidR="00F77F6D" w:rsidRPr="00CB1E53" w:rsidRDefault="00F77F6D" w:rsidP="00FD11D9">
            <w:pPr>
              <w:spacing w:before="20" w:after="20"/>
              <w:jc w:val="both"/>
              <w:rPr>
                <w:rFonts w:ascii="Segoe UI" w:hAnsi="Segoe UI" w:cs="Segoe UI"/>
                <w:bCs/>
                <w:sz w:val="18"/>
                <w:szCs w:val="18"/>
              </w:rPr>
            </w:pPr>
            <w:r w:rsidRPr="00CB1E53">
              <w:rPr>
                <w:rFonts w:ascii="Segoe UI" w:hAnsi="Segoe UI" w:cs="Segoe UI"/>
                <w:bCs/>
                <w:sz w:val="18"/>
                <w:szCs w:val="18"/>
              </w:rPr>
              <w:t>The property is exempt because</w:t>
            </w:r>
          </w:p>
          <w:p w14:paraId="27400DEA" w14:textId="77777777" w:rsidR="00F77F6D" w:rsidRPr="00CB1E53" w:rsidRDefault="00F77F6D" w:rsidP="00FD11D9">
            <w:pPr>
              <w:spacing w:before="20" w:after="20"/>
              <w:jc w:val="both"/>
              <w:rPr>
                <w:rFonts w:ascii="Segoe UI" w:hAnsi="Segoe UI" w:cs="Segoe UI"/>
                <w:b/>
                <w:bCs/>
                <w:sz w:val="18"/>
                <w:szCs w:val="18"/>
              </w:rPr>
            </w:pPr>
            <w:r w:rsidRPr="00CB1E53">
              <w:rPr>
                <w:rFonts w:ascii="Segoe UI" w:hAnsi="Segoe UI" w:cs="Segoe UI"/>
                <w:bCs/>
                <w:sz w:val="18"/>
                <w:szCs w:val="18"/>
              </w:rPr>
              <w:t>there is no transfer of ownership</w:t>
            </w:r>
          </w:p>
        </w:tc>
        <w:tc>
          <w:tcPr>
            <w:tcW w:w="3738" w:type="dxa"/>
            <w:gridSpan w:val="3"/>
          </w:tcPr>
          <w:p w14:paraId="5F62A053" w14:textId="77777777" w:rsidR="00F77F6D" w:rsidRPr="00CB1E53" w:rsidRDefault="00F77F6D" w:rsidP="00FD11D9">
            <w:pPr>
              <w:spacing w:before="20" w:after="20"/>
              <w:jc w:val="both"/>
              <w:rPr>
                <w:rFonts w:ascii="Segoe UI" w:hAnsi="Segoe UI" w:cs="Segoe UI"/>
                <w:b/>
                <w:bCs/>
                <w:sz w:val="18"/>
                <w:szCs w:val="18"/>
              </w:rPr>
            </w:pPr>
          </w:p>
        </w:tc>
      </w:tr>
      <w:tr w:rsidR="00F77F6D" w:rsidRPr="00CB1E53" w14:paraId="47B8B84C" w14:textId="77777777" w:rsidTr="00B33EF0">
        <w:trPr>
          <w:trHeight w:val="182"/>
        </w:trPr>
        <w:tc>
          <w:tcPr>
            <w:tcW w:w="2425" w:type="dxa"/>
            <w:vMerge/>
          </w:tcPr>
          <w:p w14:paraId="4A37F664" w14:textId="77777777" w:rsidR="00F77F6D" w:rsidRPr="00CB1E53" w:rsidRDefault="00F77F6D" w:rsidP="00FD11D9">
            <w:pPr>
              <w:spacing w:before="20" w:after="20"/>
              <w:jc w:val="both"/>
              <w:rPr>
                <w:rFonts w:ascii="Segoe UI" w:hAnsi="Segoe UI" w:cs="Segoe UI"/>
                <w:b/>
                <w:bCs/>
                <w:sz w:val="18"/>
                <w:szCs w:val="18"/>
              </w:rPr>
            </w:pPr>
          </w:p>
        </w:tc>
        <w:tc>
          <w:tcPr>
            <w:tcW w:w="3462" w:type="dxa"/>
            <w:gridSpan w:val="3"/>
          </w:tcPr>
          <w:p w14:paraId="5FF43D4F"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Introduced in year: 2010</w:t>
            </w:r>
          </w:p>
        </w:tc>
        <w:tc>
          <w:tcPr>
            <w:tcW w:w="3738" w:type="dxa"/>
            <w:gridSpan w:val="3"/>
          </w:tcPr>
          <w:p w14:paraId="37E0D784" w14:textId="77777777" w:rsidR="00F77F6D" w:rsidRPr="00CB1E53" w:rsidRDefault="00F77F6D" w:rsidP="00FD11D9">
            <w:pPr>
              <w:spacing w:before="20" w:after="20"/>
              <w:jc w:val="both"/>
              <w:rPr>
                <w:rFonts w:ascii="Segoe UI" w:hAnsi="Segoe UI" w:cs="Segoe UI"/>
                <w:sz w:val="18"/>
                <w:szCs w:val="18"/>
              </w:rPr>
            </w:pPr>
            <w:r w:rsidRPr="00CB1E53">
              <w:rPr>
                <w:rFonts w:ascii="Segoe UI" w:hAnsi="Segoe UI" w:cs="Segoe UI"/>
                <w:sz w:val="18"/>
                <w:szCs w:val="18"/>
              </w:rPr>
              <w:t>Expiry date:</w:t>
            </w:r>
          </w:p>
        </w:tc>
      </w:tr>
      <w:tr w:rsidR="00E05468" w:rsidRPr="00CB1E53" w14:paraId="69B5B766" w14:textId="77777777" w:rsidTr="00B33EF0">
        <w:tc>
          <w:tcPr>
            <w:tcW w:w="2425" w:type="dxa"/>
          </w:tcPr>
          <w:p w14:paraId="1483112E"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Source of Data</w:t>
            </w:r>
          </w:p>
        </w:tc>
        <w:tc>
          <w:tcPr>
            <w:tcW w:w="7200" w:type="dxa"/>
            <w:gridSpan w:val="6"/>
          </w:tcPr>
          <w:p w14:paraId="0336D5D3" w14:textId="21C3A9B0"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 data available</w:t>
            </w:r>
          </w:p>
        </w:tc>
      </w:tr>
      <w:tr w:rsidR="00E05468" w:rsidRPr="00CB1E53" w14:paraId="4A4ED72D" w14:textId="77777777" w:rsidTr="00B33EF0">
        <w:tc>
          <w:tcPr>
            <w:tcW w:w="2425" w:type="dxa"/>
          </w:tcPr>
          <w:p w14:paraId="7B49A34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Estimation Method</w:t>
            </w:r>
          </w:p>
        </w:tc>
        <w:tc>
          <w:tcPr>
            <w:tcW w:w="7200" w:type="dxa"/>
            <w:gridSpan w:val="6"/>
          </w:tcPr>
          <w:p w14:paraId="530A398E" w14:textId="6A5186F2" w:rsidR="00E05468" w:rsidRPr="00CB1E53" w:rsidRDefault="00E05468" w:rsidP="00FD11D9">
            <w:pPr>
              <w:spacing w:before="20" w:after="20"/>
              <w:jc w:val="both"/>
              <w:rPr>
                <w:rFonts w:ascii="Segoe UI" w:hAnsi="Segoe UI" w:cs="Segoe UI"/>
                <w:sz w:val="18"/>
                <w:szCs w:val="18"/>
              </w:rPr>
            </w:pPr>
            <w:r>
              <w:rPr>
                <w:rFonts w:ascii="Segoe UI" w:hAnsi="Segoe UI" w:cs="Segoe UI"/>
                <w:sz w:val="18"/>
                <w:szCs w:val="18"/>
              </w:rPr>
              <w:t>Not estimated</w:t>
            </w:r>
          </w:p>
        </w:tc>
      </w:tr>
      <w:tr w:rsidR="00E05468" w:rsidRPr="00CB1E53" w14:paraId="5A0EB5C1" w14:textId="77777777" w:rsidTr="00B33EF0">
        <w:tc>
          <w:tcPr>
            <w:tcW w:w="2425" w:type="dxa"/>
          </w:tcPr>
          <w:p w14:paraId="4DA1A3FA"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Number of Beneficiaries</w:t>
            </w:r>
          </w:p>
        </w:tc>
        <w:tc>
          <w:tcPr>
            <w:tcW w:w="7200" w:type="dxa"/>
            <w:gridSpan w:val="6"/>
          </w:tcPr>
          <w:p w14:paraId="4D1C845D" w14:textId="77777777" w:rsidR="00E05468" w:rsidRPr="00CB1E53" w:rsidRDefault="00E05468" w:rsidP="00FD11D9">
            <w:pPr>
              <w:spacing w:before="20" w:after="20"/>
              <w:jc w:val="both"/>
              <w:rPr>
                <w:rFonts w:ascii="Segoe UI" w:hAnsi="Segoe UI" w:cs="Segoe UI"/>
                <w:b/>
                <w:bCs/>
                <w:sz w:val="18"/>
                <w:szCs w:val="18"/>
              </w:rPr>
            </w:pPr>
          </w:p>
        </w:tc>
      </w:tr>
      <w:tr w:rsidR="00E05468" w:rsidRPr="00CB1E53" w14:paraId="0D2F0A70" w14:textId="77777777" w:rsidTr="00B33EF0">
        <w:tc>
          <w:tcPr>
            <w:tcW w:w="2425" w:type="dxa"/>
          </w:tcPr>
          <w:p w14:paraId="015FA261" w14:textId="77777777" w:rsidR="00E05468" w:rsidRPr="00CB1E53" w:rsidRDefault="00E05468"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Revenue Cost Reporting</w:t>
            </w:r>
          </w:p>
        </w:tc>
        <w:tc>
          <w:tcPr>
            <w:tcW w:w="7200" w:type="dxa"/>
            <w:gridSpan w:val="6"/>
          </w:tcPr>
          <w:p w14:paraId="4CE520FB" w14:textId="3CEEAB9C" w:rsidR="00E05468" w:rsidRPr="00CB1E53" w:rsidRDefault="00E05468" w:rsidP="00FD11D9">
            <w:pPr>
              <w:keepNext/>
              <w:keepLines/>
              <w:spacing w:before="20" w:after="20"/>
              <w:jc w:val="both"/>
              <w:rPr>
                <w:rFonts w:ascii="Segoe UI" w:hAnsi="Segoe UI" w:cs="Segoe UI"/>
                <w:sz w:val="18"/>
                <w:szCs w:val="18"/>
              </w:rPr>
            </w:pPr>
            <w:r w:rsidRPr="00CB1E53">
              <w:rPr>
                <w:rFonts w:ascii="Segoe UI" w:hAnsi="Segoe UI" w:cs="Segoe UI"/>
                <w:sz w:val="18"/>
                <w:szCs w:val="18"/>
              </w:rPr>
              <w:t>Million MDL</w:t>
            </w:r>
          </w:p>
        </w:tc>
      </w:tr>
      <w:tr w:rsidR="00E05468" w:rsidRPr="00CB1E53" w14:paraId="3D054773" w14:textId="77777777" w:rsidTr="00B33EF0">
        <w:trPr>
          <w:trHeight w:val="91"/>
        </w:trPr>
        <w:tc>
          <w:tcPr>
            <w:tcW w:w="2425" w:type="dxa"/>
            <w:vMerge w:val="restart"/>
          </w:tcPr>
          <w:p w14:paraId="60B0340A" w14:textId="77777777" w:rsidR="00E05468" w:rsidRPr="00CB1E53" w:rsidRDefault="00E05468" w:rsidP="00FD11D9">
            <w:pPr>
              <w:keepNext/>
              <w:keepLines/>
              <w:spacing w:before="20" w:after="20"/>
              <w:jc w:val="both"/>
              <w:rPr>
                <w:rFonts w:ascii="Segoe UI" w:hAnsi="Segoe UI" w:cs="Segoe UI"/>
                <w:b/>
                <w:bCs/>
                <w:sz w:val="18"/>
                <w:szCs w:val="18"/>
              </w:rPr>
            </w:pPr>
          </w:p>
        </w:tc>
        <w:tc>
          <w:tcPr>
            <w:tcW w:w="1385" w:type="dxa"/>
          </w:tcPr>
          <w:p w14:paraId="62C95D2A" w14:textId="77777777" w:rsidR="00E05468" w:rsidRPr="00CB1E53" w:rsidRDefault="00E05468"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2018</w:t>
            </w:r>
          </w:p>
        </w:tc>
        <w:tc>
          <w:tcPr>
            <w:tcW w:w="1385" w:type="dxa"/>
          </w:tcPr>
          <w:p w14:paraId="620805EC" w14:textId="77777777" w:rsidR="00E05468" w:rsidRPr="00CB1E53" w:rsidRDefault="00E05468" w:rsidP="00FD11D9">
            <w:pPr>
              <w:keepNext/>
              <w:keepLines/>
              <w:spacing w:before="20" w:after="20"/>
              <w:jc w:val="both"/>
              <w:rPr>
                <w:rFonts w:ascii="Segoe UI" w:hAnsi="Segoe UI" w:cs="Segoe UI"/>
                <w:b/>
                <w:bCs/>
                <w:sz w:val="18"/>
                <w:szCs w:val="18"/>
              </w:rPr>
            </w:pPr>
            <w:r w:rsidRPr="00CB1E53">
              <w:rPr>
                <w:rFonts w:ascii="Segoe UI" w:hAnsi="Segoe UI" w:cs="Segoe UI"/>
                <w:b/>
                <w:bCs/>
                <w:sz w:val="18"/>
                <w:szCs w:val="18"/>
              </w:rPr>
              <w:t>2019</w:t>
            </w:r>
          </w:p>
        </w:tc>
        <w:tc>
          <w:tcPr>
            <w:tcW w:w="1385" w:type="dxa"/>
            <w:gridSpan w:val="2"/>
          </w:tcPr>
          <w:p w14:paraId="68D81DA0"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2020</w:t>
            </w:r>
          </w:p>
        </w:tc>
        <w:tc>
          <w:tcPr>
            <w:tcW w:w="1385" w:type="dxa"/>
          </w:tcPr>
          <w:p w14:paraId="45F57CBC" w14:textId="26957B60"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2021</w:t>
            </w:r>
          </w:p>
        </w:tc>
        <w:tc>
          <w:tcPr>
            <w:tcW w:w="1660" w:type="dxa"/>
          </w:tcPr>
          <w:p w14:paraId="75BF0A91" w14:textId="4BA2E40B"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b/>
                <w:bCs/>
                <w:sz w:val="18"/>
                <w:szCs w:val="18"/>
              </w:rPr>
              <w:t>2022 projected</w:t>
            </w:r>
          </w:p>
        </w:tc>
      </w:tr>
      <w:tr w:rsidR="00E05468" w:rsidRPr="00CB1E53" w14:paraId="1C1BCB03" w14:textId="77777777" w:rsidTr="00B33EF0">
        <w:trPr>
          <w:trHeight w:val="91"/>
        </w:trPr>
        <w:tc>
          <w:tcPr>
            <w:tcW w:w="2425" w:type="dxa"/>
            <w:vMerge/>
          </w:tcPr>
          <w:p w14:paraId="0E92DA7A" w14:textId="77777777" w:rsidR="00E05468" w:rsidRPr="00CB1E53" w:rsidRDefault="00E05468" w:rsidP="00FD11D9">
            <w:pPr>
              <w:keepNext/>
              <w:keepLines/>
              <w:spacing w:before="20" w:after="20"/>
              <w:jc w:val="both"/>
              <w:rPr>
                <w:rFonts w:ascii="Segoe UI" w:hAnsi="Segoe UI" w:cs="Segoe UI"/>
                <w:b/>
                <w:bCs/>
                <w:sz w:val="18"/>
                <w:szCs w:val="18"/>
              </w:rPr>
            </w:pPr>
          </w:p>
        </w:tc>
        <w:tc>
          <w:tcPr>
            <w:tcW w:w="1385" w:type="dxa"/>
          </w:tcPr>
          <w:p w14:paraId="32D429AD" w14:textId="77777777" w:rsidR="00E05468" w:rsidRPr="00CB1E53" w:rsidRDefault="00E05468" w:rsidP="00FD11D9">
            <w:pPr>
              <w:keepNext/>
              <w:keepLines/>
              <w:spacing w:before="20" w:after="20"/>
              <w:jc w:val="both"/>
              <w:rPr>
                <w:rFonts w:ascii="Segoe UI" w:hAnsi="Segoe UI" w:cs="Segoe UI"/>
                <w:sz w:val="18"/>
                <w:szCs w:val="18"/>
              </w:rPr>
            </w:pPr>
            <w:r w:rsidRPr="00CB1E53">
              <w:rPr>
                <w:rFonts w:ascii="Segoe UI" w:hAnsi="Segoe UI" w:cs="Segoe UI"/>
                <w:sz w:val="18"/>
                <w:szCs w:val="18"/>
              </w:rPr>
              <w:t>—</w:t>
            </w:r>
          </w:p>
        </w:tc>
        <w:tc>
          <w:tcPr>
            <w:tcW w:w="1385" w:type="dxa"/>
          </w:tcPr>
          <w:p w14:paraId="104FA3E6" w14:textId="77777777" w:rsidR="00E05468" w:rsidRPr="00CB1E53" w:rsidRDefault="00E05468" w:rsidP="00FD11D9">
            <w:pPr>
              <w:keepNext/>
              <w:keepLines/>
              <w:spacing w:before="20" w:after="20"/>
              <w:jc w:val="both"/>
              <w:rPr>
                <w:rFonts w:ascii="Segoe UI" w:hAnsi="Segoe UI" w:cs="Segoe UI"/>
                <w:b/>
                <w:bCs/>
                <w:sz w:val="18"/>
                <w:szCs w:val="18"/>
              </w:rPr>
            </w:pPr>
            <w:r w:rsidRPr="00CB1E53">
              <w:rPr>
                <w:rFonts w:ascii="Segoe UI" w:hAnsi="Segoe UI" w:cs="Segoe UI"/>
                <w:sz w:val="18"/>
                <w:szCs w:val="18"/>
              </w:rPr>
              <w:t>—</w:t>
            </w:r>
          </w:p>
        </w:tc>
        <w:tc>
          <w:tcPr>
            <w:tcW w:w="1385" w:type="dxa"/>
            <w:gridSpan w:val="2"/>
          </w:tcPr>
          <w:p w14:paraId="5A4F5E0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c>
          <w:tcPr>
            <w:tcW w:w="1385" w:type="dxa"/>
          </w:tcPr>
          <w:p w14:paraId="31D8456F"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c>
          <w:tcPr>
            <w:tcW w:w="1660" w:type="dxa"/>
          </w:tcPr>
          <w:p w14:paraId="50EC80F3" w14:textId="77777777" w:rsidR="00E05468" w:rsidRPr="00CB1E53" w:rsidRDefault="00E05468" w:rsidP="00FD11D9">
            <w:pPr>
              <w:spacing w:before="20" w:after="20"/>
              <w:jc w:val="both"/>
              <w:rPr>
                <w:rFonts w:ascii="Segoe UI" w:hAnsi="Segoe UI" w:cs="Segoe UI"/>
                <w:b/>
                <w:bCs/>
                <w:sz w:val="18"/>
                <w:szCs w:val="18"/>
              </w:rPr>
            </w:pPr>
            <w:r w:rsidRPr="00CB1E53">
              <w:rPr>
                <w:rFonts w:ascii="Segoe UI" w:hAnsi="Segoe UI" w:cs="Segoe UI"/>
                <w:sz w:val="18"/>
                <w:szCs w:val="18"/>
              </w:rPr>
              <w:t>—</w:t>
            </w:r>
          </w:p>
        </w:tc>
      </w:tr>
    </w:tbl>
    <w:p w14:paraId="7147F8AB" w14:textId="77777777" w:rsidR="00F77F6D" w:rsidRPr="00CB1E53" w:rsidRDefault="00F77F6D" w:rsidP="00FD11D9">
      <w:pPr>
        <w:spacing w:before="20" w:after="20" w:line="240" w:lineRule="auto"/>
        <w:jc w:val="both"/>
        <w:rPr>
          <w:rFonts w:ascii="Segoe UI" w:hAnsi="Segoe UI" w:cs="Segoe UI"/>
          <w:sz w:val="18"/>
          <w:szCs w:val="18"/>
        </w:rPr>
      </w:pPr>
    </w:p>
    <w:sectPr w:rsidR="00F77F6D" w:rsidRPr="00CB1E53" w:rsidSect="00FD11D9">
      <w:headerReference w:type="default" r:id="rId24"/>
      <w:footerReference w:type="default" r:id="rId25"/>
      <w:headerReference w:type="first" r:id="rId26"/>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CD6E" w14:textId="77777777" w:rsidR="00F139FD" w:rsidRDefault="00F139FD" w:rsidP="000B7010">
      <w:pPr>
        <w:spacing w:line="240" w:lineRule="auto"/>
      </w:pPr>
      <w:r>
        <w:separator/>
      </w:r>
    </w:p>
  </w:endnote>
  <w:endnote w:type="continuationSeparator" w:id="0">
    <w:p w14:paraId="5B1669A4" w14:textId="77777777" w:rsidR="00F139FD" w:rsidRDefault="00F139FD" w:rsidP="000B7010">
      <w:pPr>
        <w:spacing w:line="240" w:lineRule="auto"/>
      </w:pPr>
      <w:r>
        <w:continuationSeparator/>
      </w:r>
    </w:p>
  </w:endnote>
  <w:endnote w:type="continuationNotice" w:id="1">
    <w:p w14:paraId="6DA79D0A" w14:textId="77777777" w:rsidR="00F139FD" w:rsidRDefault="00F13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AE59" w14:textId="66ABFED6" w:rsidR="00EC68F1" w:rsidRPr="006C2BDF" w:rsidRDefault="00EC68F1" w:rsidP="00834E6F">
    <w:pPr>
      <w:pStyle w:val="Footer"/>
      <w:jc w:val="right"/>
      <w:rPr>
        <w:rFonts w:ascii="Segoe UI" w:hAnsi="Segoe UI" w:cs="Segoe UI"/>
        <w:sz w:val="18"/>
        <w:szCs w:val="18"/>
      </w:rPr>
    </w:pPr>
    <w:r w:rsidRPr="006C2BDF">
      <w:rPr>
        <w:rStyle w:val="PageNumber"/>
        <w:rFonts w:ascii="Segoe UI" w:hAnsi="Segoe UI" w:cs="Segoe UI"/>
        <w:sz w:val="18"/>
        <w:szCs w:val="18"/>
      </w:rPr>
      <w:fldChar w:fldCharType="begin"/>
    </w:r>
    <w:r w:rsidRPr="006C2BDF">
      <w:rPr>
        <w:rStyle w:val="PageNumber"/>
        <w:rFonts w:ascii="Segoe UI" w:hAnsi="Segoe UI" w:cs="Segoe UI"/>
        <w:sz w:val="18"/>
        <w:szCs w:val="18"/>
      </w:rPr>
      <w:instrText xml:space="preserve"> PAGE </w:instrText>
    </w:r>
    <w:r w:rsidRPr="006C2BDF">
      <w:rPr>
        <w:rStyle w:val="PageNumber"/>
        <w:rFonts w:ascii="Segoe UI" w:hAnsi="Segoe UI" w:cs="Segoe UI"/>
        <w:sz w:val="18"/>
        <w:szCs w:val="18"/>
      </w:rPr>
      <w:fldChar w:fldCharType="separate"/>
    </w:r>
    <w:r w:rsidR="00B61344">
      <w:rPr>
        <w:rStyle w:val="PageNumber"/>
        <w:rFonts w:ascii="Segoe UI" w:hAnsi="Segoe UI" w:cs="Segoe UI"/>
        <w:noProof/>
        <w:sz w:val="18"/>
        <w:szCs w:val="18"/>
      </w:rPr>
      <w:t>32</w:t>
    </w:r>
    <w:r w:rsidRPr="006C2BDF">
      <w:rPr>
        <w:rStyle w:val="PageNumber"/>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24D1" w14:textId="77777777" w:rsidR="00F139FD" w:rsidRDefault="00F139FD" w:rsidP="000B7010">
      <w:pPr>
        <w:spacing w:line="240" w:lineRule="auto"/>
      </w:pPr>
      <w:r>
        <w:separator/>
      </w:r>
    </w:p>
  </w:footnote>
  <w:footnote w:type="continuationSeparator" w:id="0">
    <w:p w14:paraId="0D99B275" w14:textId="77777777" w:rsidR="00F139FD" w:rsidRDefault="00F139FD" w:rsidP="000B7010">
      <w:pPr>
        <w:spacing w:line="240" w:lineRule="auto"/>
      </w:pPr>
      <w:r>
        <w:continuationSeparator/>
      </w:r>
    </w:p>
  </w:footnote>
  <w:footnote w:type="continuationNotice" w:id="1">
    <w:p w14:paraId="64EA0CA8" w14:textId="77777777" w:rsidR="00F139FD" w:rsidRDefault="00F139FD">
      <w:pPr>
        <w:spacing w:after="0" w:line="240" w:lineRule="auto"/>
      </w:pPr>
    </w:p>
  </w:footnote>
  <w:footnote w:id="2">
    <w:p w14:paraId="03E293EB" w14:textId="77777777" w:rsidR="00EC68F1" w:rsidRPr="005B044E" w:rsidRDefault="00EC68F1" w:rsidP="008209C7">
      <w:pPr>
        <w:pStyle w:val="FootnoteText"/>
        <w:spacing w:after="120" w:line="240" w:lineRule="auto"/>
        <w:rPr>
          <w:rFonts w:ascii="Segoe UI" w:hAnsi="Segoe UI" w:cs="Segoe UI"/>
          <w:sz w:val="18"/>
          <w:szCs w:val="18"/>
        </w:rPr>
      </w:pPr>
      <w:r w:rsidRPr="005B044E">
        <w:rPr>
          <w:rStyle w:val="FootnoteReference"/>
          <w:rFonts w:ascii="Segoe UI" w:hAnsi="Segoe UI" w:cs="Segoe UI"/>
          <w:sz w:val="18"/>
          <w:szCs w:val="18"/>
        </w:rPr>
        <w:footnoteRef/>
      </w:r>
      <w:r w:rsidRPr="005B044E">
        <w:rPr>
          <w:rFonts w:ascii="Segoe UI" w:hAnsi="Segoe UI" w:cs="Segoe UI"/>
          <w:sz w:val="18"/>
          <w:szCs w:val="18"/>
        </w:rPr>
        <w:t xml:space="preserve"> </w:t>
      </w:r>
      <w:r>
        <w:rPr>
          <w:rFonts w:ascii="Segoe UI" w:hAnsi="Segoe UI" w:cs="Segoe UI"/>
          <w:sz w:val="18"/>
          <w:szCs w:val="18"/>
        </w:rPr>
        <w:t>The b</w:t>
      </w:r>
      <w:r w:rsidRPr="005B044E">
        <w:rPr>
          <w:rFonts w:ascii="Segoe UI" w:hAnsi="Segoe UI" w:cs="Segoe UI"/>
          <w:sz w:val="18"/>
          <w:szCs w:val="18"/>
        </w:rPr>
        <w:t xml:space="preserve">usiness </w:t>
      </w:r>
      <w:r>
        <w:rPr>
          <w:rFonts w:ascii="Segoe UI" w:hAnsi="Segoe UI" w:cs="Segoe UI"/>
          <w:sz w:val="18"/>
          <w:szCs w:val="18"/>
        </w:rPr>
        <w:t>income tax micro-simulation model is developed with the IMF’s support.</w:t>
      </w:r>
    </w:p>
  </w:footnote>
  <w:footnote w:id="3">
    <w:p w14:paraId="59F3C2D9" w14:textId="1362595B" w:rsidR="00EC68F1" w:rsidRPr="00514AA0" w:rsidRDefault="00EC68F1"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There can be cases when </w:t>
      </w:r>
      <w:r>
        <w:rPr>
          <w:rFonts w:ascii="Segoe UI" w:hAnsi="Segoe UI" w:cs="Segoe UI"/>
          <w:sz w:val="18"/>
          <w:szCs w:val="18"/>
        </w:rPr>
        <w:t xml:space="preserve">TEs </w:t>
      </w:r>
      <w:r w:rsidRPr="00514AA0">
        <w:rPr>
          <w:rFonts w:ascii="Segoe UI" w:hAnsi="Segoe UI" w:cs="Segoe UI"/>
          <w:sz w:val="18"/>
          <w:szCs w:val="18"/>
        </w:rPr>
        <w:t xml:space="preserve">increase revenue, for example a VAT exemption on the supply of an intermediate good that is used for a taxable supply, or an accelerated depreciation measure when investment in the eligible capital good is declining over time. </w:t>
      </w:r>
    </w:p>
  </w:footnote>
  <w:footnote w:id="4">
    <w:p w14:paraId="7786E22F" w14:textId="77777777" w:rsidR="00EC68F1" w:rsidRPr="00514AA0" w:rsidRDefault="00EC68F1"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See for example IMF (2015), Redonda and </w:t>
      </w:r>
      <w:proofErr w:type="spellStart"/>
      <w:r w:rsidRPr="00514AA0">
        <w:rPr>
          <w:rFonts w:ascii="Segoe UI" w:hAnsi="Segoe UI" w:cs="Segoe UI"/>
          <w:sz w:val="18"/>
          <w:szCs w:val="18"/>
        </w:rPr>
        <w:t>Neubig</w:t>
      </w:r>
      <w:proofErr w:type="spellEnd"/>
      <w:r w:rsidRPr="00514AA0">
        <w:rPr>
          <w:rFonts w:ascii="Segoe UI" w:hAnsi="Segoe UI" w:cs="Segoe UI"/>
          <w:sz w:val="18"/>
          <w:szCs w:val="18"/>
        </w:rPr>
        <w:t xml:space="preserve"> (2018), and EC (2014). </w:t>
      </w:r>
    </w:p>
  </w:footnote>
  <w:footnote w:id="5">
    <w:p w14:paraId="0CA01FBC" w14:textId="6C87D3D7" w:rsidR="00EC68F1" w:rsidRPr="00514AA0" w:rsidRDefault="00EC68F1" w:rsidP="00514AA0">
      <w:pPr>
        <w:pStyle w:val="FootnoteText"/>
        <w:spacing w:after="120" w:line="240" w:lineRule="auto"/>
        <w:rPr>
          <w:rFonts w:ascii="Segoe UI" w:hAnsi="Segoe UI" w:cs="Segoe UI"/>
          <w:sz w:val="18"/>
          <w:szCs w:val="18"/>
        </w:rPr>
      </w:pPr>
      <w:r w:rsidRPr="00514AA0">
        <w:rPr>
          <w:rStyle w:val="FootnoteReference"/>
          <w:rFonts w:ascii="Segoe UI" w:hAnsi="Segoe UI" w:cs="Segoe UI"/>
          <w:sz w:val="18"/>
          <w:szCs w:val="18"/>
        </w:rPr>
        <w:footnoteRef/>
      </w:r>
      <w:r w:rsidRPr="00514AA0">
        <w:rPr>
          <w:rFonts w:ascii="Segoe UI" w:hAnsi="Segoe UI" w:cs="Segoe UI"/>
          <w:sz w:val="18"/>
          <w:szCs w:val="18"/>
        </w:rPr>
        <w:t xml:space="preserve"> This is the case when </w:t>
      </w:r>
      <w:r>
        <w:rPr>
          <w:rFonts w:ascii="Segoe UI" w:hAnsi="Segoe UI" w:cs="Segoe UI"/>
          <w:sz w:val="18"/>
          <w:szCs w:val="18"/>
        </w:rPr>
        <w:t>tax expenditure</w:t>
      </w:r>
      <w:r w:rsidRPr="00514AA0">
        <w:rPr>
          <w:rFonts w:ascii="Segoe UI" w:hAnsi="Segoe UI" w:cs="Segoe UI"/>
          <w:sz w:val="18"/>
          <w:szCs w:val="18"/>
        </w:rPr>
        <w:t xml:space="preserve"> strengthen</w:t>
      </w:r>
      <w:r>
        <w:rPr>
          <w:rFonts w:ascii="Segoe UI" w:hAnsi="Segoe UI" w:cs="Segoe UI"/>
          <w:sz w:val="18"/>
          <w:szCs w:val="18"/>
        </w:rPr>
        <w:t>s</w:t>
      </w:r>
      <w:r w:rsidRPr="00514AA0">
        <w:rPr>
          <w:rFonts w:ascii="Segoe UI" w:hAnsi="Segoe UI" w:cs="Segoe UI"/>
          <w:sz w:val="18"/>
          <w:szCs w:val="18"/>
        </w:rPr>
        <w:t xml:space="preserve"> certain desired behaviors (e.g., making work pay type of measures), it is a modification of an existing tax provision (e.g., accelerated depreciation), or it allows administrative or compliance costs to be reduced.</w:t>
      </w:r>
    </w:p>
  </w:footnote>
  <w:footnote w:id="6">
    <w:p w14:paraId="3A29A8E0" w14:textId="68E8ACF6" w:rsidR="00EC68F1" w:rsidRPr="00147A02" w:rsidRDefault="00EC68F1" w:rsidP="00147A02">
      <w:pPr>
        <w:pStyle w:val="FootnoteText"/>
        <w:spacing w:after="120" w:line="240" w:lineRule="auto"/>
        <w:rPr>
          <w:rFonts w:ascii="Segoe UI" w:hAnsi="Segoe UI" w:cs="Segoe UI"/>
          <w:sz w:val="18"/>
          <w:szCs w:val="18"/>
        </w:rPr>
      </w:pPr>
      <w:r w:rsidRPr="00147A02">
        <w:rPr>
          <w:rStyle w:val="FootnoteReference"/>
          <w:rFonts w:ascii="Segoe UI" w:hAnsi="Segoe UI" w:cs="Segoe UI"/>
          <w:sz w:val="18"/>
          <w:szCs w:val="18"/>
        </w:rPr>
        <w:footnoteRef/>
      </w:r>
      <w:r w:rsidRPr="00147A02">
        <w:rPr>
          <w:rFonts w:ascii="Segoe UI" w:hAnsi="Segoe UI" w:cs="Segoe UI"/>
          <w:sz w:val="18"/>
          <w:szCs w:val="18"/>
        </w:rPr>
        <w:t xml:space="preserve"> </w:t>
      </w:r>
      <w:r>
        <w:rPr>
          <w:rFonts w:ascii="Segoe UI" w:hAnsi="Segoe UI" w:cs="Segoe UI"/>
          <w:sz w:val="18"/>
          <w:szCs w:val="18"/>
        </w:rPr>
        <w:t>Several</w:t>
      </w:r>
      <w:r w:rsidRPr="00147A02">
        <w:rPr>
          <w:rFonts w:ascii="Segoe UI" w:hAnsi="Segoe UI" w:cs="Segoe UI"/>
          <w:sz w:val="18"/>
          <w:szCs w:val="18"/>
        </w:rPr>
        <w:t xml:space="preserve"> IMF FAD </w:t>
      </w:r>
      <w:r>
        <w:rPr>
          <w:rFonts w:ascii="Segoe UI" w:hAnsi="Segoe UI" w:cs="Segoe UI"/>
          <w:sz w:val="18"/>
          <w:szCs w:val="18"/>
        </w:rPr>
        <w:t>capacity building</w:t>
      </w:r>
      <w:r w:rsidRPr="00147A02">
        <w:rPr>
          <w:rFonts w:ascii="Segoe UI" w:hAnsi="Segoe UI" w:cs="Segoe UI"/>
          <w:sz w:val="18"/>
          <w:szCs w:val="18"/>
        </w:rPr>
        <w:t xml:space="preserve"> mission</w:t>
      </w:r>
      <w:r>
        <w:rPr>
          <w:rFonts w:ascii="Segoe UI" w:hAnsi="Segoe UI" w:cs="Segoe UI"/>
          <w:sz w:val="18"/>
          <w:szCs w:val="18"/>
        </w:rPr>
        <w:t>s</w:t>
      </w:r>
      <w:r w:rsidRPr="00147A02">
        <w:rPr>
          <w:rFonts w:ascii="Segoe UI" w:hAnsi="Segoe UI" w:cs="Segoe UI"/>
          <w:sz w:val="18"/>
          <w:szCs w:val="18"/>
        </w:rPr>
        <w:t xml:space="preserve"> </w:t>
      </w:r>
      <w:r w:rsidRPr="00147A02">
        <w:rPr>
          <w:rFonts w:ascii="Segoe UI" w:hAnsi="Segoe UI" w:cs="Segoe UI"/>
          <w:sz w:val="18"/>
          <w:szCs w:val="18"/>
          <w:lang w:val="sr-Latn-ME"/>
        </w:rPr>
        <w:t>w</w:t>
      </w:r>
      <w:r>
        <w:rPr>
          <w:rFonts w:ascii="Segoe UI" w:hAnsi="Segoe UI" w:cs="Segoe UI"/>
          <w:sz w:val="18"/>
          <w:szCs w:val="18"/>
          <w:lang w:val="sr-Latn-ME"/>
        </w:rPr>
        <w:t xml:space="preserve">ere </w:t>
      </w:r>
      <w:r w:rsidRPr="00147A02">
        <w:rPr>
          <w:rFonts w:ascii="Segoe UI" w:hAnsi="Segoe UI" w:cs="Segoe UI"/>
          <w:sz w:val="18"/>
          <w:szCs w:val="18"/>
          <w:lang w:val="sr-Latn-ME"/>
        </w:rPr>
        <w:t>requested to assist the Tax and Customs Policy Unit</w:t>
      </w:r>
      <w:r>
        <w:rPr>
          <w:rFonts w:ascii="Segoe UI" w:hAnsi="Segoe UI" w:cs="Segoe UI"/>
          <w:sz w:val="18"/>
          <w:szCs w:val="18"/>
          <w:lang w:val="sr-Latn-ME"/>
        </w:rPr>
        <w:t xml:space="preserve"> to</w:t>
      </w:r>
      <w:r w:rsidRPr="00147A02">
        <w:rPr>
          <w:rFonts w:ascii="Segoe UI" w:hAnsi="Segoe UI" w:cs="Segoe UI"/>
          <w:sz w:val="18"/>
          <w:szCs w:val="18"/>
          <w:lang w:val="sr-Latn-ME"/>
        </w:rPr>
        <w:t xml:space="preserve"> complet</w:t>
      </w:r>
      <w:r>
        <w:rPr>
          <w:rFonts w:ascii="Segoe UI" w:hAnsi="Segoe UI" w:cs="Segoe UI"/>
          <w:sz w:val="18"/>
          <w:szCs w:val="18"/>
          <w:lang w:val="sr-Latn-ME"/>
        </w:rPr>
        <w:t>e</w:t>
      </w:r>
      <w:r w:rsidRPr="00147A02">
        <w:rPr>
          <w:rFonts w:ascii="Segoe UI" w:hAnsi="Segoe UI" w:cs="Segoe UI"/>
          <w:sz w:val="18"/>
          <w:szCs w:val="18"/>
          <w:lang w:val="sr-Latn-ME"/>
        </w:rPr>
        <w:t xml:space="preserve"> </w:t>
      </w:r>
      <w:r>
        <w:rPr>
          <w:rFonts w:ascii="Segoe UI" w:hAnsi="Segoe UI" w:cs="Segoe UI"/>
          <w:sz w:val="18"/>
          <w:szCs w:val="18"/>
          <w:lang w:val="sr-Latn-ME"/>
        </w:rPr>
        <w:t xml:space="preserve">the </w:t>
      </w:r>
      <w:r w:rsidRPr="00147A02">
        <w:rPr>
          <w:rFonts w:ascii="Segoe UI" w:hAnsi="Segoe UI" w:cs="Segoe UI"/>
          <w:sz w:val="18"/>
          <w:szCs w:val="18"/>
          <w:lang w:val="sr-Latn-ME"/>
        </w:rPr>
        <w:t>first TE</w:t>
      </w:r>
      <w:r>
        <w:rPr>
          <w:rFonts w:ascii="Segoe UI" w:hAnsi="Segoe UI" w:cs="Segoe UI"/>
          <w:sz w:val="18"/>
          <w:szCs w:val="18"/>
          <w:lang w:val="sr-Latn-ME"/>
        </w:rPr>
        <w:t>AR</w:t>
      </w:r>
      <w:r w:rsidRPr="00147A02">
        <w:rPr>
          <w:rFonts w:ascii="Segoe UI" w:hAnsi="Segoe UI" w:cs="Segoe UI"/>
          <w:sz w:val="18"/>
          <w:szCs w:val="18"/>
          <w:lang w:val="sr-Latn-ME"/>
        </w:rPr>
        <w:t xml:space="preserve"> and to help strenghten local technical capacities in this area.</w:t>
      </w:r>
    </w:p>
  </w:footnote>
  <w:footnote w:id="7">
    <w:p w14:paraId="7CD8431E" w14:textId="77777777" w:rsidR="00EC68F1" w:rsidRPr="00B82A64" w:rsidRDefault="00EC68F1" w:rsidP="00854256">
      <w:pPr>
        <w:pStyle w:val="FootnoteText"/>
        <w:spacing w:after="120" w:line="240" w:lineRule="auto"/>
        <w:rPr>
          <w:rFonts w:ascii="Segoe UI" w:hAnsi="Segoe UI" w:cs="Segoe UI"/>
          <w:sz w:val="18"/>
          <w:szCs w:val="18"/>
        </w:rPr>
      </w:pPr>
      <w:r w:rsidRPr="00B82A64">
        <w:rPr>
          <w:rStyle w:val="FootnoteReference"/>
          <w:rFonts w:ascii="Segoe UI" w:hAnsi="Segoe UI" w:cs="Segoe UI"/>
          <w:sz w:val="18"/>
          <w:szCs w:val="18"/>
        </w:rPr>
        <w:footnoteRef/>
      </w:r>
      <w:r w:rsidRPr="00B82A64">
        <w:rPr>
          <w:rFonts w:ascii="Segoe UI" w:hAnsi="Segoe UI" w:cs="Segoe UI"/>
          <w:sz w:val="18"/>
          <w:szCs w:val="18"/>
        </w:rPr>
        <w:t xml:space="preserve"> This first TEAR will only analyze TEs of the BIT, PIT and VAT systems. An analysis of TEs in other tax instruments will be developed over time.</w:t>
      </w:r>
    </w:p>
  </w:footnote>
  <w:footnote w:id="8">
    <w:p w14:paraId="1F521C08" w14:textId="11150B9C" w:rsidR="00EC68F1" w:rsidRPr="005438E8" w:rsidRDefault="00EC68F1" w:rsidP="00854256">
      <w:pPr>
        <w:spacing w:after="120" w:line="240" w:lineRule="auto"/>
        <w:rPr>
          <w:rFonts w:ascii="Segoe UI" w:eastAsia="Times New Roman"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This section </w:t>
      </w:r>
      <w:r>
        <w:rPr>
          <w:rFonts w:ascii="Segoe UI" w:hAnsi="Segoe UI" w:cs="Segoe UI"/>
          <w:sz w:val="18"/>
          <w:szCs w:val="18"/>
        </w:rPr>
        <w:t xml:space="preserve">builds on </w:t>
      </w:r>
      <w:r w:rsidRPr="005438E8">
        <w:rPr>
          <w:rFonts w:ascii="Segoe UI" w:eastAsia="Times New Roman" w:hAnsi="Segoe UI" w:cs="Segoe UI"/>
          <w:sz w:val="18"/>
          <w:szCs w:val="18"/>
        </w:rPr>
        <w:t xml:space="preserve">Heady, C. and Mansour, M., </w:t>
      </w:r>
      <w:r>
        <w:rPr>
          <w:rFonts w:ascii="Segoe UI" w:eastAsia="Times New Roman" w:hAnsi="Segoe UI" w:cs="Segoe UI"/>
          <w:sz w:val="18"/>
          <w:szCs w:val="18"/>
        </w:rPr>
        <w:t>(</w:t>
      </w:r>
      <w:r w:rsidRPr="005438E8">
        <w:rPr>
          <w:rFonts w:ascii="Segoe UI" w:eastAsia="Times New Roman" w:hAnsi="Segoe UI" w:cs="Segoe UI"/>
          <w:sz w:val="18"/>
          <w:szCs w:val="18"/>
        </w:rPr>
        <w:t>2019</w:t>
      </w:r>
      <w:r>
        <w:rPr>
          <w:rFonts w:ascii="Segoe UI" w:eastAsia="Times New Roman" w:hAnsi="Segoe UI" w:cs="Segoe UI"/>
          <w:sz w:val="18"/>
          <w:szCs w:val="18"/>
        </w:rPr>
        <w:t>).</w:t>
      </w:r>
    </w:p>
  </w:footnote>
  <w:footnote w:id="9">
    <w:p w14:paraId="2C0A13BB" w14:textId="77777777" w:rsidR="00EC68F1" w:rsidRPr="00E65155" w:rsidRDefault="00EC68F1" w:rsidP="00E46FD5">
      <w:pPr>
        <w:pStyle w:val="FootnoteText"/>
        <w:spacing w:after="120" w:line="240" w:lineRule="auto"/>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A comprehensive income tax is defined by a rate schedule that applies to an individual’s income from all sources (that is, wages, capital income and capital gains, rental income, business income, gifts, inheritances, and so on).</w:t>
      </w:r>
    </w:p>
  </w:footnote>
  <w:footnote w:id="10">
    <w:p w14:paraId="19A3C8F3" w14:textId="77777777" w:rsidR="00EC68F1" w:rsidRPr="005438E8" w:rsidRDefault="00EC68F1" w:rsidP="00E46FD5">
      <w:pPr>
        <w:pStyle w:val="FootnoteText"/>
        <w:spacing w:after="120" w:line="240" w:lineRule="auto"/>
        <w:rPr>
          <w:rFonts w:ascii="Segoe UI"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Note that when businesses in the middle of supply chains are exempt from VAT it can mean higher total VAT revenue liability further along the supply chain. A negative tax expenditure can result, because VAT on purchases of exempt items cannot generally end up as an input tax credit.</w:t>
      </w:r>
    </w:p>
  </w:footnote>
  <w:footnote w:id="11">
    <w:p w14:paraId="3B60C7DA" w14:textId="77777777" w:rsidR="00EC68F1" w:rsidRPr="00BC7160" w:rsidRDefault="00EC68F1" w:rsidP="00F77F6D">
      <w:pPr>
        <w:pStyle w:val="FootnoteText"/>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This is not a persuasive argument: high-income households end up reaping most of the benefits of such policies, because they consume more (in absolute terms) than low-income households.</w:t>
      </w:r>
      <w:r>
        <w:t xml:space="preserve"> </w:t>
      </w:r>
    </w:p>
  </w:footnote>
  <w:footnote w:id="12">
    <w:p w14:paraId="0ADFCB2B" w14:textId="77777777" w:rsidR="00EC68F1" w:rsidRPr="005438E8" w:rsidRDefault="00EC68F1" w:rsidP="00F77F6D">
      <w:pPr>
        <w:pStyle w:val="FootnoteText"/>
        <w:rPr>
          <w:rFonts w:ascii="Segoe UI" w:hAnsi="Segoe UI" w:cs="Segoe UI"/>
          <w:sz w:val="18"/>
          <w:szCs w:val="18"/>
        </w:rPr>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In practice, no country has a true comprehensive income tax, in that some incomes are exempt or taxed at lower rates than the normal schedule. The guidance here takes a pragmatic approach and defines the benchmark relative to what a PIT most closely resembles, or what it is intended to do as a policy objective. </w:t>
      </w:r>
    </w:p>
  </w:footnote>
  <w:footnote w:id="13">
    <w:p w14:paraId="51D79274" w14:textId="6252F917" w:rsidR="00EC68F1" w:rsidRPr="00E5565E" w:rsidRDefault="00EC68F1" w:rsidP="00E5565E">
      <w:pPr>
        <w:pStyle w:val="FootnoteText"/>
        <w:spacing w:after="120" w:line="240" w:lineRule="auto"/>
        <w:rPr>
          <w:rFonts w:ascii="Segoe UI" w:hAnsi="Segoe UI" w:cs="Segoe UI"/>
          <w:sz w:val="18"/>
          <w:szCs w:val="18"/>
        </w:rPr>
      </w:pPr>
      <w:r w:rsidRPr="00E5565E">
        <w:rPr>
          <w:rStyle w:val="FootnoteReference"/>
          <w:rFonts w:ascii="Segoe UI" w:hAnsi="Segoe UI" w:cs="Segoe UI"/>
          <w:sz w:val="18"/>
          <w:szCs w:val="18"/>
        </w:rPr>
        <w:footnoteRef/>
      </w:r>
      <w:r w:rsidRPr="00E5565E">
        <w:rPr>
          <w:rFonts w:ascii="Segoe UI" w:hAnsi="Segoe UI" w:cs="Segoe UI"/>
          <w:sz w:val="18"/>
          <w:szCs w:val="18"/>
        </w:rPr>
        <w:t xml:space="preserve"> If corporations are taxed in less standard ways—for example, through a cash-flow tax or if the CIT has an allowance for corporate equity, the issues above are handled differently. For instance, total expensing of capital input would be part of the benchmark under a cash-flow tax, and not a TE providing a timing advantage. The deduction for equity under an allowance for corporate equity would also be part of the benchmark, and not a TE for equity financing.</w:t>
      </w:r>
    </w:p>
  </w:footnote>
  <w:footnote w:id="14">
    <w:p w14:paraId="4681E359" w14:textId="77777777" w:rsidR="00EC68F1" w:rsidRPr="00786DB6" w:rsidRDefault="00EC68F1" w:rsidP="00F77F6D">
      <w:pPr>
        <w:pStyle w:val="FootnoteText"/>
      </w:pPr>
      <w:r w:rsidRPr="005438E8">
        <w:rPr>
          <w:rStyle w:val="FootnoteReference"/>
          <w:rFonts w:ascii="Segoe UI" w:hAnsi="Segoe UI" w:cs="Segoe UI"/>
          <w:sz w:val="18"/>
          <w:szCs w:val="18"/>
        </w:rPr>
        <w:footnoteRef/>
      </w:r>
      <w:r w:rsidRPr="005438E8">
        <w:rPr>
          <w:rFonts w:ascii="Segoe UI" w:hAnsi="Segoe UI" w:cs="Segoe UI"/>
          <w:sz w:val="18"/>
          <w:szCs w:val="18"/>
        </w:rPr>
        <w:t xml:space="preserve"> Most high-income countries, and increasingly other countries, are introducing rules to limit interest expenses (i.e., thin capitalization rules) and other costs, such as management and service fees, particularly when such costs accrue to nonresident parties related to the payers.</w:t>
      </w:r>
      <w:r w:rsidRPr="005438E8">
        <w:rPr>
          <w:sz w:val="18"/>
          <w:szCs w:val="18"/>
        </w:rPr>
        <w:t xml:space="preserve">   </w:t>
      </w:r>
    </w:p>
  </w:footnote>
  <w:footnote w:id="15">
    <w:p w14:paraId="375BC4D8" w14:textId="3E00813C" w:rsidR="00EC68F1" w:rsidRDefault="00EC68F1">
      <w:pPr>
        <w:pStyle w:val="FootnoteText"/>
      </w:pPr>
      <w:r>
        <w:rPr>
          <w:rStyle w:val="FootnoteReference"/>
        </w:rPr>
        <w:footnoteRef/>
      </w:r>
      <w:r>
        <w:t xml:space="preserve"> </w:t>
      </w:r>
      <w:r w:rsidRPr="00ED15E6">
        <w:rPr>
          <w:rFonts w:ascii="Segoe UI" w:hAnsi="Segoe UI" w:cs="Segoe UI"/>
          <w:sz w:val="18"/>
          <w:szCs w:val="18"/>
        </w:rPr>
        <w:t xml:space="preserve">The </w:t>
      </w:r>
      <w:r w:rsidRPr="00ED15E6">
        <w:rPr>
          <w:rFonts w:ascii="Segoe UI" w:hAnsi="Segoe UI" w:cs="Segoe UI"/>
          <w:bCs/>
          <w:sz w:val="18"/>
          <w:szCs w:val="18"/>
        </w:rPr>
        <w:t xml:space="preserve">design characteristics of a revenue-productive and neutral VAT include </w:t>
      </w:r>
      <w:r w:rsidRPr="00ED15E6">
        <w:rPr>
          <w:rFonts w:ascii="Segoe UI" w:hAnsi="Segoe UI" w:cs="Segoe UI"/>
          <w:sz w:val="18"/>
          <w:szCs w:val="18"/>
        </w:rPr>
        <w:t>a comprehensive base that includes in principle all goods and services; using only a few and well-targeted exemptions; adopting a single positive rate; imposing no tax burden on capital goods and other business inputs; providing for an adequate threshold to exclude small and micro businesses; and maintaining effective credit and expeditious refund procedures to deal with excess net credits.</w:t>
      </w:r>
    </w:p>
  </w:footnote>
  <w:footnote w:id="16">
    <w:p w14:paraId="741DF698" w14:textId="77777777" w:rsidR="00EC68F1" w:rsidRPr="00065DC7" w:rsidRDefault="00EC68F1" w:rsidP="00F77F6D">
      <w:pPr>
        <w:pStyle w:val="FootnoteText"/>
        <w:rPr>
          <w:rFonts w:ascii="Segoe UI" w:hAnsi="Segoe UI" w:cs="Segoe UI"/>
          <w:sz w:val="18"/>
          <w:szCs w:val="18"/>
        </w:rPr>
      </w:pPr>
      <w:r w:rsidRPr="009429AE">
        <w:rPr>
          <w:rStyle w:val="FootnoteReference"/>
          <w:rFonts w:ascii="Segoe UI" w:hAnsi="Segoe UI" w:cs="Segoe UI"/>
          <w:sz w:val="18"/>
          <w:szCs w:val="18"/>
        </w:rPr>
        <w:footnoteRef/>
      </w:r>
      <w:r w:rsidRPr="009429AE">
        <w:rPr>
          <w:rFonts w:ascii="Segoe UI" w:hAnsi="Segoe UI" w:cs="Segoe UI"/>
          <w:sz w:val="18"/>
          <w:szCs w:val="18"/>
        </w:rPr>
        <w:t xml:space="preserve"> </w:t>
      </w:r>
      <w:r w:rsidRPr="00065DC7">
        <w:rPr>
          <w:rFonts w:ascii="Segoe UI" w:hAnsi="Segoe UI" w:cs="Segoe UI"/>
          <w:sz w:val="18"/>
          <w:szCs w:val="18"/>
        </w:rPr>
        <w:t>Countries who have adopted such modern broad-based VAT regimes are New Zealand, Australia, Singapore, and South Africa.</w:t>
      </w:r>
    </w:p>
  </w:footnote>
  <w:footnote w:id="17">
    <w:p w14:paraId="3C8A1623" w14:textId="77777777" w:rsidR="00EC68F1" w:rsidRPr="00566CDA" w:rsidRDefault="00EC68F1" w:rsidP="00F77F6D">
      <w:pPr>
        <w:pStyle w:val="FootnoteText"/>
        <w:rPr>
          <w:sz w:val="17"/>
          <w:szCs w:val="17"/>
        </w:rPr>
      </w:pPr>
      <w:r w:rsidRPr="00065DC7">
        <w:rPr>
          <w:rStyle w:val="FootnoteReference"/>
          <w:rFonts w:ascii="Segoe UI" w:hAnsi="Segoe UI" w:cs="Segoe UI"/>
          <w:sz w:val="18"/>
          <w:szCs w:val="18"/>
        </w:rPr>
        <w:footnoteRef/>
      </w:r>
      <w:r w:rsidRPr="00065DC7">
        <w:rPr>
          <w:rFonts w:ascii="Segoe UI" w:hAnsi="Segoe UI" w:cs="Segoe UI"/>
          <w:sz w:val="18"/>
          <w:szCs w:val="18"/>
        </w:rPr>
        <w:t xml:space="preserve"> A better option to provide tax relief to the poor is to have a few exemptions that are well-targeted at consumption items that are predominantly consumed by poor households.</w:t>
      </w:r>
    </w:p>
  </w:footnote>
  <w:footnote w:id="18">
    <w:p w14:paraId="036728DA" w14:textId="240E487A" w:rsidR="00EC68F1" w:rsidRPr="00BE0F40" w:rsidRDefault="00EC68F1" w:rsidP="00BE0F40">
      <w:pPr>
        <w:pStyle w:val="ParagraphNumbering"/>
        <w:numPr>
          <w:ilvl w:val="0"/>
          <w:numId w:val="0"/>
        </w:numPr>
        <w:tabs>
          <w:tab w:val="left" w:pos="720"/>
        </w:tabs>
        <w:spacing w:after="120" w:line="240" w:lineRule="auto"/>
        <w:rPr>
          <w:sz w:val="18"/>
          <w:szCs w:val="18"/>
        </w:rPr>
      </w:pPr>
      <w:r w:rsidRPr="00791030">
        <w:rPr>
          <w:rStyle w:val="FootnoteReference"/>
          <w:rFonts w:ascii="Segoe UI" w:hAnsi="Segoe UI" w:cs="Segoe UI"/>
          <w:sz w:val="18"/>
          <w:szCs w:val="18"/>
        </w:rPr>
        <w:footnoteRef/>
      </w:r>
      <w:r w:rsidRPr="00791030">
        <w:rPr>
          <w:rFonts w:ascii="Segoe UI" w:hAnsi="Segoe UI" w:cs="Segoe UI"/>
          <w:sz w:val="18"/>
          <w:szCs w:val="18"/>
        </w:rPr>
        <w:t xml:space="preserve"> </w:t>
      </w:r>
      <w:r w:rsidRPr="00791030">
        <w:rPr>
          <w:rFonts w:ascii="Segoe UI" w:hAnsi="Segoe UI" w:cs="Segoe UI"/>
          <w:bCs/>
          <w:sz w:val="18"/>
          <w:szCs w:val="18"/>
        </w:rPr>
        <w:t xml:space="preserve">Some modern VATs address the difficulty of taxing financial services under a VAT by taxing all fee-based financial services and limit the exemption to margin fees. Examples of services thus captured include: currency exchange </w:t>
      </w:r>
      <w:r w:rsidRPr="00BE0F40">
        <w:rPr>
          <w:rFonts w:ascii="Segoe UI" w:hAnsi="Segoe UI" w:cs="Segoe UI"/>
          <w:bCs/>
          <w:sz w:val="18"/>
          <w:szCs w:val="18"/>
        </w:rPr>
        <w:t>transactions; transactions involving checks, letters of credit, debt, equity or participatory securities; and some credit transactions. In support of this approach a government may work with institutions in the financial sector to develop lists of taxable, exempt</w:t>
      </w:r>
      <w:r>
        <w:rPr>
          <w:rFonts w:ascii="Segoe UI" w:hAnsi="Segoe UI" w:cs="Segoe UI"/>
          <w:bCs/>
          <w:sz w:val="18"/>
          <w:szCs w:val="18"/>
        </w:rPr>
        <w:t>,</w:t>
      </w:r>
      <w:r w:rsidRPr="00BE0F40">
        <w:rPr>
          <w:rFonts w:ascii="Segoe UI" w:hAnsi="Segoe UI" w:cs="Segoe UI"/>
          <w:bCs/>
          <w:sz w:val="18"/>
          <w:szCs w:val="18"/>
        </w:rPr>
        <w:t xml:space="preserve"> and zero-rated services rendered by banks. This way a country may raise more VAT revenue from financial services than the traditional EU exemption approach, although it necessitates apportioning input tax credits. Hiving off fee-based financial services into a separate entity may ease the compliance burden in this respect. New Zealand, on the other hand, zero-rates financial services supplied to VAT-registered entities and exempts such services when supplied to consumers and non-registered entities. However, this approach is likely to be too complex for most tax administrations.  Similar problems arise with respect to insurance companies. Value added of insurance companies is defined as the difference between premiums collected and benefits and claims paid out. Most modern VATs tax insurance companies on their value added or net margin by imposing VAT on all premiums and allowing input tax credits for claims paid out, while exempting life insurance which embodies a considerable savings element. A number of African countries have adopted the New Zealand approach to taxing property and casualty insurance. For similar reasons, reinsurance does not have to be exempted. However, an exemption from the VAT might be made for health-related and life insurance.</w:t>
      </w:r>
    </w:p>
  </w:footnote>
  <w:footnote w:id="19">
    <w:p w14:paraId="2796D73D" w14:textId="77777777" w:rsidR="00EC68F1" w:rsidRPr="009801E1" w:rsidRDefault="00EC68F1" w:rsidP="009801E1">
      <w:pPr>
        <w:spacing w:after="120" w:line="240" w:lineRule="auto"/>
        <w:rPr>
          <w:rFonts w:ascii="Segoe UI" w:hAnsi="Segoe UI" w:cs="Segoe UI"/>
          <w:sz w:val="18"/>
          <w:szCs w:val="18"/>
        </w:rPr>
      </w:pPr>
      <w:r w:rsidRPr="009801E1">
        <w:rPr>
          <w:rStyle w:val="FootnoteReference"/>
          <w:rFonts w:ascii="Segoe UI" w:hAnsi="Segoe UI" w:cs="Segoe UI"/>
          <w:sz w:val="18"/>
          <w:szCs w:val="18"/>
        </w:rPr>
        <w:footnoteRef/>
      </w:r>
      <w:r w:rsidRPr="009801E1">
        <w:rPr>
          <w:rFonts w:ascii="Segoe UI" w:hAnsi="Segoe UI" w:cs="Segoe UI"/>
          <w:sz w:val="18"/>
          <w:szCs w:val="18"/>
        </w:rPr>
        <w:t xml:space="preserve"> NGO activities may include religious or philosophical institutions; organizations with aims of a political, trade-union, religious, patriotic, philosophical, philanthropic, or civic nature; and cultural services.</w:t>
      </w:r>
    </w:p>
  </w:footnote>
  <w:footnote w:id="20">
    <w:p w14:paraId="61BE71A1" w14:textId="79BF406A" w:rsidR="00EC68F1" w:rsidRPr="00C95FA5" w:rsidRDefault="00EC68F1" w:rsidP="00C95FA5">
      <w:pPr>
        <w:spacing w:after="120" w:line="240" w:lineRule="auto"/>
        <w:rPr>
          <w:rFonts w:ascii="Segoe UI" w:hAnsi="Segoe UI" w:cs="Segoe UI"/>
          <w:sz w:val="18"/>
          <w:szCs w:val="18"/>
          <w:lang w:val="en"/>
        </w:rPr>
      </w:pPr>
      <w:r w:rsidRPr="00C95FA5">
        <w:rPr>
          <w:rFonts w:ascii="Segoe UI" w:hAnsi="Segoe UI" w:cs="Segoe UI"/>
          <w:sz w:val="18"/>
          <w:szCs w:val="18"/>
          <w:vertAlign w:val="superscript"/>
        </w:rPr>
        <w:footnoteRef/>
      </w:r>
      <w:r w:rsidRPr="00C95FA5">
        <w:rPr>
          <w:rFonts w:ascii="Segoe UI" w:hAnsi="Segoe UI" w:cs="Segoe UI"/>
          <w:sz w:val="18"/>
          <w:szCs w:val="18"/>
        </w:rPr>
        <w:t xml:space="preserve"> Since the supply matrix is diagonal — i.e.</w:t>
      </w:r>
      <w:r>
        <w:rPr>
          <w:rFonts w:ascii="Segoe UI" w:hAnsi="Segoe UI" w:cs="Segoe UI"/>
          <w:sz w:val="18"/>
          <w:szCs w:val="18"/>
        </w:rPr>
        <w:t>,</w:t>
      </w:r>
      <w:r w:rsidRPr="00C95FA5">
        <w:rPr>
          <w:rFonts w:ascii="Segoe UI" w:hAnsi="Segoe UI" w:cs="Segoe UI"/>
          <w:sz w:val="18"/>
          <w:szCs w:val="18"/>
        </w:rPr>
        <w:t xml:space="preserve"> each industry produces only one commodity — this is equivalent to copying the shares of each commodity that is exempt and transposing it into activity space. </w:t>
      </w:r>
    </w:p>
  </w:footnote>
  <w:footnote w:id="21">
    <w:p w14:paraId="621A1423" w14:textId="77777777" w:rsidR="00EC68F1" w:rsidRPr="00C95FA5" w:rsidRDefault="00EC68F1" w:rsidP="00C95FA5">
      <w:pPr>
        <w:spacing w:after="120" w:line="240" w:lineRule="auto"/>
        <w:rPr>
          <w:rFonts w:ascii="Segoe UI" w:hAnsi="Segoe UI" w:cs="Segoe UI"/>
          <w:sz w:val="18"/>
          <w:szCs w:val="18"/>
        </w:rPr>
      </w:pPr>
      <w:r w:rsidRPr="00C95FA5">
        <w:rPr>
          <w:rFonts w:ascii="Segoe UI" w:hAnsi="Segoe UI" w:cs="Segoe UI"/>
          <w:sz w:val="18"/>
          <w:szCs w:val="18"/>
          <w:vertAlign w:val="superscript"/>
        </w:rPr>
        <w:footnoteRef/>
      </w:r>
      <w:r w:rsidRPr="00C95FA5">
        <w:rPr>
          <w:rFonts w:ascii="Segoe UI" w:hAnsi="Segoe UI" w:cs="Segoe UI"/>
          <w:sz w:val="18"/>
          <w:szCs w:val="18"/>
        </w:rPr>
        <w:t xml:space="preserve"> It may seem counterintuitive to use the commodity’s taxable share rather than the exempt share, but it is the taxable share because it is on taxable intermediate inputs that tax is paid when producing an exempt commodity. There are no tax revenues from exempt or zero-rated intermediate inputs used in the production of exempt commodities as no direct tax is paid and so the deductibility of input tax credits is irrelevant. This is an example of interaction effects in VAT tax expenditures. When more intermediate inputs into an exempt commodity are made exempt, less tax revenue is recovered through unrecoverable embedded VAT and the closer that commodity becomes to being effectively zero-rated.</w:t>
      </w:r>
    </w:p>
  </w:footnote>
  <w:footnote w:id="22">
    <w:p w14:paraId="16F1209F" w14:textId="3E9DA3F3" w:rsidR="00EC68F1" w:rsidRDefault="00EC68F1">
      <w:pPr>
        <w:pStyle w:val="FootnoteText"/>
      </w:pPr>
      <w:r>
        <w:rPr>
          <w:rStyle w:val="FootnoteReference"/>
        </w:rPr>
        <w:footnoteRef/>
      </w:r>
      <w:r w:rsidRPr="00F7324F">
        <w:rPr>
          <w:rFonts w:ascii="Segoe UI" w:hAnsi="Segoe UI" w:cs="Segoe UI"/>
          <w:sz w:val="18"/>
          <w:szCs w:val="18"/>
        </w:rPr>
        <w:t xml:space="preserve"> </w:t>
      </w:r>
      <w:r>
        <w:rPr>
          <w:rFonts w:ascii="Segoe UI" w:hAnsi="Segoe UI" w:cs="Segoe UI"/>
          <w:sz w:val="18"/>
          <w:szCs w:val="18"/>
        </w:rPr>
        <w:t xml:space="preserve">i.e. the </w:t>
      </w:r>
      <w:r w:rsidRPr="00F7324F">
        <w:rPr>
          <w:rFonts w:ascii="Segoe UI" w:hAnsi="Segoe UI" w:cs="Segoe UI"/>
          <w:sz w:val="18"/>
          <w:szCs w:val="18"/>
        </w:rPr>
        <w:t>right of ownership over the constructed building or plantation located on another person's land and right of use over that 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4192" w14:textId="77777777" w:rsidR="00EC68F1" w:rsidRDefault="00EC68F1" w:rsidP="005F722E">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AFD4" w14:textId="77777777" w:rsidR="00EC68F1" w:rsidRDefault="00EC68F1" w:rsidP="005F722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1391875"/>
    <w:multiLevelType w:val="hybridMultilevel"/>
    <w:tmpl w:val="EFC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97A73"/>
    <w:multiLevelType w:val="hybridMultilevel"/>
    <w:tmpl w:val="BB680A4A"/>
    <w:lvl w:ilvl="0" w:tplc="97FE8506">
      <w:start w:val="2022"/>
      <w:numFmt w:val="bullet"/>
      <w:lvlText w:val="-"/>
      <w:lvlJc w:val="left"/>
      <w:pPr>
        <w:ind w:left="720" w:hanging="360"/>
      </w:pPr>
      <w:rPr>
        <w:rFonts w:ascii="Segoe UI" w:eastAsiaTheme="minorHAns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A642F"/>
    <w:multiLevelType w:val="hybridMultilevel"/>
    <w:tmpl w:val="3696A1AE"/>
    <w:lvl w:ilvl="0" w:tplc="5E94C1A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482E97"/>
    <w:multiLevelType w:val="multilevel"/>
    <w:tmpl w:val="1C0078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BFF3C5E"/>
    <w:multiLevelType w:val="hybridMultilevel"/>
    <w:tmpl w:val="4CBC2D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2" w15:restartNumberingAfterBreak="0">
    <w:nsid w:val="280508C6"/>
    <w:multiLevelType w:val="hybridMultilevel"/>
    <w:tmpl w:val="B2EEE054"/>
    <w:lvl w:ilvl="0" w:tplc="A3A6A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1607F"/>
    <w:multiLevelType w:val="hybridMultilevel"/>
    <w:tmpl w:val="7FC8AFA0"/>
    <w:lvl w:ilvl="0" w:tplc="618CD150">
      <w:start w:val="1"/>
      <w:numFmt w:val="bullet"/>
      <w:lvlText w:val=""/>
      <w:lvlJc w:val="left"/>
      <w:pPr>
        <w:ind w:left="720" w:hanging="360"/>
      </w:pPr>
      <w:rPr>
        <w:rFonts w:ascii="Symbol" w:hAnsi="Symbol" w:hint="default"/>
        <w:color w:val="004C97"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15708"/>
    <w:multiLevelType w:val="hybridMultilevel"/>
    <w:tmpl w:val="38BE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26C5B"/>
    <w:multiLevelType w:val="hybridMultilevel"/>
    <w:tmpl w:val="559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52275"/>
    <w:multiLevelType w:val="hybridMultilevel"/>
    <w:tmpl w:val="40F2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8DC3805"/>
    <w:multiLevelType w:val="hybridMultilevel"/>
    <w:tmpl w:val="CB9CBD70"/>
    <w:lvl w:ilvl="0" w:tplc="761ED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A7077"/>
    <w:multiLevelType w:val="hybridMultilevel"/>
    <w:tmpl w:val="8A2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7670A"/>
    <w:multiLevelType w:val="hybridMultilevel"/>
    <w:tmpl w:val="621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D0840"/>
    <w:multiLevelType w:val="hybridMultilevel"/>
    <w:tmpl w:val="BF4655BE"/>
    <w:lvl w:ilvl="0" w:tplc="4CDC0088">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01268"/>
    <w:multiLevelType w:val="hybridMultilevel"/>
    <w:tmpl w:val="9CC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76B2A"/>
    <w:multiLevelType w:val="hybridMultilevel"/>
    <w:tmpl w:val="74FA170A"/>
    <w:lvl w:ilvl="0" w:tplc="0D6A1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1"/>
  </w:num>
  <w:num w:numId="8">
    <w:abstractNumId w:val="17"/>
  </w:num>
  <w:num w:numId="9">
    <w:abstractNumId w:val="10"/>
  </w:num>
  <w:num w:numId="10">
    <w:abstractNumId w:val="6"/>
  </w:num>
  <w:num w:numId="11">
    <w:abstractNumId w:val="12"/>
  </w:num>
  <w:num w:numId="12">
    <w:abstractNumId w:val="7"/>
  </w:num>
  <w:num w:numId="13">
    <w:abstractNumId w:val="13"/>
  </w:num>
  <w:num w:numId="14">
    <w:abstractNumId w:val="18"/>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14"/>
  </w:num>
  <w:num w:numId="20">
    <w:abstractNumId w:val="19"/>
  </w:num>
  <w:num w:numId="21">
    <w:abstractNumId w:val="15"/>
  </w:num>
  <w:num w:numId="22">
    <w:abstractNumId w:val="22"/>
  </w:num>
  <w:num w:numId="23">
    <w:abstractNumId w:val="5"/>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6D"/>
    <w:rsid w:val="00010394"/>
    <w:rsid w:val="00030853"/>
    <w:rsid w:val="000338E8"/>
    <w:rsid w:val="00033B5A"/>
    <w:rsid w:val="00034065"/>
    <w:rsid w:val="000340B7"/>
    <w:rsid w:val="00036039"/>
    <w:rsid w:val="00040154"/>
    <w:rsid w:val="0004545B"/>
    <w:rsid w:val="00050C34"/>
    <w:rsid w:val="000529D9"/>
    <w:rsid w:val="000563DB"/>
    <w:rsid w:val="000641DC"/>
    <w:rsid w:val="00066F6B"/>
    <w:rsid w:val="00070765"/>
    <w:rsid w:val="00072652"/>
    <w:rsid w:val="00072C6F"/>
    <w:rsid w:val="000762A3"/>
    <w:rsid w:val="000767C1"/>
    <w:rsid w:val="000974F8"/>
    <w:rsid w:val="00097E71"/>
    <w:rsid w:val="000A0DF7"/>
    <w:rsid w:val="000A10AB"/>
    <w:rsid w:val="000A1AEE"/>
    <w:rsid w:val="000A7DB8"/>
    <w:rsid w:val="000B0616"/>
    <w:rsid w:val="000B624E"/>
    <w:rsid w:val="000B7010"/>
    <w:rsid w:val="000C2B1D"/>
    <w:rsid w:val="000D1D07"/>
    <w:rsid w:val="000D3DA6"/>
    <w:rsid w:val="000D76BF"/>
    <w:rsid w:val="000E1C00"/>
    <w:rsid w:val="000E3464"/>
    <w:rsid w:val="000E3DA4"/>
    <w:rsid w:val="000F0693"/>
    <w:rsid w:val="000F4F88"/>
    <w:rsid w:val="000F5251"/>
    <w:rsid w:val="0010217E"/>
    <w:rsid w:val="00106CC5"/>
    <w:rsid w:val="00114F9E"/>
    <w:rsid w:val="00115168"/>
    <w:rsid w:val="001151C3"/>
    <w:rsid w:val="00116877"/>
    <w:rsid w:val="00124800"/>
    <w:rsid w:val="001413B7"/>
    <w:rsid w:val="0014369C"/>
    <w:rsid w:val="00143801"/>
    <w:rsid w:val="00143B57"/>
    <w:rsid w:val="00147A02"/>
    <w:rsid w:val="00156AA4"/>
    <w:rsid w:val="00163013"/>
    <w:rsid w:val="00170414"/>
    <w:rsid w:val="00172462"/>
    <w:rsid w:val="001761FA"/>
    <w:rsid w:val="00180026"/>
    <w:rsid w:val="00185884"/>
    <w:rsid w:val="00187C54"/>
    <w:rsid w:val="001907CF"/>
    <w:rsid w:val="00193488"/>
    <w:rsid w:val="0019525F"/>
    <w:rsid w:val="00195454"/>
    <w:rsid w:val="00195FF6"/>
    <w:rsid w:val="00197C0F"/>
    <w:rsid w:val="001A1FA3"/>
    <w:rsid w:val="001A5D10"/>
    <w:rsid w:val="001A66E8"/>
    <w:rsid w:val="001A77EF"/>
    <w:rsid w:val="001B0F55"/>
    <w:rsid w:val="001B1642"/>
    <w:rsid w:val="001B5EC4"/>
    <w:rsid w:val="001C27C2"/>
    <w:rsid w:val="001C5875"/>
    <w:rsid w:val="001C72C9"/>
    <w:rsid w:val="001D081E"/>
    <w:rsid w:val="001D20E0"/>
    <w:rsid w:val="001D25BF"/>
    <w:rsid w:val="001D4420"/>
    <w:rsid w:val="001E4514"/>
    <w:rsid w:val="001F0EFE"/>
    <w:rsid w:val="001F216A"/>
    <w:rsid w:val="001F4151"/>
    <w:rsid w:val="001F497F"/>
    <w:rsid w:val="001F4FD0"/>
    <w:rsid w:val="00206468"/>
    <w:rsid w:val="00206C5F"/>
    <w:rsid w:val="00207143"/>
    <w:rsid w:val="00212C07"/>
    <w:rsid w:val="00215014"/>
    <w:rsid w:val="00215F5D"/>
    <w:rsid w:val="00216270"/>
    <w:rsid w:val="00225306"/>
    <w:rsid w:val="00232FB2"/>
    <w:rsid w:val="002344C6"/>
    <w:rsid w:val="002446E3"/>
    <w:rsid w:val="0024524D"/>
    <w:rsid w:val="0025139F"/>
    <w:rsid w:val="00267EEA"/>
    <w:rsid w:val="002736DA"/>
    <w:rsid w:val="0027462A"/>
    <w:rsid w:val="00274C60"/>
    <w:rsid w:val="00280E00"/>
    <w:rsid w:val="00281151"/>
    <w:rsid w:val="00296AD3"/>
    <w:rsid w:val="002A0E10"/>
    <w:rsid w:val="002A77A9"/>
    <w:rsid w:val="002B262A"/>
    <w:rsid w:val="002B30CF"/>
    <w:rsid w:val="002D18AE"/>
    <w:rsid w:val="002D316D"/>
    <w:rsid w:val="002D3E9B"/>
    <w:rsid w:val="002E0045"/>
    <w:rsid w:val="002E05E5"/>
    <w:rsid w:val="002E0D97"/>
    <w:rsid w:val="002F1018"/>
    <w:rsid w:val="002F2301"/>
    <w:rsid w:val="002F24B2"/>
    <w:rsid w:val="002F3418"/>
    <w:rsid w:val="00300B67"/>
    <w:rsid w:val="0030449E"/>
    <w:rsid w:val="00306396"/>
    <w:rsid w:val="00312185"/>
    <w:rsid w:val="0031265F"/>
    <w:rsid w:val="00312BF3"/>
    <w:rsid w:val="00321726"/>
    <w:rsid w:val="00325E95"/>
    <w:rsid w:val="00330AAE"/>
    <w:rsid w:val="00331756"/>
    <w:rsid w:val="0033521C"/>
    <w:rsid w:val="00340BDF"/>
    <w:rsid w:val="0034275F"/>
    <w:rsid w:val="003444B6"/>
    <w:rsid w:val="00352FDA"/>
    <w:rsid w:val="003675E2"/>
    <w:rsid w:val="003712A7"/>
    <w:rsid w:val="00372EE6"/>
    <w:rsid w:val="00373696"/>
    <w:rsid w:val="00377BF5"/>
    <w:rsid w:val="00382BDA"/>
    <w:rsid w:val="00382DA8"/>
    <w:rsid w:val="00390F53"/>
    <w:rsid w:val="00393E59"/>
    <w:rsid w:val="00396A9A"/>
    <w:rsid w:val="00397404"/>
    <w:rsid w:val="003A27BD"/>
    <w:rsid w:val="003A3FFD"/>
    <w:rsid w:val="003B094E"/>
    <w:rsid w:val="003B5101"/>
    <w:rsid w:val="003C5BF0"/>
    <w:rsid w:val="003D14AD"/>
    <w:rsid w:val="003D2443"/>
    <w:rsid w:val="003D2B61"/>
    <w:rsid w:val="003D48FC"/>
    <w:rsid w:val="003E53F1"/>
    <w:rsid w:val="003E64CC"/>
    <w:rsid w:val="003F1281"/>
    <w:rsid w:val="003F3881"/>
    <w:rsid w:val="003F53FA"/>
    <w:rsid w:val="0040251A"/>
    <w:rsid w:val="00411708"/>
    <w:rsid w:val="00416A8A"/>
    <w:rsid w:val="00416DA2"/>
    <w:rsid w:val="00420468"/>
    <w:rsid w:val="004224B7"/>
    <w:rsid w:val="004259B7"/>
    <w:rsid w:val="00427EB9"/>
    <w:rsid w:val="004345AD"/>
    <w:rsid w:val="00436B6A"/>
    <w:rsid w:val="00451C7E"/>
    <w:rsid w:val="00451CD8"/>
    <w:rsid w:val="00462E56"/>
    <w:rsid w:val="00466661"/>
    <w:rsid w:val="00467703"/>
    <w:rsid w:val="0047738F"/>
    <w:rsid w:val="00482047"/>
    <w:rsid w:val="00491201"/>
    <w:rsid w:val="00491E1C"/>
    <w:rsid w:val="00495C61"/>
    <w:rsid w:val="00497C21"/>
    <w:rsid w:val="004A3453"/>
    <w:rsid w:val="004A618B"/>
    <w:rsid w:val="004A6D76"/>
    <w:rsid w:val="004A708E"/>
    <w:rsid w:val="004A7794"/>
    <w:rsid w:val="004B0260"/>
    <w:rsid w:val="004B2E26"/>
    <w:rsid w:val="004B39D4"/>
    <w:rsid w:val="004B43A8"/>
    <w:rsid w:val="004B5D0B"/>
    <w:rsid w:val="004C3E40"/>
    <w:rsid w:val="004C5BB2"/>
    <w:rsid w:val="004D4830"/>
    <w:rsid w:val="004E13B3"/>
    <w:rsid w:val="004E1A26"/>
    <w:rsid w:val="004E5C2D"/>
    <w:rsid w:val="004F3DA7"/>
    <w:rsid w:val="004F4CE1"/>
    <w:rsid w:val="004F78AD"/>
    <w:rsid w:val="00502671"/>
    <w:rsid w:val="00503E5D"/>
    <w:rsid w:val="00507413"/>
    <w:rsid w:val="00511DBB"/>
    <w:rsid w:val="005122F5"/>
    <w:rsid w:val="00513F6B"/>
    <w:rsid w:val="00514AA0"/>
    <w:rsid w:val="00522E33"/>
    <w:rsid w:val="0052652F"/>
    <w:rsid w:val="0052766A"/>
    <w:rsid w:val="00527B01"/>
    <w:rsid w:val="00531040"/>
    <w:rsid w:val="00531AC0"/>
    <w:rsid w:val="00532827"/>
    <w:rsid w:val="00532F24"/>
    <w:rsid w:val="00536A46"/>
    <w:rsid w:val="00542C46"/>
    <w:rsid w:val="00542E59"/>
    <w:rsid w:val="0054438A"/>
    <w:rsid w:val="00544F1B"/>
    <w:rsid w:val="00546E5B"/>
    <w:rsid w:val="005524A8"/>
    <w:rsid w:val="005529C6"/>
    <w:rsid w:val="00552DCD"/>
    <w:rsid w:val="005542DF"/>
    <w:rsid w:val="0055544F"/>
    <w:rsid w:val="0055651E"/>
    <w:rsid w:val="00563328"/>
    <w:rsid w:val="00566C58"/>
    <w:rsid w:val="00575724"/>
    <w:rsid w:val="00576BB9"/>
    <w:rsid w:val="00576D17"/>
    <w:rsid w:val="00580D5C"/>
    <w:rsid w:val="005844C6"/>
    <w:rsid w:val="00591308"/>
    <w:rsid w:val="005A0332"/>
    <w:rsid w:val="005A1984"/>
    <w:rsid w:val="005A6DC4"/>
    <w:rsid w:val="005A7A2A"/>
    <w:rsid w:val="005B044E"/>
    <w:rsid w:val="005B213B"/>
    <w:rsid w:val="005B416B"/>
    <w:rsid w:val="005B6103"/>
    <w:rsid w:val="005C0460"/>
    <w:rsid w:val="005C529B"/>
    <w:rsid w:val="005C5ED5"/>
    <w:rsid w:val="005D7811"/>
    <w:rsid w:val="005E267A"/>
    <w:rsid w:val="005E4177"/>
    <w:rsid w:val="005F04B5"/>
    <w:rsid w:val="005F1662"/>
    <w:rsid w:val="005F1E94"/>
    <w:rsid w:val="005F435A"/>
    <w:rsid w:val="005F722E"/>
    <w:rsid w:val="0060374F"/>
    <w:rsid w:val="006054BF"/>
    <w:rsid w:val="00610436"/>
    <w:rsid w:val="0061550F"/>
    <w:rsid w:val="006221B7"/>
    <w:rsid w:val="006231D3"/>
    <w:rsid w:val="0062383A"/>
    <w:rsid w:val="006263A5"/>
    <w:rsid w:val="006321AC"/>
    <w:rsid w:val="0064294D"/>
    <w:rsid w:val="00643766"/>
    <w:rsid w:val="00644BD6"/>
    <w:rsid w:val="00653D7A"/>
    <w:rsid w:val="00655B30"/>
    <w:rsid w:val="006570E3"/>
    <w:rsid w:val="006645DD"/>
    <w:rsid w:val="0066762A"/>
    <w:rsid w:val="006704DC"/>
    <w:rsid w:val="00672AB0"/>
    <w:rsid w:val="00675299"/>
    <w:rsid w:val="00676FBE"/>
    <w:rsid w:val="006802DB"/>
    <w:rsid w:val="006808FF"/>
    <w:rsid w:val="00690197"/>
    <w:rsid w:val="00695700"/>
    <w:rsid w:val="006A4F57"/>
    <w:rsid w:val="006A5407"/>
    <w:rsid w:val="006A7748"/>
    <w:rsid w:val="006B0EB5"/>
    <w:rsid w:val="006B19FF"/>
    <w:rsid w:val="006B57A1"/>
    <w:rsid w:val="006B6B23"/>
    <w:rsid w:val="006B70DB"/>
    <w:rsid w:val="006C24F9"/>
    <w:rsid w:val="006C2BDF"/>
    <w:rsid w:val="006C41BB"/>
    <w:rsid w:val="006C5378"/>
    <w:rsid w:val="006C6038"/>
    <w:rsid w:val="006C755D"/>
    <w:rsid w:val="006D14C4"/>
    <w:rsid w:val="006D7964"/>
    <w:rsid w:val="006E05D1"/>
    <w:rsid w:val="006E086A"/>
    <w:rsid w:val="006E0E02"/>
    <w:rsid w:val="006E19AC"/>
    <w:rsid w:val="006E38E4"/>
    <w:rsid w:val="006E3E19"/>
    <w:rsid w:val="006E51C5"/>
    <w:rsid w:val="006E653B"/>
    <w:rsid w:val="006F59A9"/>
    <w:rsid w:val="006F658C"/>
    <w:rsid w:val="00703941"/>
    <w:rsid w:val="0070683D"/>
    <w:rsid w:val="00706F15"/>
    <w:rsid w:val="00711113"/>
    <w:rsid w:val="00711C46"/>
    <w:rsid w:val="00712BD4"/>
    <w:rsid w:val="00713FA2"/>
    <w:rsid w:val="007140AB"/>
    <w:rsid w:val="0071551C"/>
    <w:rsid w:val="00715FB1"/>
    <w:rsid w:val="0072031A"/>
    <w:rsid w:val="0072252A"/>
    <w:rsid w:val="00725366"/>
    <w:rsid w:val="0073049C"/>
    <w:rsid w:val="00736EEA"/>
    <w:rsid w:val="00742DDB"/>
    <w:rsid w:val="007575C3"/>
    <w:rsid w:val="00782539"/>
    <w:rsid w:val="00783284"/>
    <w:rsid w:val="00783333"/>
    <w:rsid w:val="0078749D"/>
    <w:rsid w:val="00787507"/>
    <w:rsid w:val="00791030"/>
    <w:rsid w:val="007A5301"/>
    <w:rsid w:val="007A6DCA"/>
    <w:rsid w:val="007B2663"/>
    <w:rsid w:val="007B27B9"/>
    <w:rsid w:val="007B38FB"/>
    <w:rsid w:val="007B45FD"/>
    <w:rsid w:val="007C2B84"/>
    <w:rsid w:val="007D4994"/>
    <w:rsid w:val="007E1C79"/>
    <w:rsid w:val="007E2F93"/>
    <w:rsid w:val="007E36EC"/>
    <w:rsid w:val="007E3C04"/>
    <w:rsid w:val="007E477E"/>
    <w:rsid w:val="007F19FF"/>
    <w:rsid w:val="007F2858"/>
    <w:rsid w:val="007F425F"/>
    <w:rsid w:val="007F47DE"/>
    <w:rsid w:val="007F7106"/>
    <w:rsid w:val="008026BB"/>
    <w:rsid w:val="00804525"/>
    <w:rsid w:val="00805ADE"/>
    <w:rsid w:val="00807E50"/>
    <w:rsid w:val="00810185"/>
    <w:rsid w:val="00812416"/>
    <w:rsid w:val="00812483"/>
    <w:rsid w:val="00813A44"/>
    <w:rsid w:val="008209C7"/>
    <w:rsid w:val="008235BF"/>
    <w:rsid w:val="00834E6F"/>
    <w:rsid w:val="00835216"/>
    <w:rsid w:val="0083538B"/>
    <w:rsid w:val="008431E9"/>
    <w:rsid w:val="00845ECD"/>
    <w:rsid w:val="0085040A"/>
    <w:rsid w:val="00851A19"/>
    <w:rsid w:val="00854256"/>
    <w:rsid w:val="00857B30"/>
    <w:rsid w:val="00870872"/>
    <w:rsid w:val="0087091B"/>
    <w:rsid w:val="00871A71"/>
    <w:rsid w:val="00872576"/>
    <w:rsid w:val="008730C8"/>
    <w:rsid w:val="00877A36"/>
    <w:rsid w:val="00881400"/>
    <w:rsid w:val="00885A14"/>
    <w:rsid w:val="008862E5"/>
    <w:rsid w:val="008917CF"/>
    <w:rsid w:val="00897CC2"/>
    <w:rsid w:val="008A096C"/>
    <w:rsid w:val="008A3DEB"/>
    <w:rsid w:val="008B1346"/>
    <w:rsid w:val="008B7719"/>
    <w:rsid w:val="008C112A"/>
    <w:rsid w:val="008C3C6D"/>
    <w:rsid w:val="008C591D"/>
    <w:rsid w:val="008C76F5"/>
    <w:rsid w:val="008C790C"/>
    <w:rsid w:val="008D5022"/>
    <w:rsid w:val="008E7512"/>
    <w:rsid w:val="008F3BC1"/>
    <w:rsid w:val="008F3D78"/>
    <w:rsid w:val="008F75F1"/>
    <w:rsid w:val="00905911"/>
    <w:rsid w:val="00911718"/>
    <w:rsid w:val="009130EE"/>
    <w:rsid w:val="0091600B"/>
    <w:rsid w:val="0092285E"/>
    <w:rsid w:val="009255E2"/>
    <w:rsid w:val="009265EE"/>
    <w:rsid w:val="009350A2"/>
    <w:rsid w:val="00935628"/>
    <w:rsid w:val="009419CB"/>
    <w:rsid w:val="009430CA"/>
    <w:rsid w:val="0094406E"/>
    <w:rsid w:val="009448A9"/>
    <w:rsid w:val="00944DB8"/>
    <w:rsid w:val="00950DCF"/>
    <w:rsid w:val="00952040"/>
    <w:rsid w:val="0095713A"/>
    <w:rsid w:val="00957346"/>
    <w:rsid w:val="00957EC6"/>
    <w:rsid w:val="00960241"/>
    <w:rsid w:val="00963582"/>
    <w:rsid w:val="00964B22"/>
    <w:rsid w:val="00967360"/>
    <w:rsid w:val="009706D0"/>
    <w:rsid w:val="009716AF"/>
    <w:rsid w:val="00972B57"/>
    <w:rsid w:val="00972C3F"/>
    <w:rsid w:val="00974F62"/>
    <w:rsid w:val="00975826"/>
    <w:rsid w:val="009801E1"/>
    <w:rsid w:val="009829A4"/>
    <w:rsid w:val="009850C1"/>
    <w:rsid w:val="009876A4"/>
    <w:rsid w:val="009936A5"/>
    <w:rsid w:val="009A1366"/>
    <w:rsid w:val="009A2941"/>
    <w:rsid w:val="009A4992"/>
    <w:rsid w:val="009A6460"/>
    <w:rsid w:val="009A6FA1"/>
    <w:rsid w:val="009C0A8D"/>
    <w:rsid w:val="009C4317"/>
    <w:rsid w:val="009C4E96"/>
    <w:rsid w:val="009C7664"/>
    <w:rsid w:val="009C7CB5"/>
    <w:rsid w:val="009D60B1"/>
    <w:rsid w:val="009E349C"/>
    <w:rsid w:val="009E6D99"/>
    <w:rsid w:val="009E6E33"/>
    <w:rsid w:val="009F15B1"/>
    <w:rsid w:val="009F1B50"/>
    <w:rsid w:val="009F7472"/>
    <w:rsid w:val="00A11A5B"/>
    <w:rsid w:val="00A15675"/>
    <w:rsid w:val="00A2245C"/>
    <w:rsid w:val="00A26436"/>
    <w:rsid w:val="00A31098"/>
    <w:rsid w:val="00A423E3"/>
    <w:rsid w:val="00A53411"/>
    <w:rsid w:val="00A53413"/>
    <w:rsid w:val="00A55F78"/>
    <w:rsid w:val="00A620CE"/>
    <w:rsid w:val="00A62ED9"/>
    <w:rsid w:val="00A70E79"/>
    <w:rsid w:val="00A766FF"/>
    <w:rsid w:val="00A82332"/>
    <w:rsid w:val="00A85FFB"/>
    <w:rsid w:val="00A8668F"/>
    <w:rsid w:val="00A9671F"/>
    <w:rsid w:val="00AA0500"/>
    <w:rsid w:val="00AA08E9"/>
    <w:rsid w:val="00AA1580"/>
    <w:rsid w:val="00AB5C51"/>
    <w:rsid w:val="00AB7911"/>
    <w:rsid w:val="00AC458A"/>
    <w:rsid w:val="00AC6B24"/>
    <w:rsid w:val="00AC6F0E"/>
    <w:rsid w:val="00AC7CD1"/>
    <w:rsid w:val="00AD18E3"/>
    <w:rsid w:val="00AD63BF"/>
    <w:rsid w:val="00AE21DE"/>
    <w:rsid w:val="00AE7390"/>
    <w:rsid w:val="00AF0BA9"/>
    <w:rsid w:val="00B02BC1"/>
    <w:rsid w:val="00B15790"/>
    <w:rsid w:val="00B15A25"/>
    <w:rsid w:val="00B17F20"/>
    <w:rsid w:val="00B209FE"/>
    <w:rsid w:val="00B232EC"/>
    <w:rsid w:val="00B26CC9"/>
    <w:rsid w:val="00B33EF0"/>
    <w:rsid w:val="00B50B4B"/>
    <w:rsid w:val="00B53F71"/>
    <w:rsid w:val="00B55C2D"/>
    <w:rsid w:val="00B56E94"/>
    <w:rsid w:val="00B56ED0"/>
    <w:rsid w:val="00B57685"/>
    <w:rsid w:val="00B61344"/>
    <w:rsid w:val="00B635C2"/>
    <w:rsid w:val="00B6686B"/>
    <w:rsid w:val="00B71006"/>
    <w:rsid w:val="00B7472F"/>
    <w:rsid w:val="00B82A64"/>
    <w:rsid w:val="00B82FDB"/>
    <w:rsid w:val="00B83C12"/>
    <w:rsid w:val="00B84EE2"/>
    <w:rsid w:val="00B93B3C"/>
    <w:rsid w:val="00BA135C"/>
    <w:rsid w:val="00BA1DEF"/>
    <w:rsid w:val="00BA4084"/>
    <w:rsid w:val="00BA5E74"/>
    <w:rsid w:val="00BA7D32"/>
    <w:rsid w:val="00BB1B88"/>
    <w:rsid w:val="00BB2D1D"/>
    <w:rsid w:val="00BB45B2"/>
    <w:rsid w:val="00BC4B00"/>
    <w:rsid w:val="00BD6B6C"/>
    <w:rsid w:val="00BE0060"/>
    <w:rsid w:val="00BE02D7"/>
    <w:rsid w:val="00BE0F40"/>
    <w:rsid w:val="00BE20A7"/>
    <w:rsid w:val="00BE2787"/>
    <w:rsid w:val="00BE3C60"/>
    <w:rsid w:val="00BE5883"/>
    <w:rsid w:val="00BF07FD"/>
    <w:rsid w:val="00BF33D1"/>
    <w:rsid w:val="00BF6538"/>
    <w:rsid w:val="00C05940"/>
    <w:rsid w:val="00C05AE0"/>
    <w:rsid w:val="00C341F0"/>
    <w:rsid w:val="00C357C0"/>
    <w:rsid w:val="00C37C1D"/>
    <w:rsid w:val="00C37D29"/>
    <w:rsid w:val="00C462B1"/>
    <w:rsid w:val="00C46A41"/>
    <w:rsid w:val="00C54B3D"/>
    <w:rsid w:val="00C61B49"/>
    <w:rsid w:val="00C71B0D"/>
    <w:rsid w:val="00C730AB"/>
    <w:rsid w:val="00C73B58"/>
    <w:rsid w:val="00C76544"/>
    <w:rsid w:val="00C823B8"/>
    <w:rsid w:val="00C82556"/>
    <w:rsid w:val="00C95FA5"/>
    <w:rsid w:val="00CA5EA6"/>
    <w:rsid w:val="00CA6736"/>
    <w:rsid w:val="00CA6EDE"/>
    <w:rsid w:val="00CB14E1"/>
    <w:rsid w:val="00CB1E53"/>
    <w:rsid w:val="00CB55BD"/>
    <w:rsid w:val="00CC5E04"/>
    <w:rsid w:val="00CC75A3"/>
    <w:rsid w:val="00CD28DB"/>
    <w:rsid w:val="00CD6285"/>
    <w:rsid w:val="00CE0D44"/>
    <w:rsid w:val="00CE4A79"/>
    <w:rsid w:val="00CF2AB8"/>
    <w:rsid w:val="00CF3A5E"/>
    <w:rsid w:val="00D06ED1"/>
    <w:rsid w:val="00D1150B"/>
    <w:rsid w:val="00D236D3"/>
    <w:rsid w:val="00D25C90"/>
    <w:rsid w:val="00D27420"/>
    <w:rsid w:val="00D33598"/>
    <w:rsid w:val="00D35E0D"/>
    <w:rsid w:val="00D43032"/>
    <w:rsid w:val="00D46EE3"/>
    <w:rsid w:val="00D51E9B"/>
    <w:rsid w:val="00D522C0"/>
    <w:rsid w:val="00D54E56"/>
    <w:rsid w:val="00D57411"/>
    <w:rsid w:val="00D6173B"/>
    <w:rsid w:val="00D7220C"/>
    <w:rsid w:val="00D75D26"/>
    <w:rsid w:val="00D82F06"/>
    <w:rsid w:val="00D839C1"/>
    <w:rsid w:val="00D83E71"/>
    <w:rsid w:val="00D87E53"/>
    <w:rsid w:val="00D964F3"/>
    <w:rsid w:val="00DA054C"/>
    <w:rsid w:val="00DA11EB"/>
    <w:rsid w:val="00DA57CA"/>
    <w:rsid w:val="00DB4BB2"/>
    <w:rsid w:val="00DB4CC5"/>
    <w:rsid w:val="00DC02CA"/>
    <w:rsid w:val="00DC44BD"/>
    <w:rsid w:val="00DC71E5"/>
    <w:rsid w:val="00DC7A63"/>
    <w:rsid w:val="00DD4DEB"/>
    <w:rsid w:val="00DE4DCF"/>
    <w:rsid w:val="00DF29D9"/>
    <w:rsid w:val="00E04ED8"/>
    <w:rsid w:val="00E05468"/>
    <w:rsid w:val="00E06071"/>
    <w:rsid w:val="00E061FB"/>
    <w:rsid w:val="00E06B69"/>
    <w:rsid w:val="00E07597"/>
    <w:rsid w:val="00E125C3"/>
    <w:rsid w:val="00E153C9"/>
    <w:rsid w:val="00E15475"/>
    <w:rsid w:val="00E164D5"/>
    <w:rsid w:val="00E24658"/>
    <w:rsid w:val="00E26A8C"/>
    <w:rsid w:val="00E31782"/>
    <w:rsid w:val="00E34607"/>
    <w:rsid w:val="00E369A8"/>
    <w:rsid w:val="00E4033F"/>
    <w:rsid w:val="00E41E41"/>
    <w:rsid w:val="00E46FD5"/>
    <w:rsid w:val="00E52EEF"/>
    <w:rsid w:val="00E5565E"/>
    <w:rsid w:val="00E56A9C"/>
    <w:rsid w:val="00E56E30"/>
    <w:rsid w:val="00E61127"/>
    <w:rsid w:val="00E81091"/>
    <w:rsid w:val="00E810C6"/>
    <w:rsid w:val="00E81D0C"/>
    <w:rsid w:val="00E87AF9"/>
    <w:rsid w:val="00E9499E"/>
    <w:rsid w:val="00E94EA0"/>
    <w:rsid w:val="00E97ECC"/>
    <w:rsid w:val="00EA02BD"/>
    <w:rsid w:val="00EA1D67"/>
    <w:rsid w:val="00EC68F1"/>
    <w:rsid w:val="00EC7E13"/>
    <w:rsid w:val="00ED4BAC"/>
    <w:rsid w:val="00EE6255"/>
    <w:rsid w:val="00EE73E4"/>
    <w:rsid w:val="00EF4FE7"/>
    <w:rsid w:val="00EF7CD0"/>
    <w:rsid w:val="00F0165D"/>
    <w:rsid w:val="00F078E4"/>
    <w:rsid w:val="00F108D4"/>
    <w:rsid w:val="00F139FD"/>
    <w:rsid w:val="00F166A5"/>
    <w:rsid w:val="00F21F7B"/>
    <w:rsid w:val="00F21FBA"/>
    <w:rsid w:val="00F26CA5"/>
    <w:rsid w:val="00F310A8"/>
    <w:rsid w:val="00F3733E"/>
    <w:rsid w:val="00F476CC"/>
    <w:rsid w:val="00F50A4E"/>
    <w:rsid w:val="00F53AD0"/>
    <w:rsid w:val="00F53B19"/>
    <w:rsid w:val="00F61B45"/>
    <w:rsid w:val="00F639D0"/>
    <w:rsid w:val="00F645E4"/>
    <w:rsid w:val="00F71272"/>
    <w:rsid w:val="00F7324F"/>
    <w:rsid w:val="00F77F6D"/>
    <w:rsid w:val="00F86C75"/>
    <w:rsid w:val="00F946CD"/>
    <w:rsid w:val="00F948F3"/>
    <w:rsid w:val="00FA60C1"/>
    <w:rsid w:val="00FA7045"/>
    <w:rsid w:val="00FB087B"/>
    <w:rsid w:val="00FB414B"/>
    <w:rsid w:val="00FC171D"/>
    <w:rsid w:val="00FC3AC8"/>
    <w:rsid w:val="00FC5DA8"/>
    <w:rsid w:val="00FC63CD"/>
    <w:rsid w:val="00FC7115"/>
    <w:rsid w:val="00FC756C"/>
    <w:rsid w:val="00FD11D9"/>
    <w:rsid w:val="00FD70A0"/>
    <w:rsid w:val="00FE309B"/>
    <w:rsid w:val="00FE7191"/>
    <w:rsid w:val="00FE7B6B"/>
    <w:rsid w:val="00FF5FF4"/>
    <w:rsid w:val="00FF62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E2F6"/>
  <w15:chartTrackingRefBased/>
  <w15:docId w15:val="{BFD48712-85B0-4813-B2D9-931627A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B8"/>
  </w:style>
  <w:style w:type="paragraph" w:styleId="Heading1">
    <w:name w:val="heading 1"/>
    <w:basedOn w:val="Normal"/>
    <w:next w:val="Normal"/>
    <w:link w:val="Heading1Char"/>
    <w:uiPriority w:val="9"/>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9"/>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9"/>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9"/>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aliases w:val="SUPERS,EN Footnote Reference,number,ftref,fr,Footnote Reference Number,Footnote Reference_LVL6,Footnote Reference_LVL61,Footnote Reference_LVL62,Footnote Reference_LVL63,Footnote Reference_LVL64,Rabbani Footnote,Ref,de nota al pie"/>
    <w:basedOn w:val="DefaultParagraphFont"/>
    <w:uiPriority w:val="8"/>
    <w:qFormat/>
    <w:rsid w:val="008A3DEB"/>
    <w:rPr>
      <w:sz w:val="20"/>
      <w:vertAlign w:val="superscript"/>
    </w:rPr>
  </w:style>
  <w:style w:type="paragraph" w:styleId="FootnoteText">
    <w:name w:val="footnote text"/>
    <w:aliases w:val="lábléc,Footnote,Fußnote,C26 Footnote body,single space,fn,ALTS FOOTNOTE,Footnote Text Char1 Char,Footnote Text Char Char Char,Footnote Text Char1 Char Char Char,Footnote Text Char Char Char Char Char,ft,footnote text,FOOTNOTES"/>
    <w:basedOn w:val="Normal"/>
    <w:link w:val="FootnoteTextChar"/>
    <w:uiPriority w:val="8"/>
    <w:rsid w:val="008A3DEB"/>
    <w:pPr>
      <w:spacing w:after="200"/>
    </w:pPr>
    <w:rPr>
      <w:szCs w:val="20"/>
    </w:rPr>
  </w:style>
  <w:style w:type="character" w:customStyle="1" w:styleId="FootnoteTextChar">
    <w:name w:val="Footnote Text Char"/>
    <w:aliases w:val="lábléc Char,Footnote Char,Fußnote Char,C26 Footnote body Char,single space Char,fn Char,ALTS FOOTNOTE Char,Footnote Text Char1 Char Char,Footnote Text Char Char Char Char,Footnote Text Char1 Char Char Char Char,ft Char,FOOTNOTES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9"/>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9"/>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9"/>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9"/>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aliases w:val="List Bullet Char Char2,List Bullet Char2 Char Char Char Char,List Bullet Char1 Char Char Char Char Char,List Bullet Char Char Char Char Char Char Char,List Bullet Char Char1 Char Char Char Char,List Bullet Char1 Char Char,List Bullet Char2"/>
    <w:basedOn w:val="Normal"/>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4"/>
    <w:qFormat/>
    <w:rsid w:val="00807E50"/>
    <w:pPr>
      <w:numPr>
        <w:numId w:val="7"/>
      </w:numPr>
      <w:snapToGrid w:val="0"/>
      <w:contextualSpacing/>
    </w:pPr>
    <w:rPr>
      <w:rFonts w:eastAsia="Century Gothic" w:cs="Arial"/>
      <w:color w:val="000000" w:themeColor="text1"/>
    </w:rPr>
  </w:style>
  <w:style w:type="paragraph" w:customStyle="1" w:styleId="ParagraphNumbering">
    <w:name w:val="Paragraph Numbering"/>
    <w:basedOn w:val="Normal"/>
    <w:link w:val="ParagraphNumberingChar"/>
    <w:uiPriority w:val="1"/>
    <w:qFormat/>
    <w:rsid w:val="00BB45B2"/>
    <w:pPr>
      <w:numPr>
        <w:numId w:val="6"/>
      </w:numPr>
    </w:pPr>
  </w:style>
  <w:style w:type="paragraph" w:styleId="Title">
    <w:name w:val="Title"/>
    <w:basedOn w:val="Normal"/>
    <w:link w:val="TitleChar"/>
    <w:uiPriority w:val="10"/>
    <w:qFormat/>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8A3DEB"/>
    <w:rPr>
      <w:rFonts w:ascii="Arial" w:hAnsi="Arial" w:cs="Arial"/>
      <w:b/>
      <w:bCs/>
      <w:kern w:val="28"/>
      <w:sz w:val="32"/>
      <w:szCs w:val="32"/>
    </w:rPr>
  </w:style>
  <w:style w:type="paragraph" w:styleId="TOC1">
    <w:name w:val="toc 1"/>
    <w:basedOn w:val="Normal"/>
    <w:next w:val="Normal"/>
    <w:uiPriority w:val="39"/>
    <w:rsid w:val="008A3DEB"/>
  </w:style>
  <w:style w:type="paragraph" w:styleId="TOC2">
    <w:name w:val="toc 2"/>
    <w:basedOn w:val="Normal"/>
    <w:next w:val="Normal"/>
    <w:uiPriority w:val="39"/>
    <w:rsid w:val="008A3DEB"/>
    <w:pPr>
      <w:ind w:left="240"/>
    </w:pPr>
  </w:style>
  <w:style w:type="paragraph" w:styleId="TOC3">
    <w:name w:val="toc 3"/>
    <w:basedOn w:val="Normal"/>
    <w:next w:val="Normal"/>
    <w:uiPriority w:val="39"/>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customStyle="1" w:styleId="ParagraphNumberingChar">
    <w:name w:val="Paragraph Numbering Char"/>
    <w:link w:val="ParagraphNumbering"/>
    <w:uiPriority w:val="1"/>
    <w:locked/>
    <w:rsid w:val="00F77F6D"/>
  </w:style>
  <w:style w:type="paragraph" w:customStyle="1" w:styleId="Boxfiguretabletitle">
    <w:name w:val="Box/figure/table title"/>
    <w:uiPriority w:val="4"/>
    <w:qFormat/>
    <w:rsid w:val="00F77F6D"/>
    <w:pPr>
      <w:spacing w:after="0" w:line="240" w:lineRule="auto"/>
      <w:jc w:val="center"/>
    </w:pPr>
    <w:rPr>
      <w:rFonts w:ascii="Segoe UI" w:eastAsia="Times New Roman" w:hAnsi="Segoe UI" w:cs="Times New Roman"/>
      <w:b/>
      <w:bCs/>
      <w:color w:val="B57E00" w:themeColor="accent2" w:themeShade="BF"/>
      <w:sz w:val="21"/>
      <w:szCs w:val="20"/>
    </w:rPr>
  </w:style>
  <w:style w:type="table" w:styleId="TableGrid">
    <w:name w:val="Table Grid"/>
    <w:basedOn w:val="TableNormal"/>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F6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77F6D"/>
    <w:pPr>
      <w:spacing w:after="0" w:line="240" w:lineRule="auto"/>
    </w:pPr>
  </w:style>
  <w:style w:type="paragraph" w:styleId="BalloonText">
    <w:name w:val="Balloon Text"/>
    <w:basedOn w:val="Normal"/>
    <w:link w:val="BalloonTextChar"/>
    <w:uiPriority w:val="99"/>
    <w:semiHidden/>
    <w:unhideWhenUsed/>
    <w:rsid w:val="00F7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6D"/>
    <w:rPr>
      <w:rFonts w:ascii="Segoe UI" w:hAnsi="Segoe UI" w:cs="Segoe UI"/>
      <w:sz w:val="18"/>
      <w:szCs w:val="18"/>
    </w:rPr>
  </w:style>
  <w:style w:type="character" w:styleId="CommentReference">
    <w:name w:val="annotation reference"/>
    <w:basedOn w:val="DefaultParagraphFont"/>
    <w:uiPriority w:val="99"/>
    <w:semiHidden/>
    <w:unhideWhenUsed/>
    <w:rsid w:val="00F77F6D"/>
    <w:rPr>
      <w:sz w:val="16"/>
      <w:szCs w:val="16"/>
    </w:rPr>
  </w:style>
  <w:style w:type="paragraph" w:styleId="CommentText">
    <w:name w:val="annotation text"/>
    <w:basedOn w:val="Normal"/>
    <w:link w:val="CommentTextChar"/>
    <w:uiPriority w:val="99"/>
    <w:semiHidden/>
    <w:unhideWhenUsed/>
    <w:rsid w:val="00F77F6D"/>
    <w:pPr>
      <w:spacing w:line="240" w:lineRule="auto"/>
    </w:pPr>
    <w:rPr>
      <w:sz w:val="20"/>
      <w:szCs w:val="20"/>
    </w:rPr>
  </w:style>
  <w:style w:type="character" w:customStyle="1" w:styleId="CommentTextChar">
    <w:name w:val="Comment Text Char"/>
    <w:basedOn w:val="DefaultParagraphFont"/>
    <w:link w:val="CommentText"/>
    <w:uiPriority w:val="99"/>
    <w:semiHidden/>
    <w:rsid w:val="00F77F6D"/>
    <w:rPr>
      <w:sz w:val="20"/>
      <w:szCs w:val="20"/>
    </w:rPr>
  </w:style>
  <w:style w:type="paragraph" w:styleId="CommentSubject">
    <w:name w:val="annotation subject"/>
    <w:basedOn w:val="CommentText"/>
    <w:next w:val="CommentText"/>
    <w:link w:val="CommentSubjectChar"/>
    <w:uiPriority w:val="99"/>
    <w:semiHidden/>
    <w:unhideWhenUsed/>
    <w:rsid w:val="00F77F6D"/>
    <w:rPr>
      <w:b/>
      <w:bCs/>
    </w:rPr>
  </w:style>
  <w:style w:type="character" w:customStyle="1" w:styleId="CommentSubjectChar">
    <w:name w:val="Comment Subject Char"/>
    <w:basedOn w:val="CommentTextChar"/>
    <w:link w:val="CommentSubject"/>
    <w:uiPriority w:val="99"/>
    <w:semiHidden/>
    <w:rsid w:val="00F77F6D"/>
    <w:rPr>
      <w:b/>
      <w:bCs/>
      <w:sz w:val="20"/>
      <w:szCs w:val="20"/>
    </w:rPr>
  </w:style>
  <w:style w:type="table" w:customStyle="1" w:styleId="TableGrid1">
    <w:name w:val="Table Grid1"/>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F6D"/>
    <w:pPr>
      <w:spacing w:after="0" w:line="240" w:lineRule="auto"/>
    </w:pPr>
  </w:style>
  <w:style w:type="paragraph" w:styleId="TOCHeading">
    <w:name w:val="TOC Heading"/>
    <w:basedOn w:val="Heading1"/>
    <w:next w:val="Normal"/>
    <w:uiPriority w:val="39"/>
    <w:unhideWhenUsed/>
    <w:qFormat/>
    <w:rsid w:val="008C790C"/>
    <w:pPr>
      <w:keepNext/>
      <w:keepLines/>
      <w:snapToGrid/>
      <w:spacing w:after="0" w:line="259" w:lineRule="auto"/>
      <w:outlineLvl w:val="9"/>
    </w:pPr>
    <w:rPr>
      <w:rFonts w:asciiTheme="majorHAnsi" w:eastAsiaTheme="majorEastAsia" w:hAnsiTheme="majorHAnsi" w:cstheme="majorBidi"/>
      <w:color w:val="0074A6" w:themeColor="accent1" w:themeShade="BF"/>
      <w:spacing w:val="0"/>
      <w:sz w:val="32"/>
      <w:szCs w:val="32"/>
    </w:rPr>
  </w:style>
  <w:style w:type="character" w:styleId="Hyperlink">
    <w:name w:val="Hyperlink"/>
    <w:basedOn w:val="DefaultParagraphFont"/>
    <w:uiPriority w:val="99"/>
    <w:unhideWhenUsed/>
    <w:rsid w:val="008C790C"/>
    <w:rPr>
      <w:color w:val="009CDE" w:themeColor="hyperlink"/>
      <w:u w:val="single"/>
    </w:rPr>
  </w:style>
  <w:style w:type="character" w:customStyle="1" w:styleId="UnresolvedMention1">
    <w:name w:val="Unresolved Mention1"/>
    <w:basedOn w:val="DefaultParagraphFont"/>
    <w:uiPriority w:val="99"/>
    <w:semiHidden/>
    <w:unhideWhenUsed/>
    <w:rsid w:val="005542DF"/>
    <w:rPr>
      <w:color w:val="605E5C"/>
      <w:shd w:val="clear" w:color="auto" w:fill="E1DFDD"/>
    </w:rPr>
  </w:style>
  <w:style w:type="character" w:styleId="Emphasis">
    <w:name w:val="Emphasis"/>
    <w:basedOn w:val="DefaultParagraphFont"/>
    <w:uiPriority w:val="20"/>
    <w:qFormat/>
    <w:rsid w:val="005E267A"/>
    <w:rPr>
      <w:i/>
      <w:iCs/>
    </w:rPr>
  </w:style>
  <w:style w:type="character" w:customStyle="1" w:styleId="aam">
    <w:name w:val="aam"/>
    <w:basedOn w:val="DefaultParagraphFont"/>
    <w:rsid w:val="00AC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315">
      <w:bodyDiv w:val="1"/>
      <w:marLeft w:val="0"/>
      <w:marRight w:val="0"/>
      <w:marTop w:val="0"/>
      <w:marBottom w:val="0"/>
      <w:divBdr>
        <w:top w:val="none" w:sz="0" w:space="0" w:color="auto"/>
        <w:left w:val="none" w:sz="0" w:space="0" w:color="auto"/>
        <w:bottom w:val="none" w:sz="0" w:space="0" w:color="auto"/>
        <w:right w:val="none" w:sz="0" w:space="0" w:color="auto"/>
      </w:divBdr>
    </w:div>
    <w:div w:id="250553477">
      <w:bodyDiv w:val="1"/>
      <w:marLeft w:val="0"/>
      <w:marRight w:val="0"/>
      <w:marTop w:val="0"/>
      <w:marBottom w:val="0"/>
      <w:divBdr>
        <w:top w:val="none" w:sz="0" w:space="0" w:color="auto"/>
        <w:left w:val="none" w:sz="0" w:space="0" w:color="auto"/>
        <w:bottom w:val="none" w:sz="0" w:space="0" w:color="auto"/>
        <w:right w:val="none" w:sz="0" w:space="0" w:color="auto"/>
      </w:divBdr>
      <w:divsChild>
        <w:div w:id="2066642479">
          <w:marLeft w:val="0"/>
          <w:marRight w:val="0"/>
          <w:marTop w:val="0"/>
          <w:marBottom w:val="0"/>
          <w:divBdr>
            <w:top w:val="none" w:sz="0" w:space="0" w:color="auto"/>
            <w:left w:val="none" w:sz="0" w:space="0" w:color="auto"/>
            <w:bottom w:val="none" w:sz="0" w:space="0" w:color="auto"/>
            <w:right w:val="none" w:sz="0" w:space="0" w:color="auto"/>
          </w:divBdr>
        </w:div>
      </w:divsChild>
    </w:div>
    <w:div w:id="292685426">
      <w:bodyDiv w:val="1"/>
      <w:marLeft w:val="0"/>
      <w:marRight w:val="0"/>
      <w:marTop w:val="0"/>
      <w:marBottom w:val="0"/>
      <w:divBdr>
        <w:top w:val="none" w:sz="0" w:space="0" w:color="auto"/>
        <w:left w:val="none" w:sz="0" w:space="0" w:color="auto"/>
        <w:bottom w:val="none" w:sz="0" w:space="0" w:color="auto"/>
        <w:right w:val="none" w:sz="0" w:space="0" w:color="auto"/>
      </w:divBdr>
    </w:div>
    <w:div w:id="441998263">
      <w:bodyDiv w:val="1"/>
      <w:marLeft w:val="0"/>
      <w:marRight w:val="0"/>
      <w:marTop w:val="0"/>
      <w:marBottom w:val="0"/>
      <w:divBdr>
        <w:top w:val="none" w:sz="0" w:space="0" w:color="auto"/>
        <w:left w:val="none" w:sz="0" w:space="0" w:color="auto"/>
        <w:bottom w:val="none" w:sz="0" w:space="0" w:color="auto"/>
        <w:right w:val="none" w:sz="0" w:space="0" w:color="auto"/>
      </w:divBdr>
    </w:div>
    <w:div w:id="680358749">
      <w:bodyDiv w:val="1"/>
      <w:marLeft w:val="0"/>
      <w:marRight w:val="0"/>
      <w:marTop w:val="0"/>
      <w:marBottom w:val="0"/>
      <w:divBdr>
        <w:top w:val="none" w:sz="0" w:space="0" w:color="auto"/>
        <w:left w:val="none" w:sz="0" w:space="0" w:color="auto"/>
        <w:bottom w:val="none" w:sz="0" w:space="0" w:color="auto"/>
        <w:right w:val="none" w:sz="0" w:space="0" w:color="auto"/>
      </w:divBdr>
    </w:div>
    <w:div w:id="710499609">
      <w:bodyDiv w:val="1"/>
      <w:marLeft w:val="0"/>
      <w:marRight w:val="0"/>
      <w:marTop w:val="0"/>
      <w:marBottom w:val="0"/>
      <w:divBdr>
        <w:top w:val="none" w:sz="0" w:space="0" w:color="auto"/>
        <w:left w:val="none" w:sz="0" w:space="0" w:color="auto"/>
        <w:bottom w:val="none" w:sz="0" w:space="0" w:color="auto"/>
        <w:right w:val="none" w:sz="0" w:space="0" w:color="auto"/>
      </w:divBdr>
    </w:div>
    <w:div w:id="904491514">
      <w:bodyDiv w:val="1"/>
      <w:marLeft w:val="0"/>
      <w:marRight w:val="0"/>
      <w:marTop w:val="0"/>
      <w:marBottom w:val="0"/>
      <w:divBdr>
        <w:top w:val="none" w:sz="0" w:space="0" w:color="auto"/>
        <w:left w:val="none" w:sz="0" w:space="0" w:color="auto"/>
        <w:bottom w:val="none" w:sz="0" w:space="0" w:color="auto"/>
        <w:right w:val="none" w:sz="0" w:space="0" w:color="auto"/>
      </w:divBdr>
    </w:div>
    <w:div w:id="1094401622">
      <w:bodyDiv w:val="1"/>
      <w:marLeft w:val="0"/>
      <w:marRight w:val="0"/>
      <w:marTop w:val="0"/>
      <w:marBottom w:val="0"/>
      <w:divBdr>
        <w:top w:val="none" w:sz="0" w:space="0" w:color="auto"/>
        <w:left w:val="none" w:sz="0" w:space="0" w:color="auto"/>
        <w:bottom w:val="none" w:sz="0" w:space="0" w:color="auto"/>
        <w:right w:val="none" w:sz="0" w:space="0" w:color="auto"/>
      </w:divBdr>
    </w:div>
    <w:div w:id="1393500475">
      <w:bodyDiv w:val="1"/>
      <w:marLeft w:val="0"/>
      <w:marRight w:val="0"/>
      <w:marTop w:val="0"/>
      <w:marBottom w:val="0"/>
      <w:divBdr>
        <w:top w:val="none" w:sz="0" w:space="0" w:color="auto"/>
        <w:left w:val="none" w:sz="0" w:space="0" w:color="auto"/>
        <w:bottom w:val="none" w:sz="0" w:space="0" w:color="auto"/>
        <w:right w:val="none" w:sz="0" w:space="0" w:color="auto"/>
      </w:divBdr>
    </w:div>
    <w:div w:id="17023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imf.org/en/Publications/Fiscal-Affairs-Department-How-To-Notes/Issues/2019/03/27/Tax-Expenditure-Reporting-and-Its-Use-in-Fiscal-Management-A-Guide-for-Developing-Economies-4667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mf.org/external/np/g20/pdf/101515a.pdf" TargetMode="External"/><Relationship Id="rId7" Type="http://schemas.openxmlformats.org/officeDocument/2006/relationships/endnotes" Target="endnotes.xml"/><Relationship Id="rId17" Type="http://schemas.openxmlformats.org/officeDocument/2006/relationships/hyperlink" Target="https://www.imf.org/external/pubs/ft/wp/2015/wp1510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hyperlink" Target="https://www.imf.org/external/np/g20/pdf/101515.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cepweb.org/wp-content/uploads/2018/11/Redonda-and-Neubig-2018.-Assessing-Tax-Expenditure-Reporting.pdf" TargetMode="External"/><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yperlink" Target="https://ec.europa.eu/economy_finance/publications/occasional_paper/2014/pdf/ocp207_en.pdf"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www.oecd.org/gov/budgeting/taxexpendituresinoecdcountries-oecdpublication.htm" TargetMode="Externa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8T16:45:30.82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8T16:45:28.807"/>
    </inkml:context>
    <inkml:brush xml:id="br0">
      <inkml:brushProperty name="width" value="0.025" units="cm"/>
      <inkml:brushProperty name="height" value="0.025" units="cm"/>
      <inkml:brushProperty name="ignorePressure" value="1"/>
    </inkml:brush>
  </inkml:definitions>
  <inkml:trace contextRef="#ctx0" brushRef="#br0">1 0</inkml:trace>
  <inkml:trace contextRef="#ctx0" brushRef="#br0" timeOffset="772.42">1 0</inkml:trace>
</inkml:ink>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F200-5C9A-4DF7-AB90-FC6A1DAE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77</Pages>
  <Words>28252</Words>
  <Characters>161039</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Nersesyan, Narine</dc:creator>
  <cp:keywords/>
  <dc:description/>
  <cp:lastModifiedBy>Corina, Alexa</cp:lastModifiedBy>
  <cp:revision>13</cp:revision>
  <dcterms:created xsi:type="dcterms:W3CDTF">2022-03-28T14:54:00Z</dcterms:created>
  <dcterms:modified xsi:type="dcterms:W3CDTF">2022-06-06T10:47:00Z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2022-02-26T18:34:50Z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ef7f8df3-4b15-46a6-8fa7-eb02eb70c791</vt:lpwstr>
  </property>
  <property fmtid="{D5CDD505-2E9C-101B-9397-08002B2CF9AE}" pid="8" name="MSIP_Label_0c07ed86-5dc5-4593-ad03-a8684b843815_ContentBits">
    <vt:lpwstr>0</vt:lpwstr>
  </property>
</Properties>
</file>